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FA3" w:rsidRPr="004C7AC4" w:rsidRDefault="00B61FA3" w:rsidP="00B61FA3">
      <w:pPr>
        <w:pStyle w:val="Frspaiere"/>
        <w:ind w:left="-567" w:firstLine="567"/>
        <w:jc w:val="right"/>
        <w:rPr>
          <w:rFonts w:ascii="Times New Roman" w:hAnsi="Times New Roman"/>
          <w:b/>
          <w:sz w:val="26"/>
          <w:szCs w:val="26"/>
          <w:lang w:val="ro-MO"/>
        </w:rPr>
      </w:pPr>
    </w:p>
    <w:p w:rsidR="00B61FA3" w:rsidRPr="004C7AC4" w:rsidRDefault="00B61FA3" w:rsidP="00B61FA3">
      <w:pPr>
        <w:pStyle w:val="Frspaiere"/>
        <w:ind w:left="-567" w:firstLine="567"/>
        <w:jc w:val="center"/>
        <w:rPr>
          <w:rFonts w:ascii="Times New Roman" w:hAnsi="Times New Roman"/>
          <w:b/>
          <w:sz w:val="26"/>
          <w:szCs w:val="26"/>
          <w:lang w:val="ro-MO"/>
        </w:rPr>
      </w:pPr>
    </w:p>
    <w:p w:rsidR="00B61FA3" w:rsidRPr="004C7AC4" w:rsidRDefault="00B61FA3" w:rsidP="00B61FA3">
      <w:pPr>
        <w:pStyle w:val="Frspaiere"/>
        <w:ind w:left="-567" w:firstLine="567"/>
        <w:jc w:val="center"/>
        <w:rPr>
          <w:rFonts w:ascii="Times New Roman" w:hAnsi="Times New Roman"/>
          <w:b/>
          <w:sz w:val="26"/>
          <w:szCs w:val="26"/>
          <w:lang w:val="ro-MO"/>
        </w:rPr>
      </w:pPr>
      <w:r w:rsidRPr="004C7AC4">
        <w:rPr>
          <w:rFonts w:ascii="Times New Roman" w:hAnsi="Times New Roman"/>
          <w:b/>
          <w:sz w:val="26"/>
          <w:szCs w:val="26"/>
          <w:lang w:val="ro-MO"/>
        </w:rPr>
        <w:t>GUVERNUL REPUBLICII MOLDOVA</w:t>
      </w:r>
    </w:p>
    <w:p w:rsidR="00B61FA3" w:rsidRPr="004C7AC4" w:rsidRDefault="00B61FA3" w:rsidP="00B61FA3">
      <w:pPr>
        <w:pStyle w:val="Frspaiere"/>
        <w:ind w:left="-567" w:firstLine="567"/>
        <w:jc w:val="center"/>
        <w:rPr>
          <w:rFonts w:ascii="Times New Roman" w:hAnsi="Times New Roman"/>
          <w:b/>
          <w:sz w:val="26"/>
          <w:szCs w:val="26"/>
          <w:lang w:val="ro-MO"/>
        </w:rPr>
      </w:pPr>
    </w:p>
    <w:p w:rsidR="00B61FA3" w:rsidRPr="004C7AC4" w:rsidRDefault="00B61FA3" w:rsidP="00B61FA3">
      <w:pPr>
        <w:pStyle w:val="Frspaiere"/>
        <w:ind w:left="-567" w:firstLine="567"/>
        <w:jc w:val="center"/>
        <w:rPr>
          <w:rFonts w:ascii="Times New Roman" w:hAnsi="Times New Roman"/>
          <w:b/>
          <w:sz w:val="26"/>
          <w:szCs w:val="26"/>
          <w:lang w:val="ro-MO"/>
        </w:rPr>
      </w:pPr>
      <w:r w:rsidRPr="004C7AC4">
        <w:rPr>
          <w:rFonts w:ascii="Times New Roman" w:hAnsi="Times New Roman"/>
          <w:b/>
          <w:sz w:val="26"/>
          <w:szCs w:val="26"/>
          <w:lang w:val="ro-MO"/>
        </w:rPr>
        <w:t>HOTĂRÎRE nr.______</w:t>
      </w:r>
    </w:p>
    <w:p w:rsidR="00B61FA3" w:rsidRPr="004C7AC4" w:rsidRDefault="00B61FA3" w:rsidP="00B61FA3">
      <w:pPr>
        <w:pStyle w:val="Frspaiere"/>
        <w:ind w:left="-567" w:firstLine="567"/>
        <w:jc w:val="center"/>
        <w:rPr>
          <w:rFonts w:ascii="Times New Roman" w:hAnsi="Times New Roman"/>
          <w:b/>
          <w:sz w:val="26"/>
          <w:szCs w:val="26"/>
          <w:lang w:val="ro-MO"/>
        </w:rPr>
      </w:pPr>
      <w:r w:rsidRPr="004C7AC4">
        <w:rPr>
          <w:rFonts w:ascii="Times New Roman" w:hAnsi="Times New Roman"/>
          <w:b/>
          <w:sz w:val="26"/>
          <w:szCs w:val="26"/>
          <w:lang w:val="ro-MO"/>
        </w:rPr>
        <w:t>din ____________________</w:t>
      </w:r>
    </w:p>
    <w:p w:rsidR="00B61FA3" w:rsidRPr="004C7AC4" w:rsidRDefault="00B61FA3" w:rsidP="00B61FA3">
      <w:pPr>
        <w:pStyle w:val="Frspaiere"/>
        <w:ind w:left="-567" w:firstLine="567"/>
        <w:jc w:val="center"/>
        <w:rPr>
          <w:rFonts w:ascii="Times New Roman" w:hAnsi="Times New Roman"/>
          <w:b/>
          <w:sz w:val="26"/>
          <w:szCs w:val="26"/>
          <w:lang w:val="ro-MO"/>
        </w:rPr>
      </w:pPr>
    </w:p>
    <w:p w:rsidR="00B61FA3" w:rsidRPr="004C7AC4" w:rsidRDefault="00B61FA3" w:rsidP="00B61FA3">
      <w:pPr>
        <w:pStyle w:val="Frspaiere"/>
        <w:ind w:left="-567" w:firstLine="567"/>
        <w:jc w:val="center"/>
        <w:rPr>
          <w:rFonts w:ascii="Times New Roman" w:hAnsi="Times New Roman"/>
          <w:b/>
          <w:sz w:val="26"/>
          <w:szCs w:val="26"/>
          <w:vertAlign w:val="superscript"/>
          <w:lang w:val="ro-MO"/>
        </w:rPr>
      </w:pPr>
      <w:r w:rsidRPr="004C7AC4">
        <w:rPr>
          <w:rFonts w:ascii="Times New Roman" w:hAnsi="Times New Roman"/>
          <w:b/>
          <w:sz w:val="26"/>
          <w:szCs w:val="26"/>
          <w:vertAlign w:val="superscript"/>
          <w:lang w:val="ro-MO"/>
        </w:rPr>
        <w:t>Chișinău</w:t>
      </w:r>
    </w:p>
    <w:p w:rsidR="00B61FA3" w:rsidRPr="004C7AC4" w:rsidRDefault="00B61FA3" w:rsidP="00B61FA3">
      <w:pPr>
        <w:pStyle w:val="Frspaiere"/>
        <w:ind w:left="-567" w:firstLine="567"/>
        <w:jc w:val="center"/>
        <w:rPr>
          <w:rFonts w:ascii="Times New Roman" w:hAnsi="Times New Roman"/>
          <w:b/>
          <w:sz w:val="26"/>
          <w:szCs w:val="26"/>
          <w:vertAlign w:val="superscript"/>
          <w:lang w:val="ro-MO"/>
        </w:rPr>
      </w:pPr>
    </w:p>
    <w:p w:rsidR="00B61FA3" w:rsidRPr="004C7AC4" w:rsidRDefault="00B61FA3" w:rsidP="00B61FA3">
      <w:pPr>
        <w:spacing w:after="0" w:line="240" w:lineRule="auto"/>
        <w:jc w:val="center"/>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 xml:space="preserve"> Cu privire la </w:t>
      </w:r>
      <w:r>
        <w:rPr>
          <w:rFonts w:ascii="Times New Roman" w:eastAsia="Times New Roman" w:hAnsi="Times New Roman"/>
          <w:b/>
          <w:bCs/>
          <w:sz w:val="26"/>
          <w:szCs w:val="26"/>
          <w:lang w:val="ro-MO" w:eastAsia="ro-RO"/>
        </w:rPr>
        <w:t xml:space="preserve">unele aspecte de </w:t>
      </w:r>
      <w:r w:rsidRPr="004C7AC4">
        <w:rPr>
          <w:rFonts w:ascii="Times New Roman" w:eastAsia="Times New Roman" w:hAnsi="Times New Roman"/>
          <w:b/>
          <w:bCs/>
          <w:sz w:val="26"/>
          <w:szCs w:val="26"/>
          <w:lang w:val="ro-MO" w:eastAsia="ro-RO"/>
        </w:rPr>
        <w:t xml:space="preserve">organizare </w:t>
      </w:r>
      <w:r>
        <w:rPr>
          <w:rFonts w:ascii="Times New Roman" w:eastAsia="Times New Roman" w:hAnsi="Times New Roman"/>
          <w:b/>
          <w:bCs/>
          <w:sz w:val="26"/>
          <w:szCs w:val="26"/>
          <w:lang w:val="ro-MO" w:eastAsia="ro-RO"/>
        </w:rPr>
        <w:t>a domeniilor cercetării și inovării</w:t>
      </w:r>
      <w:r w:rsidRPr="004C7AC4">
        <w:rPr>
          <w:rFonts w:ascii="Times New Roman" w:eastAsia="Times New Roman" w:hAnsi="Times New Roman"/>
          <w:b/>
          <w:bCs/>
          <w:sz w:val="26"/>
          <w:szCs w:val="26"/>
          <w:lang w:val="ro-MO" w:eastAsia="ro-RO"/>
        </w:rPr>
        <w:t xml:space="preserve">  </w:t>
      </w:r>
    </w:p>
    <w:p w:rsidR="00B61FA3" w:rsidRPr="004C7AC4" w:rsidRDefault="00B61FA3" w:rsidP="00B61FA3">
      <w:pPr>
        <w:spacing w:after="0" w:line="240" w:lineRule="auto"/>
        <w:jc w:val="center"/>
        <w:rPr>
          <w:rFonts w:ascii="Times New Roman" w:eastAsia="Times New Roman" w:hAnsi="Times New Roman"/>
          <w:b/>
          <w:bCs/>
          <w:sz w:val="26"/>
          <w:szCs w:val="26"/>
          <w:lang w:val="ro-MO" w:eastAsia="ro-RO"/>
        </w:rPr>
      </w:pPr>
    </w:p>
    <w:p w:rsidR="00B61FA3" w:rsidRPr="004C7AC4" w:rsidRDefault="00B61FA3" w:rsidP="00B61FA3">
      <w:pPr>
        <w:pStyle w:val="Frspaiere"/>
        <w:ind w:left="-567" w:firstLine="567"/>
        <w:jc w:val="center"/>
        <w:rPr>
          <w:rFonts w:ascii="Times New Roman" w:hAnsi="Times New Roman"/>
          <w:b/>
          <w:sz w:val="26"/>
          <w:szCs w:val="26"/>
          <w:vertAlign w:val="superscript"/>
          <w:lang w:val="ro-MO"/>
        </w:rPr>
      </w:pPr>
    </w:p>
    <w:p w:rsidR="00B61FA3" w:rsidRPr="004C7AC4" w:rsidRDefault="00B61FA3" w:rsidP="00B61FA3">
      <w:pPr>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În temeiul </w:t>
      </w:r>
      <w:r>
        <w:rPr>
          <w:rFonts w:ascii="Times New Roman" w:eastAsia="Times New Roman" w:hAnsi="Times New Roman"/>
          <w:sz w:val="26"/>
          <w:szCs w:val="26"/>
          <w:lang w:val="ro-MO" w:eastAsia="ro-RO"/>
        </w:rPr>
        <w:t>art. III alin. (3</w:t>
      </w:r>
      <w:r w:rsidRPr="00BC3A31">
        <w:rPr>
          <w:rFonts w:ascii="Times New Roman" w:eastAsia="Times New Roman" w:hAnsi="Times New Roman"/>
          <w:sz w:val="26"/>
          <w:szCs w:val="26"/>
          <w:lang w:val="ro-MO" w:eastAsia="ro-RO"/>
        </w:rPr>
        <w:t>) din Legea pentru modificarea și completarea unor acte legislative nr. 190/2017 (Monitorul Oficial al Republicii Moldova, 2017, nr. 364-370, art. 624)</w:t>
      </w:r>
      <w:r w:rsidRPr="004C7AC4">
        <w:rPr>
          <w:rFonts w:ascii="Times New Roman" w:eastAsia="Times New Roman" w:hAnsi="Times New Roman"/>
          <w:sz w:val="26"/>
          <w:szCs w:val="26"/>
          <w:lang w:val="ro-MO" w:eastAsia="ro-RO"/>
        </w:rPr>
        <w:t>, Guvernul, HOTĂRĂŞTE:</w:t>
      </w:r>
    </w:p>
    <w:p w:rsidR="00B61FA3" w:rsidRDefault="00B61FA3" w:rsidP="00B61FA3">
      <w:pPr>
        <w:numPr>
          <w:ilvl w:val="0"/>
          <w:numId w:val="1"/>
        </w:numPr>
        <w:spacing w:after="0" w:line="276" w:lineRule="auto"/>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Se aprobă:</w:t>
      </w:r>
    </w:p>
    <w:p w:rsidR="00B61FA3" w:rsidRPr="00BF5129" w:rsidRDefault="00B61FA3" w:rsidP="00B61FA3">
      <w:pPr>
        <w:numPr>
          <w:ilvl w:val="1"/>
          <w:numId w:val="9"/>
        </w:numPr>
        <w:spacing w:after="0" w:line="276" w:lineRule="auto"/>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Criteriile</w:t>
      </w:r>
      <w:r w:rsidRPr="00BF5129">
        <w:rPr>
          <w:rFonts w:ascii="Times New Roman" w:eastAsia="Times New Roman" w:hAnsi="Times New Roman"/>
          <w:sz w:val="26"/>
          <w:szCs w:val="26"/>
          <w:lang w:val="ro-MO" w:eastAsia="ro-RO"/>
        </w:rPr>
        <w:t xml:space="preserve"> de evaluare a performanței în domeniile cercetării și inovării realizate din contul mijloacelor publice, în cadrul organizațiilor de drept public din domeniile cercetării și inovării</w:t>
      </w:r>
      <w:r>
        <w:rPr>
          <w:rFonts w:ascii="Times New Roman" w:eastAsia="Times New Roman" w:hAnsi="Times New Roman"/>
          <w:sz w:val="26"/>
          <w:szCs w:val="26"/>
          <w:lang w:val="ro-MO" w:eastAsia="ro-RO"/>
        </w:rPr>
        <w:t>, conform anexei nr.1;</w:t>
      </w:r>
    </w:p>
    <w:p w:rsidR="00B61FA3" w:rsidRDefault="00B61FA3" w:rsidP="00B61FA3">
      <w:pPr>
        <w:numPr>
          <w:ilvl w:val="1"/>
          <w:numId w:val="9"/>
        </w:numPr>
        <w:spacing w:after="0" w:line="276" w:lineRule="auto"/>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Criteriile</w:t>
      </w:r>
      <w:r w:rsidRPr="00BF5129">
        <w:rPr>
          <w:rFonts w:ascii="Times New Roman" w:eastAsia="Times New Roman" w:hAnsi="Times New Roman"/>
          <w:sz w:val="26"/>
          <w:szCs w:val="26"/>
          <w:lang w:val="ro-MO" w:eastAsia="ro-RO"/>
        </w:rPr>
        <w:t xml:space="preserve"> de ținere și completare a </w:t>
      </w:r>
      <w:r>
        <w:rPr>
          <w:rFonts w:ascii="Times New Roman" w:eastAsia="Times New Roman" w:hAnsi="Times New Roman"/>
          <w:sz w:val="26"/>
          <w:szCs w:val="26"/>
          <w:lang w:val="ro-MO" w:eastAsia="ro-RO"/>
        </w:rPr>
        <w:t>bazei de date a</w:t>
      </w:r>
      <w:r w:rsidRPr="00BF5129">
        <w:rPr>
          <w:rFonts w:ascii="Times New Roman" w:eastAsia="Times New Roman" w:hAnsi="Times New Roman"/>
          <w:sz w:val="26"/>
          <w:szCs w:val="26"/>
          <w:lang w:val="ro-MO" w:eastAsia="ro-RO"/>
        </w:rPr>
        <w:t xml:space="preserve"> cercetătorilor științifici</w:t>
      </w:r>
      <w:r>
        <w:rPr>
          <w:rFonts w:ascii="Times New Roman" w:eastAsia="Times New Roman" w:hAnsi="Times New Roman"/>
          <w:sz w:val="26"/>
          <w:szCs w:val="26"/>
          <w:lang w:val="ro-MO" w:eastAsia="ro-RO"/>
        </w:rPr>
        <w:t>, conform anexei nr.2;</w:t>
      </w:r>
    </w:p>
    <w:p w:rsidR="00B61FA3" w:rsidRPr="008503C9" w:rsidRDefault="00B61FA3" w:rsidP="00B61FA3">
      <w:pPr>
        <w:numPr>
          <w:ilvl w:val="1"/>
          <w:numId w:val="9"/>
        </w:numPr>
        <w:spacing w:after="0" w:line="276" w:lineRule="auto"/>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Criteriile</w:t>
      </w:r>
      <w:r w:rsidRPr="008503C9">
        <w:rPr>
          <w:rFonts w:ascii="Times New Roman" w:eastAsia="Times New Roman" w:hAnsi="Times New Roman"/>
          <w:sz w:val="26"/>
          <w:szCs w:val="26"/>
          <w:lang w:val="ro-MO" w:eastAsia="ro-RO"/>
        </w:rPr>
        <w:t xml:space="preserve"> de ținere și completare a </w:t>
      </w:r>
      <w:r>
        <w:rPr>
          <w:rFonts w:ascii="Times New Roman" w:eastAsia="Times New Roman" w:hAnsi="Times New Roman"/>
          <w:sz w:val="26"/>
          <w:szCs w:val="26"/>
          <w:lang w:val="ro-MO" w:eastAsia="ro-RO"/>
        </w:rPr>
        <w:t>bazei de date a</w:t>
      </w:r>
      <w:r w:rsidRPr="008503C9">
        <w:rPr>
          <w:rFonts w:ascii="Times New Roman" w:eastAsia="Times New Roman" w:hAnsi="Times New Roman"/>
          <w:sz w:val="26"/>
          <w:szCs w:val="26"/>
          <w:lang w:val="ro-MO" w:eastAsia="ro-RO"/>
        </w:rPr>
        <w:t xml:space="preserve"> evaluatori</w:t>
      </w:r>
      <w:r>
        <w:rPr>
          <w:rFonts w:ascii="Times New Roman" w:eastAsia="Times New Roman" w:hAnsi="Times New Roman"/>
          <w:sz w:val="26"/>
          <w:szCs w:val="26"/>
          <w:lang w:val="ro-MO" w:eastAsia="ro-RO"/>
        </w:rPr>
        <w:t>lor</w:t>
      </w:r>
      <w:r w:rsidRPr="008503C9">
        <w:rPr>
          <w:rFonts w:ascii="Times New Roman" w:eastAsia="Times New Roman" w:hAnsi="Times New Roman"/>
          <w:sz w:val="26"/>
          <w:szCs w:val="26"/>
          <w:lang w:val="ro-MO" w:eastAsia="ro-RO"/>
        </w:rPr>
        <w:t>, conform anexei nr.3</w:t>
      </w:r>
      <w:r>
        <w:rPr>
          <w:rFonts w:ascii="Times New Roman" w:eastAsia="Times New Roman" w:hAnsi="Times New Roman"/>
          <w:sz w:val="26"/>
          <w:szCs w:val="26"/>
          <w:lang w:val="ro-MO" w:eastAsia="ro-RO"/>
        </w:rPr>
        <w:t>.</w:t>
      </w:r>
    </w:p>
    <w:p w:rsidR="00B61FA3" w:rsidRPr="004C7AC4" w:rsidRDefault="00B61FA3" w:rsidP="00B61FA3">
      <w:pPr>
        <w:numPr>
          <w:ilvl w:val="0"/>
          <w:numId w:val="1"/>
        </w:numPr>
        <w:spacing w:after="0" w:line="276"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P</w:t>
      </w:r>
      <w:proofErr w:type="spellStart"/>
      <w:r w:rsidRPr="004C7AC4">
        <w:rPr>
          <w:rFonts w:ascii="Times New Roman" w:eastAsia="Times New Roman" w:hAnsi="Times New Roman"/>
          <w:sz w:val="26"/>
          <w:szCs w:val="26"/>
          <w:lang w:eastAsia="ro-RO"/>
        </w:rPr>
        <w:t>ână</w:t>
      </w:r>
      <w:proofErr w:type="spellEnd"/>
      <w:r w:rsidRPr="004C7AC4">
        <w:rPr>
          <w:rFonts w:ascii="Times New Roman" w:eastAsia="Times New Roman" w:hAnsi="Times New Roman"/>
          <w:sz w:val="26"/>
          <w:szCs w:val="26"/>
          <w:lang w:eastAsia="ro-RO"/>
        </w:rPr>
        <w:t xml:space="preserve"> la data de 1 mai 2018, </w:t>
      </w:r>
      <w:r w:rsidRPr="004C7AC4">
        <w:rPr>
          <w:rFonts w:ascii="Times New Roman" w:eastAsia="Times New Roman" w:hAnsi="Times New Roman"/>
          <w:sz w:val="26"/>
          <w:szCs w:val="26"/>
          <w:lang w:val="ro-MO" w:eastAsia="ro-RO"/>
        </w:rPr>
        <w:t>Ministerul Educației, Culturii și Cercetării va propune spre aprobare Guvernului Programul Național în domeniile cercetării și inovării pentru perioada 2019 – 2022.</w:t>
      </w:r>
    </w:p>
    <w:p w:rsidR="00B61FA3" w:rsidRPr="004C7AC4" w:rsidRDefault="00B61FA3" w:rsidP="00B61FA3">
      <w:pPr>
        <w:numPr>
          <w:ilvl w:val="0"/>
          <w:numId w:val="1"/>
        </w:numPr>
        <w:spacing w:after="0" w:line="276"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Până la finele trimestrului doi al fiecărui an, Ministerul Educației, Culturii și Cercetării va prezenta Guvernului pentru aprobare planul anual de implementare a Programul </w:t>
      </w:r>
      <w:r>
        <w:rPr>
          <w:rFonts w:ascii="Times New Roman" w:eastAsia="Times New Roman" w:hAnsi="Times New Roman"/>
          <w:sz w:val="26"/>
          <w:szCs w:val="26"/>
          <w:lang w:val="ro-MO" w:eastAsia="ro-RO"/>
        </w:rPr>
        <w:t>N</w:t>
      </w:r>
      <w:r w:rsidRPr="004C7AC4">
        <w:rPr>
          <w:rFonts w:ascii="Times New Roman" w:eastAsia="Times New Roman" w:hAnsi="Times New Roman"/>
          <w:sz w:val="26"/>
          <w:szCs w:val="26"/>
          <w:lang w:val="ro-MO" w:eastAsia="ro-RO"/>
        </w:rPr>
        <w:t>ațional în domeniile cercetării și inovării pentru anul următor.</w:t>
      </w:r>
    </w:p>
    <w:p w:rsidR="00B61FA3" w:rsidRPr="004C7AC4" w:rsidRDefault="00B61FA3" w:rsidP="00B61FA3">
      <w:pPr>
        <w:numPr>
          <w:ilvl w:val="0"/>
          <w:numId w:val="1"/>
        </w:numPr>
        <w:spacing w:after="0" w:line="276"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Până la finele trimestrului </w:t>
      </w:r>
      <w:r>
        <w:rPr>
          <w:rFonts w:ascii="Times New Roman" w:eastAsia="Times New Roman" w:hAnsi="Times New Roman"/>
          <w:sz w:val="26"/>
          <w:szCs w:val="26"/>
          <w:lang w:val="ro-MO" w:eastAsia="ro-RO"/>
        </w:rPr>
        <w:t>unu</w:t>
      </w:r>
      <w:r w:rsidRPr="004C7AC4">
        <w:rPr>
          <w:rFonts w:ascii="Times New Roman" w:eastAsia="Times New Roman" w:hAnsi="Times New Roman"/>
          <w:sz w:val="26"/>
          <w:szCs w:val="26"/>
          <w:lang w:val="ro-MO" w:eastAsia="ro-RO"/>
        </w:rPr>
        <w:t xml:space="preserve"> al fiecărui an, Ministerul Educației, Culturii și Cercetării va prezenta </w:t>
      </w:r>
      <w:r>
        <w:rPr>
          <w:rFonts w:ascii="Times New Roman" w:eastAsia="Times New Roman" w:hAnsi="Times New Roman"/>
          <w:sz w:val="26"/>
          <w:szCs w:val="26"/>
          <w:lang w:val="ro-MO" w:eastAsia="ro-RO"/>
        </w:rPr>
        <w:t xml:space="preserve">Guvernului </w:t>
      </w:r>
      <w:r w:rsidRPr="004C7AC4">
        <w:rPr>
          <w:rFonts w:ascii="Times New Roman" w:eastAsia="Times New Roman" w:hAnsi="Times New Roman"/>
          <w:sz w:val="26"/>
          <w:szCs w:val="26"/>
          <w:lang w:val="ro-MO" w:eastAsia="ro-RO"/>
        </w:rPr>
        <w:t>raportul pentru anul precedent asupra gradului de executare a Programului Național în domeniile cercetării și inovării.</w:t>
      </w:r>
    </w:p>
    <w:p w:rsidR="00B61FA3" w:rsidRPr="004C7AC4" w:rsidRDefault="00B61FA3" w:rsidP="00B61FA3">
      <w:pPr>
        <w:numPr>
          <w:ilvl w:val="0"/>
          <w:numId w:val="1"/>
        </w:numPr>
        <w:spacing w:after="0" w:line="276"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În termen de 3 luni din data publicării prezentei hotărâri, Ministerul Educației, Culturii și Cercetării:</w:t>
      </w:r>
    </w:p>
    <w:p w:rsidR="00B61FA3" w:rsidRDefault="00B61FA3" w:rsidP="00B61FA3">
      <w:pPr>
        <w:numPr>
          <w:ilvl w:val="1"/>
          <w:numId w:val="7"/>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va prezenta Guvernului</w:t>
      </w:r>
      <w:r>
        <w:rPr>
          <w:rFonts w:ascii="Times New Roman" w:eastAsia="Times New Roman" w:hAnsi="Times New Roman"/>
          <w:sz w:val="26"/>
          <w:szCs w:val="26"/>
          <w:lang w:val="ro-MO" w:eastAsia="ro-RO"/>
        </w:rPr>
        <w:t xml:space="preserve">, urmare consultării cu </w:t>
      </w:r>
      <w:r w:rsidRPr="004C7AC4">
        <w:rPr>
          <w:rFonts w:ascii="Times New Roman" w:eastAsia="Times New Roman" w:hAnsi="Times New Roman"/>
          <w:sz w:val="26"/>
          <w:szCs w:val="26"/>
          <w:lang w:val="ro-MO" w:eastAsia="ro-RO"/>
        </w:rPr>
        <w:t xml:space="preserve"> </w:t>
      </w:r>
      <w:r>
        <w:rPr>
          <w:rFonts w:ascii="Times New Roman" w:eastAsia="Times New Roman" w:hAnsi="Times New Roman"/>
          <w:sz w:val="26"/>
          <w:szCs w:val="26"/>
          <w:lang w:val="ro-MO" w:eastAsia="ro-RO"/>
        </w:rPr>
        <w:t>Academia de Științe a Moldovei,</w:t>
      </w:r>
      <w:r w:rsidRPr="004C7AC4">
        <w:rPr>
          <w:rFonts w:ascii="Times New Roman" w:eastAsia="Times New Roman" w:hAnsi="Times New Roman"/>
          <w:sz w:val="26"/>
          <w:szCs w:val="26"/>
          <w:lang w:val="ro-MO" w:eastAsia="ro-RO"/>
        </w:rPr>
        <w:t xml:space="preserve"> proiectul hotărârii de Guvern pentru aprobarea Regulamentului de finanțare instituțională a Academiei de Științe a Moldovei</w:t>
      </w:r>
      <w:r>
        <w:rPr>
          <w:rFonts w:ascii="Times New Roman" w:eastAsia="Times New Roman" w:hAnsi="Times New Roman"/>
          <w:sz w:val="26"/>
          <w:szCs w:val="26"/>
          <w:lang w:val="ro-MO" w:eastAsia="ro-RO"/>
        </w:rPr>
        <w:t>;</w:t>
      </w:r>
    </w:p>
    <w:p w:rsidR="00B61FA3" w:rsidRPr="004C7AC4" w:rsidRDefault="00B61FA3" w:rsidP="00B61FA3">
      <w:pPr>
        <w:numPr>
          <w:ilvl w:val="1"/>
          <w:numId w:val="7"/>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va prezenta Guvernului proiectul hotărârii de Guvern pentru aprobarea Regulamentului cu privire la selectarea prin concurs în componența secțiilor de științe ale Academiei de Științe a Moldovei a câte 15 cercetători științifici din domeniile corespunzătoare ale secțiilor de științe;</w:t>
      </w:r>
    </w:p>
    <w:p w:rsidR="00B61FA3" w:rsidRPr="004C7AC4" w:rsidRDefault="00B61FA3" w:rsidP="00B61FA3">
      <w:pPr>
        <w:numPr>
          <w:ilvl w:val="1"/>
          <w:numId w:val="7"/>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va prezenta Guvernului</w:t>
      </w:r>
      <w:r>
        <w:rPr>
          <w:rFonts w:ascii="Times New Roman" w:eastAsia="Times New Roman" w:hAnsi="Times New Roman"/>
          <w:sz w:val="26"/>
          <w:szCs w:val="26"/>
          <w:lang w:val="ro-MO" w:eastAsia="ro-RO"/>
        </w:rPr>
        <w:t xml:space="preserve">, urmare consultării cu </w:t>
      </w:r>
      <w:r w:rsidRPr="004C7AC4">
        <w:rPr>
          <w:rFonts w:ascii="Times New Roman" w:eastAsia="Times New Roman" w:hAnsi="Times New Roman"/>
          <w:sz w:val="26"/>
          <w:szCs w:val="26"/>
          <w:lang w:val="ro-MO" w:eastAsia="ro-RO"/>
        </w:rPr>
        <w:t xml:space="preserve"> </w:t>
      </w:r>
      <w:r>
        <w:rPr>
          <w:rFonts w:ascii="Times New Roman" w:eastAsia="Times New Roman" w:hAnsi="Times New Roman"/>
          <w:sz w:val="26"/>
          <w:szCs w:val="26"/>
          <w:lang w:val="ro-MO" w:eastAsia="ro-RO"/>
        </w:rPr>
        <w:t>Academia de Științe a Moldovei,</w:t>
      </w:r>
      <w:r w:rsidRPr="004C7AC4">
        <w:rPr>
          <w:rFonts w:ascii="Times New Roman" w:eastAsia="Times New Roman" w:hAnsi="Times New Roman"/>
          <w:sz w:val="26"/>
          <w:szCs w:val="26"/>
          <w:lang w:val="ro-MO" w:eastAsia="ro-RO"/>
        </w:rPr>
        <w:t xml:space="preserve"> proiectul hotărârii de Guvern pentru aprobarea metodologiei de finanțare instituțională pentru menținerea și dezvoltarea infrastructurii publice din domeniile cercetării și inovării și a cheltuielilor de personal aferente;</w:t>
      </w:r>
    </w:p>
    <w:p w:rsidR="00B61FA3" w:rsidRPr="004C7AC4" w:rsidRDefault="00B61FA3" w:rsidP="00B61FA3">
      <w:pPr>
        <w:numPr>
          <w:ilvl w:val="1"/>
          <w:numId w:val="7"/>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lastRenderedPageBreak/>
        <w:t>va prezenta Guvernului proiectele actelor normative necesare participării Republicii Moldova în cadrul programelor și proiectelor internaționale în domeniile cercetării și inovării;</w:t>
      </w:r>
    </w:p>
    <w:p w:rsidR="00B61FA3" w:rsidRPr="004C7AC4" w:rsidRDefault="00B61FA3" w:rsidP="00B61FA3">
      <w:pPr>
        <w:numPr>
          <w:ilvl w:val="1"/>
          <w:numId w:val="7"/>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va modifica și aproba actele departamentale și va întreprinde acțiunile necesare pentru asigurarea </w:t>
      </w:r>
      <w:r>
        <w:rPr>
          <w:rFonts w:ascii="Times New Roman" w:eastAsia="Times New Roman" w:hAnsi="Times New Roman"/>
          <w:sz w:val="26"/>
          <w:szCs w:val="26"/>
          <w:lang w:val="ro-MO" w:eastAsia="ro-RO"/>
        </w:rPr>
        <w:t xml:space="preserve">continuării </w:t>
      </w:r>
      <w:r w:rsidRPr="004C7AC4">
        <w:rPr>
          <w:rFonts w:ascii="Times New Roman" w:eastAsia="Times New Roman" w:hAnsi="Times New Roman"/>
          <w:sz w:val="26"/>
          <w:szCs w:val="26"/>
          <w:lang w:val="ro-MO" w:eastAsia="ro-RO"/>
        </w:rPr>
        <w:t>participării Republicii Moldova în cadrul programelor și proiectelor internaționale în domeniile cercetării și inovării;</w:t>
      </w:r>
    </w:p>
    <w:p w:rsidR="00B61FA3" w:rsidRPr="00E46259" w:rsidRDefault="00B61FA3" w:rsidP="00B61FA3">
      <w:pPr>
        <w:numPr>
          <w:ilvl w:val="1"/>
          <w:numId w:val="7"/>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va realiza </w:t>
      </w:r>
      <w:r>
        <w:rPr>
          <w:rFonts w:ascii="Times New Roman" w:eastAsia="Times New Roman" w:hAnsi="Times New Roman"/>
          <w:sz w:val="26"/>
          <w:szCs w:val="26"/>
          <w:lang w:val="ro-MO" w:eastAsia="ro-RO"/>
        </w:rPr>
        <w:t>evaluare</w:t>
      </w:r>
      <w:r w:rsidRPr="004C7AC4">
        <w:rPr>
          <w:rFonts w:ascii="Times New Roman" w:eastAsia="Times New Roman" w:hAnsi="Times New Roman"/>
          <w:sz w:val="26"/>
          <w:szCs w:val="26"/>
          <w:lang w:val="ro-MO" w:eastAsia="ro-RO"/>
        </w:rPr>
        <w:t xml:space="preserve">a activității instituțiilor publice de cercetare din țară și a entităților care au beneficiat de finanțare publică pentru activitățile de cercetare </w:t>
      </w:r>
      <w:r>
        <w:rPr>
          <w:rFonts w:ascii="Times New Roman" w:eastAsia="Times New Roman" w:hAnsi="Times New Roman"/>
          <w:sz w:val="26"/>
          <w:szCs w:val="26"/>
          <w:lang w:val="ro-MO" w:eastAsia="ro-RO"/>
        </w:rPr>
        <w:t>în perioada 2013-2017</w:t>
      </w:r>
      <w:r w:rsidRPr="004C7AC4">
        <w:rPr>
          <w:rFonts w:ascii="Times New Roman" w:eastAsia="Times New Roman" w:hAnsi="Times New Roman"/>
          <w:sz w:val="26"/>
          <w:szCs w:val="26"/>
          <w:lang w:val="ro-MO" w:eastAsia="ro-RO"/>
        </w:rPr>
        <w:t xml:space="preserve">, și va realiza </w:t>
      </w:r>
      <w:r>
        <w:rPr>
          <w:rFonts w:ascii="Times New Roman" w:eastAsia="Times New Roman" w:hAnsi="Times New Roman"/>
          <w:sz w:val="26"/>
          <w:szCs w:val="26"/>
          <w:lang w:val="ro-MO" w:eastAsia="ro-RO"/>
        </w:rPr>
        <w:t>o clasificare a</w:t>
      </w:r>
      <w:r w:rsidRPr="004C7AC4">
        <w:rPr>
          <w:rFonts w:ascii="Times New Roman" w:eastAsia="Times New Roman" w:hAnsi="Times New Roman"/>
          <w:sz w:val="26"/>
          <w:szCs w:val="26"/>
          <w:lang w:val="ro-MO" w:eastAsia="ro-RO"/>
        </w:rPr>
        <w:t xml:space="preserve"> acestora, din perspectiva rezultatelor atinse, conform unei metodologii aprobate de minister în baza </w:t>
      </w:r>
      <w:r>
        <w:rPr>
          <w:rFonts w:ascii="Times New Roman" w:eastAsia="Times New Roman" w:hAnsi="Times New Roman"/>
          <w:sz w:val="26"/>
          <w:szCs w:val="26"/>
          <w:lang w:val="ro-MO" w:eastAsia="ro-RO"/>
        </w:rPr>
        <w:t>criteriilor</w:t>
      </w:r>
      <w:r w:rsidRPr="004C7AC4">
        <w:rPr>
          <w:rFonts w:ascii="Times New Roman" w:eastAsia="Times New Roman" w:hAnsi="Times New Roman"/>
          <w:sz w:val="26"/>
          <w:szCs w:val="26"/>
          <w:lang w:val="ro-MO" w:eastAsia="ro-RO"/>
        </w:rPr>
        <w:t xml:space="preserve"> specificate în Anexa nr.</w:t>
      </w:r>
      <w:r>
        <w:rPr>
          <w:rFonts w:ascii="Times New Roman" w:eastAsia="Times New Roman" w:hAnsi="Times New Roman"/>
          <w:sz w:val="26"/>
          <w:szCs w:val="26"/>
          <w:lang w:val="ro-MO" w:eastAsia="ro-RO"/>
        </w:rPr>
        <w:t>1</w:t>
      </w:r>
      <w:r w:rsidRPr="004C7AC4">
        <w:rPr>
          <w:rFonts w:ascii="Times New Roman" w:eastAsia="Times New Roman" w:hAnsi="Times New Roman"/>
          <w:sz w:val="26"/>
          <w:szCs w:val="26"/>
          <w:lang w:val="ro-MO" w:eastAsia="ro-RO"/>
        </w:rPr>
        <w:t>;</w:t>
      </w:r>
    </w:p>
    <w:p w:rsidR="00B61FA3" w:rsidRDefault="00B61FA3" w:rsidP="00B61FA3">
      <w:pPr>
        <w:numPr>
          <w:ilvl w:val="0"/>
          <w:numId w:val="1"/>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În termen de 5 luni din data publicării prezentei hotărâri, Ministerul Educației, Culturii și Cercetării în baza rezultatelor evalu</w:t>
      </w:r>
      <w:r>
        <w:rPr>
          <w:rFonts w:ascii="Times New Roman" w:eastAsia="Times New Roman" w:hAnsi="Times New Roman"/>
          <w:sz w:val="26"/>
          <w:szCs w:val="26"/>
          <w:lang w:val="ro-MO" w:eastAsia="ro-RO"/>
        </w:rPr>
        <w:t>ării</w:t>
      </w:r>
      <w:r w:rsidRPr="004C7AC4">
        <w:rPr>
          <w:rFonts w:ascii="Times New Roman" w:eastAsia="Times New Roman" w:hAnsi="Times New Roman"/>
          <w:sz w:val="26"/>
          <w:szCs w:val="26"/>
          <w:lang w:val="ro-MO" w:eastAsia="ro-RO"/>
        </w:rPr>
        <w:t xml:space="preserve"> specificat</w:t>
      </w:r>
      <w:r>
        <w:rPr>
          <w:rFonts w:ascii="Times New Roman" w:eastAsia="Times New Roman" w:hAnsi="Times New Roman"/>
          <w:sz w:val="26"/>
          <w:szCs w:val="26"/>
          <w:lang w:val="ro-MO" w:eastAsia="ro-RO"/>
        </w:rPr>
        <w:t>e</w:t>
      </w:r>
      <w:r w:rsidRPr="004C7AC4">
        <w:rPr>
          <w:rFonts w:ascii="Times New Roman" w:eastAsia="Times New Roman" w:hAnsi="Times New Roman"/>
          <w:sz w:val="26"/>
          <w:szCs w:val="26"/>
          <w:lang w:val="ro-MO" w:eastAsia="ro-RO"/>
        </w:rPr>
        <w:t xml:space="preserve"> la pct.</w:t>
      </w:r>
      <w:r>
        <w:rPr>
          <w:rFonts w:ascii="Times New Roman" w:eastAsia="Times New Roman" w:hAnsi="Times New Roman"/>
          <w:sz w:val="26"/>
          <w:szCs w:val="26"/>
          <w:lang w:val="ro-MO" w:eastAsia="ro-RO"/>
        </w:rPr>
        <w:t>5</w:t>
      </w:r>
      <w:r w:rsidRPr="004C7AC4">
        <w:rPr>
          <w:rFonts w:ascii="Times New Roman" w:eastAsia="Times New Roman" w:hAnsi="Times New Roman"/>
          <w:sz w:val="26"/>
          <w:szCs w:val="26"/>
          <w:lang w:val="ro-MO" w:eastAsia="ro-RO"/>
        </w:rPr>
        <w:t xml:space="preserve">, lit. </w:t>
      </w:r>
      <w:r>
        <w:rPr>
          <w:rFonts w:ascii="Times New Roman" w:eastAsia="Times New Roman" w:hAnsi="Times New Roman"/>
          <w:sz w:val="26"/>
          <w:szCs w:val="26"/>
          <w:lang w:val="ro-MO" w:eastAsia="ro-RO"/>
        </w:rPr>
        <w:t>f</w:t>
      </w:r>
      <w:r w:rsidRPr="004C7AC4">
        <w:rPr>
          <w:rFonts w:ascii="Times New Roman" w:eastAsia="Times New Roman" w:hAnsi="Times New Roman"/>
          <w:sz w:val="26"/>
          <w:szCs w:val="26"/>
          <w:lang w:val="ro-MO" w:eastAsia="ro-RO"/>
        </w:rPr>
        <w:t xml:space="preserve">) a prezentei Hotărâri va elabora și prezenta Guvernului, </w:t>
      </w:r>
      <w:r>
        <w:rPr>
          <w:rFonts w:ascii="Times New Roman" w:eastAsia="Times New Roman" w:hAnsi="Times New Roman"/>
          <w:sz w:val="26"/>
          <w:szCs w:val="26"/>
          <w:lang w:val="ro-MO" w:eastAsia="ro-RO"/>
        </w:rPr>
        <w:t xml:space="preserve">urmare consultării cu </w:t>
      </w:r>
      <w:r w:rsidRPr="004C7AC4">
        <w:rPr>
          <w:rFonts w:ascii="Times New Roman" w:eastAsia="Times New Roman" w:hAnsi="Times New Roman"/>
          <w:sz w:val="26"/>
          <w:szCs w:val="26"/>
          <w:lang w:val="ro-MO" w:eastAsia="ro-RO"/>
        </w:rPr>
        <w:t xml:space="preserve"> </w:t>
      </w:r>
      <w:r>
        <w:rPr>
          <w:rFonts w:ascii="Times New Roman" w:eastAsia="Times New Roman" w:hAnsi="Times New Roman"/>
          <w:sz w:val="26"/>
          <w:szCs w:val="26"/>
          <w:lang w:val="ro-MO" w:eastAsia="ro-RO"/>
        </w:rPr>
        <w:t>Academia de Științe a Moldovei,</w:t>
      </w:r>
      <w:r w:rsidRPr="004C7AC4">
        <w:rPr>
          <w:rFonts w:ascii="Times New Roman" w:eastAsia="Times New Roman" w:hAnsi="Times New Roman"/>
          <w:sz w:val="26"/>
          <w:szCs w:val="26"/>
          <w:lang w:val="ro-MO" w:eastAsia="ro-RO"/>
        </w:rPr>
        <w:t xml:space="preserve"> propunerile privind structura instituțională a infrastructurii publice din domeniile cercetării și inovării care urmează a fi finanțată instituțional din mijloacele bugetului de stat.</w:t>
      </w:r>
    </w:p>
    <w:p w:rsidR="00B61FA3" w:rsidRDefault="00B61FA3" w:rsidP="00B61FA3">
      <w:pPr>
        <w:numPr>
          <w:ilvl w:val="0"/>
          <w:numId w:val="1"/>
        </w:numPr>
        <w:spacing w:after="0" w:line="240" w:lineRule="auto"/>
        <w:jc w:val="both"/>
        <w:rPr>
          <w:rFonts w:ascii="Times New Roman" w:eastAsia="Times New Roman" w:hAnsi="Times New Roman"/>
          <w:sz w:val="26"/>
          <w:szCs w:val="26"/>
          <w:lang w:val="ro-MO" w:eastAsia="ro-RO"/>
        </w:rPr>
      </w:pPr>
      <w:r w:rsidRPr="008503C9">
        <w:rPr>
          <w:rFonts w:ascii="Times New Roman" w:eastAsia="Times New Roman" w:hAnsi="Times New Roman"/>
          <w:sz w:val="26"/>
          <w:szCs w:val="26"/>
          <w:lang w:val="ro-MO" w:eastAsia="ro-RO"/>
        </w:rPr>
        <w:t>În termen de 3 luni din data intrării în vigoare a Legii 190/2017 pentru modificarea și completarea unor acte legislative, Ministerul Educației, Culturii și Cercetării de comun cu Agenția Națională pentru Cercetare și Dezvoltare va prezenta Guvernului proiectul hotărârii de Guvern pentru aprobarea metodologiei de finanțare a proiectelor în domeniile cercetării și inovării;</w:t>
      </w:r>
    </w:p>
    <w:p w:rsidR="00B61FA3" w:rsidRPr="008503C9" w:rsidRDefault="00B61FA3" w:rsidP="00B61FA3">
      <w:pPr>
        <w:numPr>
          <w:ilvl w:val="0"/>
          <w:numId w:val="1"/>
        </w:numPr>
        <w:spacing w:after="0" w:line="240" w:lineRule="auto"/>
        <w:jc w:val="both"/>
        <w:rPr>
          <w:rFonts w:ascii="Times New Roman" w:eastAsia="Times New Roman" w:hAnsi="Times New Roman"/>
          <w:sz w:val="26"/>
          <w:szCs w:val="26"/>
          <w:lang w:val="ro-MO" w:eastAsia="ro-RO"/>
        </w:rPr>
      </w:pPr>
      <w:r w:rsidRPr="008503C9">
        <w:rPr>
          <w:rFonts w:ascii="Times New Roman" w:eastAsia="Times New Roman" w:hAnsi="Times New Roman"/>
          <w:sz w:val="26"/>
          <w:szCs w:val="26"/>
          <w:lang w:val="ro-MO" w:eastAsia="ro-RO"/>
        </w:rPr>
        <w:t>În termen de 3 luni din data intrării în vigoare a Legii 190/2017 pentru modificarea și completarea unor acte legislative</w:t>
      </w:r>
      <w:r>
        <w:rPr>
          <w:rFonts w:ascii="Times New Roman" w:eastAsia="Times New Roman" w:hAnsi="Times New Roman"/>
          <w:sz w:val="26"/>
          <w:szCs w:val="26"/>
          <w:lang w:val="ro-MO" w:eastAsia="ro-RO"/>
        </w:rPr>
        <w:t>,</w:t>
      </w:r>
      <w:r w:rsidRPr="008503C9">
        <w:rPr>
          <w:rFonts w:ascii="Times New Roman" w:eastAsia="Times New Roman" w:hAnsi="Times New Roman"/>
          <w:sz w:val="26"/>
          <w:szCs w:val="26"/>
          <w:lang w:val="ro-MO" w:eastAsia="ro-RO"/>
        </w:rPr>
        <w:t xml:space="preserve"> Agenția Națională pentru Cercetare și Dezvoltare cu suportul Ministerul Educației, Culturii și Cercetării:</w:t>
      </w:r>
    </w:p>
    <w:p w:rsidR="00B61FA3" w:rsidRDefault="00B61FA3" w:rsidP="00B61FA3">
      <w:pPr>
        <w:numPr>
          <w:ilvl w:val="1"/>
          <w:numId w:val="8"/>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va elabora </w:t>
      </w:r>
      <w:r>
        <w:rPr>
          <w:rFonts w:ascii="Times New Roman" w:eastAsia="Times New Roman" w:hAnsi="Times New Roman"/>
          <w:sz w:val="26"/>
          <w:szCs w:val="26"/>
          <w:lang w:val="ro-MO" w:eastAsia="ro-RO"/>
        </w:rPr>
        <w:t>baza de date a</w:t>
      </w:r>
      <w:r w:rsidRPr="004C7AC4">
        <w:rPr>
          <w:rFonts w:ascii="Times New Roman" w:eastAsia="Times New Roman" w:hAnsi="Times New Roman"/>
          <w:sz w:val="26"/>
          <w:szCs w:val="26"/>
          <w:lang w:val="ro-MO" w:eastAsia="ro-RO"/>
        </w:rPr>
        <w:t xml:space="preserve"> componentelor materiale a infrastructurii publice de cercetare și inovare</w:t>
      </w:r>
      <w:r w:rsidRPr="00E46259">
        <w:rPr>
          <w:rFonts w:ascii="Times New Roman" w:eastAsia="Times New Roman" w:hAnsi="Times New Roman"/>
          <w:sz w:val="26"/>
          <w:szCs w:val="26"/>
          <w:lang w:val="ro-MO" w:eastAsia="ro-RO"/>
        </w:rPr>
        <w:t xml:space="preserve"> și </w:t>
      </w:r>
      <w:r>
        <w:rPr>
          <w:rFonts w:ascii="Times New Roman" w:eastAsia="Times New Roman" w:hAnsi="Times New Roman"/>
          <w:sz w:val="26"/>
          <w:szCs w:val="26"/>
          <w:lang w:val="ro-MO" w:eastAsia="ro-RO"/>
        </w:rPr>
        <w:t xml:space="preserve">a </w:t>
      </w:r>
      <w:r w:rsidRPr="00E46259">
        <w:rPr>
          <w:rFonts w:ascii="Times New Roman" w:eastAsia="Times New Roman" w:hAnsi="Times New Roman"/>
          <w:sz w:val="26"/>
          <w:szCs w:val="26"/>
          <w:lang w:val="ro-MO" w:eastAsia="ro-RO"/>
        </w:rPr>
        <w:t>echipamentul</w:t>
      </w:r>
      <w:r>
        <w:rPr>
          <w:rFonts w:ascii="Times New Roman" w:eastAsia="Times New Roman" w:hAnsi="Times New Roman"/>
          <w:sz w:val="26"/>
          <w:szCs w:val="26"/>
          <w:lang w:val="ro-MO" w:eastAsia="ro-RO"/>
        </w:rPr>
        <w:t>ui</w:t>
      </w:r>
      <w:r w:rsidRPr="00E46259">
        <w:rPr>
          <w:rFonts w:ascii="Times New Roman" w:eastAsia="Times New Roman" w:hAnsi="Times New Roman"/>
          <w:sz w:val="26"/>
          <w:szCs w:val="26"/>
          <w:lang w:val="ro-MO" w:eastAsia="ro-RO"/>
        </w:rPr>
        <w:t xml:space="preserve"> specializat aferent</w:t>
      </w:r>
      <w:r w:rsidRPr="004C7AC4">
        <w:rPr>
          <w:rFonts w:ascii="Times New Roman" w:eastAsia="Times New Roman" w:hAnsi="Times New Roman"/>
          <w:sz w:val="26"/>
          <w:szCs w:val="26"/>
          <w:lang w:val="ro-MO" w:eastAsia="ro-RO"/>
        </w:rPr>
        <w:t>;</w:t>
      </w:r>
    </w:p>
    <w:p w:rsidR="00B61FA3" w:rsidRPr="004C7AC4" w:rsidRDefault="00B61FA3" w:rsidP="00B61FA3">
      <w:pPr>
        <w:numPr>
          <w:ilvl w:val="1"/>
          <w:numId w:val="8"/>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va crea </w:t>
      </w:r>
      <w:r>
        <w:rPr>
          <w:rFonts w:ascii="Times New Roman" w:eastAsia="Times New Roman" w:hAnsi="Times New Roman"/>
          <w:sz w:val="26"/>
          <w:szCs w:val="26"/>
          <w:lang w:val="ro-MO" w:eastAsia="ro-RO"/>
        </w:rPr>
        <w:t>baza de date a</w:t>
      </w:r>
      <w:r w:rsidRPr="004C7AC4">
        <w:rPr>
          <w:rFonts w:ascii="Times New Roman" w:eastAsia="Times New Roman" w:hAnsi="Times New Roman"/>
          <w:sz w:val="26"/>
          <w:szCs w:val="26"/>
          <w:lang w:val="ro-MO" w:eastAsia="ro-RO"/>
        </w:rPr>
        <w:t xml:space="preserve"> cercetătorilor științifici conform </w:t>
      </w:r>
      <w:r>
        <w:rPr>
          <w:rFonts w:ascii="Times New Roman" w:eastAsia="Times New Roman" w:hAnsi="Times New Roman"/>
          <w:sz w:val="26"/>
          <w:szCs w:val="26"/>
          <w:lang w:val="ro-MO" w:eastAsia="ro-RO"/>
        </w:rPr>
        <w:t>criteriilor</w:t>
      </w:r>
      <w:r w:rsidRPr="004C7AC4">
        <w:rPr>
          <w:rFonts w:ascii="Times New Roman" w:eastAsia="Times New Roman" w:hAnsi="Times New Roman"/>
          <w:sz w:val="26"/>
          <w:szCs w:val="26"/>
          <w:lang w:val="ro-MO" w:eastAsia="ro-RO"/>
        </w:rPr>
        <w:t xml:space="preserve"> specificate în anexa nr.</w:t>
      </w:r>
      <w:r>
        <w:rPr>
          <w:rFonts w:ascii="Times New Roman" w:eastAsia="Times New Roman" w:hAnsi="Times New Roman"/>
          <w:sz w:val="26"/>
          <w:szCs w:val="26"/>
          <w:lang w:val="ro-MO" w:eastAsia="ro-RO"/>
        </w:rPr>
        <w:t>2</w:t>
      </w:r>
      <w:r w:rsidRPr="004C7AC4">
        <w:rPr>
          <w:rFonts w:ascii="Times New Roman" w:eastAsia="Times New Roman" w:hAnsi="Times New Roman"/>
          <w:sz w:val="26"/>
          <w:szCs w:val="26"/>
          <w:lang w:val="ro-MO" w:eastAsia="ro-RO"/>
        </w:rPr>
        <w:t xml:space="preserve"> la prezenta hotărâre</w:t>
      </w:r>
      <w:r>
        <w:rPr>
          <w:rFonts w:ascii="Times New Roman" w:eastAsia="Times New Roman" w:hAnsi="Times New Roman"/>
          <w:sz w:val="26"/>
          <w:szCs w:val="26"/>
          <w:lang w:val="ro-MO" w:eastAsia="ro-RO"/>
        </w:rPr>
        <w:t>;</w:t>
      </w:r>
    </w:p>
    <w:p w:rsidR="00B61FA3" w:rsidRPr="008503C9" w:rsidRDefault="00B61FA3" w:rsidP="00B61FA3">
      <w:pPr>
        <w:numPr>
          <w:ilvl w:val="1"/>
          <w:numId w:val="8"/>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va crea </w:t>
      </w:r>
      <w:r>
        <w:rPr>
          <w:rFonts w:ascii="Times New Roman" w:eastAsia="Times New Roman" w:hAnsi="Times New Roman"/>
          <w:sz w:val="26"/>
          <w:szCs w:val="26"/>
          <w:lang w:val="ro-MO" w:eastAsia="ro-RO"/>
        </w:rPr>
        <w:t>baza de date a</w:t>
      </w:r>
      <w:r w:rsidRPr="004C7AC4">
        <w:rPr>
          <w:rFonts w:ascii="Times New Roman" w:eastAsia="Times New Roman" w:hAnsi="Times New Roman"/>
          <w:sz w:val="26"/>
          <w:szCs w:val="26"/>
          <w:lang w:val="ro-MO" w:eastAsia="ro-RO"/>
        </w:rPr>
        <w:t xml:space="preserve"> cercetătorilor științifici naționali și internaționali în vederea realizării activităților de evaluare a propunerilor de proiecte de cercetare, în conformitate cu </w:t>
      </w:r>
      <w:r>
        <w:rPr>
          <w:rFonts w:ascii="Times New Roman" w:eastAsia="Times New Roman" w:hAnsi="Times New Roman"/>
          <w:sz w:val="26"/>
          <w:szCs w:val="26"/>
          <w:lang w:val="ro-MO" w:eastAsia="ro-RO"/>
        </w:rPr>
        <w:t>criteriile</w:t>
      </w:r>
      <w:r w:rsidRPr="004C7AC4">
        <w:rPr>
          <w:rFonts w:ascii="Times New Roman" w:eastAsia="Times New Roman" w:hAnsi="Times New Roman"/>
          <w:sz w:val="26"/>
          <w:szCs w:val="26"/>
          <w:lang w:val="ro-MO" w:eastAsia="ro-RO"/>
        </w:rPr>
        <w:t xml:space="preserve"> expuse în anexa nr.</w:t>
      </w:r>
      <w:r>
        <w:rPr>
          <w:rFonts w:ascii="Times New Roman" w:eastAsia="Times New Roman" w:hAnsi="Times New Roman"/>
          <w:sz w:val="26"/>
          <w:szCs w:val="26"/>
          <w:lang w:val="ro-MO" w:eastAsia="ro-RO"/>
        </w:rPr>
        <w:t>3</w:t>
      </w:r>
      <w:r w:rsidRPr="004C7AC4">
        <w:rPr>
          <w:rFonts w:ascii="Times New Roman" w:eastAsia="Times New Roman" w:hAnsi="Times New Roman"/>
          <w:sz w:val="26"/>
          <w:szCs w:val="26"/>
          <w:lang w:val="ro-MO" w:eastAsia="ro-RO"/>
        </w:rPr>
        <w:t>.</w:t>
      </w:r>
    </w:p>
    <w:p w:rsidR="00B61FA3" w:rsidRPr="004C7AC4" w:rsidRDefault="00B61FA3" w:rsidP="00B61FA3">
      <w:pPr>
        <w:spacing w:after="0" w:line="240" w:lineRule="auto"/>
        <w:jc w:val="both"/>
        <w:rPr>
          <w:rFonts w:ascii="Times New Roman" w:eastAsia="Times New Roman" w:hAnsi="Times New Roman"/>
          <w:sz w:val="26"/>
          <w:szCs w:val="26"/>
          <w:lang w:val="ro-MO" w:eastAsia="ro-RO"/>
        </w:rPr>
      </w:pPr>
    </w:p>
    <w:p w:rsidR="00B61FA3" w:rsidRPr="004C7AC4" w:rsidRDefault="00B61FA3" w:rsidP="00B61FA3">
      <w:pPr>
        <w:spacing w:after="0" w:line="276" w:lineRule="auto"/>
        <w:ind w:firstLine="567"/>
        <w:jc w:val="both"/>
        <w:rPr>
          <w:rFonts w:ascii="Times New Roman" w:eastAsia="Times New Roman" w:hAnsi="Times New Roman"/>
          <w:sz w:val="26"/>
          <w:szCs w:val="26"/>
          <w:lang w:val="ro-MO" w:eastAsia="ro-RO"/>
        </w:rPr>
      </w:pPr>
    </w:p>
    <w:p w:rsidR="00B61FA3" w:rsidRPr="004C7AC4" w:rsidRDefault="00B61FA3" w:rsidP="00B61FA3">
      <w:pPr>
        <w:spacing w:after="0" w:line="240" w:lineRule="auto"/>
        <w:ind w:firstLine="567"/>
        <w:jc w:val="both"/>
        <w:rPr>
          <w:rFonts w:ascii="Times New Roman" w:eastAsia="Times New Roman" w:hAnsi="Times New Roman"/>
          <w:sz w:val="26"/>
          <w:szCs w:val="26"/>
          <w:lang w:val="ro-MO" w:eastAsia="ro-RO"/>
        </w:rPr>
      </w:pPr>
    </w:p>
    <w:p w:rsidR="00B61FA3" w:rsidRPr="004C7AC4" w:rsidRDefault="00B61FA3" w:rsidP="00B61FA3">
      <w:pPr>
        <w:spacing w:after="0" w:line="240" w:lineRule="auto"/>
        <w:ind w:firstLine="567"/>
        <w:jc w:val="both"/>
        <w:rPr>
          <w:rFonts w:ascii="Times New Roman" w:eastAsia="Times New Roman" w:hAnsi="Times New Roman"/>
          <w:sz w:val="26"/>
          <w:szCs w:val="26"/>
          <w:lang w:val="ro-MO" w:eastAsia="ro-RO"/>
        </w:rPr>
      </w:pPr>
    </w:p>
    <w:p w:rsidR="00B61FA3" w:rsidRPr="004C7AC4" w:rsidRDefault="00B61FA3" w:rsidP="00B61FA3">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 </w:t>
      </w:r>
    </w:p>
    <w:p w:rsidR="00B61FA3" w:rsidRPr="004C7AC4" w:rsidRDefault="00B61FA3" w:rsidP="00B61FA3">
      <w:pPr>
        <w:spacing w:after="0" w:line="240" w:lineRule="auto"/>
        <w:ind w:firstLine="567"/>
        <w:jc w:val="both"/>
        <w:rPr>
          <w:rFonts w:ascii="Times New Roman" w:eastAsia="Times New Roman" w:hAnsi="Times New Roman"/>
          <w:sz w:val="26"/>
          <w:szCs w:val="26"/>
          <w:lang w:val="ro-MO"/>
        </w:rPr>
      </w:pPr>
      <w:r w:rsidRPr="004C7AC4">
        <w:rPr>
          <w:rFonts w:ascii="Times New Roman" w:eastAsia="Times New Roman" w:hAnsi="Times New Roman"/>
          <w:sz w:val="26"/>
          <w:szCs w:val="26"/>
          <w:lang w:val="ro-MO" w:eastAsia="ro-RO"/>
        </w:rPr>
        <w:t xml:space="preserve"> </w:t>
      </w: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4574"/>
        <w:gridCol w:w="4363"/>
      </w:tblGrid>
      <w:tr w:rsidR="00B61FA3" w:rsidRPr="004C7AC4" w:rsidTr="00312766">
        <w:trPr>
          <w:tblCellSpacing w:w="15" w:type="dxa"/>
        </w:trPr>
        <w:tc>
          <w:tcPr>
            <w:tcW w:w="0" w:type="auto"/>
            <w:tcBorders>
              <w:top w:val="nil"/>
              <w:left w:val="nil"/>
              <w:bottom w:val="nil"/>
              <w:right w:val="nil"/>
            </w:tcBorders>
            <w:tcMar>
              <w:top w:w="15" w:type="dxa"/>
              <w:left w:w="45" w:type="dxa"/>
              <w:bottom w:w="15" w:type="dxa"/>
              <w:right w:w="480" w:type="dxa"/>
            </w:tcMar>
            <w:hideMark/>
          </w:tcPr>
          <w:p w:rsidR="00B61FA3" w:rsidRPr="004C7AC4" w:rsidRDefault="00B61FA3" w:rsidP="00312766">
            <w:pPr>
              <w:spacing w:before="240" w:after="0" w:line="240" w:lineRule="auto"/>
              <w:ind w:right="1258" w:firstLine="567"/>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PRIM-MINISTRU</w:t>
            </w:r>
          </w:p>
        </w:tc>
        <w:tc>
          <w:tcPr>
            <w:tcW w:w="4318" w:type="dxa"/>
            <w:tcBorders>
              <w:top w:val="nil"/>
              <w:left w:val="nil"/>
              <w:bottom w:val="nil"/>
              <w:right w:val="nil"/>
            </w:tcBorders>
            <w:tcMar>
              <w:top w:w="15" w:type="dxa"/>
              <w:left w:w="45" w:type="dxa"/>
              <w:bottom w:w="15" w:type="dxa"/>
              <w:right w:w="45" w:type="dxa"/>
            </w:tcMar>
            <w:hideMark/>
          </w:tcPr>
          <w:p w:rsidR="00B61FA3" w:rsidRPr="004C7AC4" w:rsidRDefault="00B61FA3" w:rsidP="00312766">
            <w:pPr>
              <w:spacing w:before="240" w:after="0" w:line="240" w:lineRule="auto"/>
              <w:ind w:firstLine="567"/>
              <w:jc w:val="both"/>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 xml:space="preserve">                             Pavel FILIP</w:t>
            </w:r>
          </w:p>
          <w:p w:rsidR="00B61FA3" w:rsidRPr="004C7AC4" w:rsidRDefault="00B61FA3" w:rsidP="00312766">
            <w:pPr>
              <w:spacing w:after="0" w:line="240" w:lineRule="auto"/>
              <w:ind w:firstLine="567"/>
              <w:jc w:val="both"/>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 </w:t>
            </w:r>
          </w:p>
        </w:tc>
      </w:tr>
      <w:tr w:rsidR="00B61FA3" w:rsidRPr="004C7AC4" w:rsidTr="00312766">
        <w:trPr>
          <w:tblCellSpacing w:w="15" w:type="dxa"/>
        </w:trPr>
        <w:tc>
          <w:tcPr>
            <w:tcW w:w="0" w:type="auto"/>
            <w:tcBorders>
              <w:top w:val="nil"/>
              <w:left w:val="nil"/>
              <w:bottom w:val="nil"/>
              <w:right w:val="nil"/>
            </w:tcBorders>
            <w:tcMar>
              <w:top w:w="15" w:type="dxa"/>
              <w:left w:w="45" w:type="dxa"/>
              <w:bottom w:w="15" w:type="dxa"/>
              <w:right w:w="480" w:type="dxa"/>
            </w:tcMar>
            <w:hideMark/>
          </w:tcPr>
          <w:p w:rsidR="00B61FA3" w:rsidRPr="004C7AC4" w:rsidRDefault="00B61FA3" w:rsidP="00312766">
            <w:pPr>
              <w:spacing w:after="0" w:line="240" w:lineRule="auto"/>
              <w:ind w:firstLine="567"/>
              <w:jc w:val="both"/>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Contrasemnează:</w:t>
            </w:r>
          </w:p>
        </w:tc>
        <w:tc>
          <w:tcPr>
            <w:tcW w:w="4318" w:type="dxa"/>
            <w:tcBorders>
              <w:top w:val="nil"/>
              <w:left w:val="nil"/>
              <w:bottom w:val="nil"/>
              <w:right w:val="nil"/>
            </w:tcBorders>
            <w:tcMar>
              <w:top w:w="15" w:type="dxa"/>
              <w:left w:w="45" w:type="dxa"/>
              <w:bottom w:w="15" w:type="dxa"/>
              <w:right w:w="45" w:type="dxa"/>
            </w:tcMar>
            <w:hideMark/>
          </w:tcPr>
          <w:p w:rsidR="00B61FA3" w:rsidRPr="004C7AC4" w:rsidRDefault="00B61FA3" w:rsidP="00312766">
            <w:pPr>
              <w:spacing w:after="0" w:line="240" w:lineRule="auto"/>
              <w:ind w:firstLine="567"/>
              <w:jc w:val="both"/>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 </w:t>
            </w:r>
          </w:p>
        </w:tc>
      </w:tr>
      <w:tr w:rsidR="00B61FA3" w:rsidRPr="004C7AC4" w:rsidTr="00312766">
        <w:trPr>
          <w:tblCellSpacing w:w="15" w:type="dxa"/>
        </w:trPr>
        <w:tc>
          <w:tcPr>
            <w:tcW w:w="0" w:type="auto"/>
            <w:tcBorders>
              <w:top w:val="nil"/>
              <w:left w:val="nil"/>
              <w:bottom w:val="nil"/>
              <w:right w:val="nil"/>
            </w:tcBorders>
            <w:tcMar>
              <w:top w:w="15" w:type="dxa"/>
              <w:left w:w="45" w:type="dxa"/>
              <w:bottom w:w="15" w:type="dxa"/>
              <w:right w:w="480" w:type="dxa"/>
            </w:tcMar>
          </w:tcPr>
          <w:p w:rsidR="00B61FA3" w:rsidRPr="004C7AC4" w:rsidRDefault="00B61FA3" w:rsidP="00312766">
            <w:pPr>
              <w:spacing w:after="0" w:line="240" w:lineRule="auto"/>
              <w:ind w:left="567"/>
              <w:jc w:val="both"/>
              <w:rPr>
                <w:rFonts w:ascii="Times New Roman" w:eastAsia="Times New Roman" w:hAnsi="Times New Roman"/>
                <w:b/>
                <w:bCs/>
                <w:sz w:val="26"/>
                <w:szCs w:val="26"/>
                <w:lang w:val="ro-MO" w:eastAsia="ro-RO"/>
              </w:rPr>
            </w:pPr>
          </w:p>
        </w:tc>
        <w:tc>
          <w:tcPr>
            <w:tcW w:w="4318" w:type="dxa"/>
            <w:tcBorders>
              <w:top w:val="nil"/>
              <w:left w:val="nil"/>
              <w:bottom w:val="nil"/>
              <w:right w:val="nil"/>
            </w:tcBorders>
            <w:tcMar>
              <w:top w:w="15" w:type="dxa"/>
              <w:left w:w="45" w:type="dxa"/>
              <w:bottom w:w="15" w:type="dxa"/>
              <w:right w:w="45" w:type="dxa"/>
            </w:tcMar>
          </w:tcPr>
          <w:p w:rsidR="00B61FA3" w:rsidRPr="004C7AC4" w:rsidRDefault="00B61FA3" w:rsidP="00312766">
            <w:pPr>
              <w:spacing w:after="0" w:line="240" w:lineRule="auto"/>
              <w:ind w:left="567" w:firstLine="567"/>
              <w:jc w:val="both"/>
              <w:rPr>
                <w:rFonts w:ascii="Times New Roman" w:eastAsia="Times New Roman" w:hAnsi="Times New Roman"/>
                <w:b/>
                <w:bCs/>
                <w:sz w:val="26"/>
                <w:szCs w:val="26"/>
                <w:lang w:val="ro-MO" w:eastAsia="ro-RO"/>
              </w:rPr>
            </w:pPr>
          </w:p>
        </w:tc>
      </w:tr>
      <w:tr w:rsidR="00B61FA3" w:rsidRPr="004C7AC4" w:rsidTr="00312766">
        <w:trPr>
          <w:tblCellSpacing w:w="15" w:type="dxa"/>
        </w:trPr>
        <w:tc>
          <w:tcPr>
            <w:tcW w:w="0" w:type="auto"/>
            <w:tcBorders>
              <w:top w:val="nil"/>
              <w:left w:val="nil"/>
              <w:bottom w:val="nil"/>
              <w:right w:val="nil"/>
            </w:tcBorders>
            <w:tcMar>
              <w:top w:w="15" w:type="dxa"/>
              <w:left w:w="45" w:type="dxa"/>
              <w:bottom w:w="15" w:type="dxa"/>
              <w:right w:w="480" w:type="dxa"/>
            </w:tcMar>
            <w:hideMark/>
          </w:tcPr>
          <w:p w:rsidR="00B61FA3" w:rsidRPr="004C7AC4" w:rsidRDefault="00B61FA3" w:rsidP="00312766">
            <w:pPr>
              <w:spacing w:after="0" w:line="240" w:lineRule="auto"/>
              <w:jc w:val="both"/>
              <w:rPr>
                <w:rFonts w:ascii="Times New Roman" w:eastAsia="Times New Roman" w:hAnsi="Times New Roman"/>
                <w:b/>
                <w:bCs/>
                <w:sz w:val="26"/>
                <w:szCs w:val="26"/>
                <w:lang w:val="ro-MO" w:eastAsia="ro-RO"/>
              </w:rPr>
            </w:pPr>
          </w:p>
        </w:tc>
        <w:tc>
          <w:tcPr>
            <w:tcW w:w="4318" w:type="dxa"/>
            <w:tcBorders>
              <w:top w:val="nil"/>
              <w:left w:val="nil"/>
              <w:bottom w:val="nil"/>
              <w:right w:val="nil"/>
            </w:tcBorders>
            <w:tcMar>
              <w:top w:w="15" w:type="dxa"/>
              <w:left w:w="45" w:type="dxa"/>
              <w:bottom w:w="15" w:type="dxa"/>
              <w:right w:w="45" w:type="dxa"/>
            </w:tcMar>
            <w:hideMark/>
          </w:tcPr>
          <w:p w:rsidR="00B61FA3" w:rsidRPr="004C7AC4" w:rsidRDefault="00B61FA3" w:rsidP="00312766">
            <w:pPr>
              <w:spacing w:after="0" w:line="240" w:lineRule="auto"/>
              <w:ind w:left="567" w:firstLine="567"/>
              <w:jc w:val="both"/>
              <w:rPr>
                <w:rFonts w:ascii="Times New Roman" w:eastAsia="Times New Roman" w:hAnsi="Times New Roman"/>
                <w:b/>
                <w:bCs/>
                <w:sz w:val="26"/>
                <w:szCs w:val="26"/>
                <w:lang w:val="ro-MO" w:eastAsia="ro-RO"/>
              </w:rPr>
            </w:pPr>
          </w:p>
        </w:tc>
      </w:tr>
      <w:tr w:rsidR="00B61FA3" w:rsidRPr="004C7AC4" w:rsidTr="00312766">
        <w:trPr>
          <w:tblCellSpacing w:w="15" w:type="dxa"/>
        </w:trPr>
        <w:tc>
          <w:tcPr>
            <w:tcW w:w="0" w:type="auto"/>
            <w:tcBorders>
              <w:top w:val="nil"/>
              <w:left w:val="nil"/>
              <w:bottom w:val="nil"/>
              <w:right w:val="nil"/>
            </w:tcBorders>
            <w:tcMar>
              <w:top w:w="15" w:type="dxa"/>
              <w:left w:w="45" w:type="dxa"/>
              <w:bottom w:w="15" w:type="dxa"/>
              <w:right w:w="480" w:type="dxa"/>
            </w:tcMar>
            <w:hideMark/>
          </w:tcPr>
          <w:p w:rsidR="00B61FA3" w:rsidRPr="004C7AC4" w:rsidRDefault="00B61FA3" w:rsidP="00312766">
            <w:pPr>
              <w:spacing w:after="0" w:line="240" w:lineRule="auto"/>
              <w:jc w:val="both"/>
              <w:rPr>
                <w:rFonts w:ascii="Times New Roman" w:eastAsia="Times New Roman" w:hAnsi="Times New Roman"/>
                <w:b/>
                <w:bCs/>
                <w:sz w:val="26"/>
                <w:szCs w:val="26"/>
                <w:lang w:val="ro-MO" w:eastAsia="ro-RO"/>
              </w:rPr>
            </w:pPr>
          </w:p>
        </w:tc>
        <w:tc>
          <w:tcPr>
            <w:tcW w:w="4318" w:type="dxa"/>
            <w:tcBorders>
              <w:top w:val="nil"/>
              <w:left w:val="nil"/>
              <w:bottom w:val="nil"/>
              <w:right w:val="nil"/>
            </w:tcBorders>
            <w:tcMar>
              <w:top w:w="15" w:type="dxa"/>
              <w:left w:w="45" w:type="dxa"/>
              <w:bottom w:w="15" w:type="dxa"/>
              <w:right w:w="45" w:type="dxa"/>
            </w:tcMar>
            <w:hideMark/>
          </w:tcPr>
          <w:p w:rsidR="00B61FA3" w:rsidRPr="004C7AC4" w:rsidRDefault="00B61FA3" w:rsidP="00312766">
            <w:pPr>
              <w:spacing w:after="0" w:line="240" w:lineRule="auto"/>
              <w:ind w:left="567" w:firstLine="567"/>
              <w:jc w:val="both"/>
              <w:rPr>
                <w:rFonts w:ascii="Times New Roman" w:eastAsia="Times New Roman" w:hAnsi="Times New Roman"/>
                <w:b/>
                <w:bCs/>
                <w:sz w:val="26"/>
                <w:szCs w:val="26"/>
                <w:lang w:val="ro-MO" w:eastAsia="ro-RO"/>
              </w:rPr>
            </w:pPr>
          </w:p>
        </w:tc>
      </w:tr>
      <w:tr w:rsidR="00B61FA3" w:rsidRPr="004C7AC4" w:rsidTr="00312766">
        <w:trPr>
          <w:tblCellSpacing w:w="15" w:type="dxa"/>
        </w:trPr>
        <w:tc>
          <w:tcPr>
            <w:tcW w:w="0" w:type="auto"/>
            <w:tcBorders>
              <w:top w:val="nil"/>
              <w:left w:val="nil"/>
              <w:bottom w:val="nil"/>
              <w:right w:val="nil"/>
            </w:tcBorders>
            <w:tcMar>
              <w:top w:w="15" w:type="dxa"/>
              <w:left w:w="45" w:type="dxa"/>
              <w:bottom w:w="15" w:type="dxa"/>
              <w:right w:w="480" w:type="dxa"/>
            </w:tcMar>
            <w:hideMark/>
          </w:tcPr>
          <w:p w:rsidR="00B61FA3" w:rsidRPr="004C7AC4" w:rsidRDefault="00B61FA3" w:rsidP="00312766">
            <w:pPr>
              <w:spacing w:after="0" w:line="240" w:lineRule="auto"/>
              <w:ind w:left="567"/>
              <w:jc w:val="both"/>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Ministrul educației, culturii și     cercetării</w:t>
            </w:r>
          </w:p>
        </w:tc>
        <w:tc>
          <w:tcPr>
            <w:tcW w:w="4318" w:type="dxa"/>
            <w:tcBorders>
              <w:top w:val="nil"/>
              <w:left w:val="nil"/>
              <w:bottom w:val="nil"/>
              <w:right w:val="nil"/>
            </w:tcBorders>
            <w:tcMar>
              <w:top w:w="15" w:type="dxa"/>
              <w:left w:w="45" w:type="dxa"/>
              <w:bottom w:w="15" w:type="dxa"/>
              <w:right w:w="45" w:type="dxa"/>
            </w:tcMar>
            <w:hideMark/>
          </w:tcPr>
          <w:p w:rsidR="00B61FA3" w:rsidRPr="004C7AC4" w:rsidRDefault="00B61FA3" w:rsidP="00312766">
            <w:pPr>
              <w:spacing w:after="0" w:line="240" w:lineRule="auto"/>
              <w:ind w:left="567" w:firstLine="567"/>
              <w:jc w:val="both"/>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 xml:space="preserve">             Monica </w:t>
            </w:r>
            <w:proofErr w:type="spellStart"/>
            <w:r w:rsidRPr="004C7AC4">
              <w:rPr>
                <w:rFonts w:ascii="Times New Roman" w:eastAsia="Times New Roman" w:hAnsi="Times New Roman"/>
                <w:b/>
                <w:bCs/>
                <w:sz w:val="26"/>
                <w:szCs w:val="26"/>
                <w:lang w:val="ro-MO" w:eastAsia="ro-RO"/>
              </w:rPr>
              <w:t>Babuc</w:t>
            </w:r>
            <w:proofErr w:type="spellEnd"/>
          </w:p>
          <w:p w:rsidR="00B61FA3" w:rsidRPr="004C7AC4" w:rsidRDefault="00B61FA3" w:rsidP="00312766">
            <w:pPr>
              <w:spacing w:after="0" w:line="240" w:lineRule="auto"/>
              <w:ind w:left="567" w:firstLine="567"/>
              <w:jc w:val="both"/>
              <w:rPr>
                <w:rFonts w:ascii="Times New Roman" w:eastAsia="Times New Roman" w:hAnsi="Times New Roman"/>
                <w:b/>
                <w:bCs/>
                <w:sz w:val="26"/>
                <w:szCs w:val="26"/>
                <w:lang w:val="ro-MO" w:eastAsia="ro-RO"/>
              </w:rPr>
            </w:pPr>
          </w:p>
        </w:tc>
      </w:tr>
      <w:tr w:rsidR="00B61FA3" w:rsidRPr="004C7AC4" w:rsidTr="00312766">
        <w:trPr>
          <w:tblCellSpacing w:w="15" w:type="dxa"/>
        </w:trPr>
        <w:tc>
          <w:tcPr>
            <w:tcW w:w="0" w:type="auto"/>
            <w:tcBorders>
              <w:top w:val="nil"/>
              <w:left w:val="nil"/>
              <w:bottom w:val="nil"/>
              <w:right w:val="nil"/>
            </w:tcBorders>
            <w:tcMar>
              <w:top w:w="15" w:type="dxa"/>
              <w:left w:w="45" w:type="dxa"/>
              <w:bottom w:w="15" w:type="dxa"/>
              <w:right w:w="480" w:type="dxa"/>
            </w:tcMar>
            <w:hideMark/>
          </w:tcPr>
          <w:p w:rsidR="00B61FA3" w:rsidRPr="004C7AC4" w:rsidRDefault="00B61FA3" w:rsidP="00312766">
            <w:pPr>
              <w:spacing w:after="0" w:line="240" w:lineRule="auto"/>
              <w:ind w:left="567"/>
              <w:jc w:val="both"/>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Ministrul finanţelor</w:t>
            </w:r>
          </w:p>
        </w:tc>
        <w:tc>
          <w:tcPr>
            <w:tcW w:w="4318" w:type="dxa"/>
            <w:tcBorders>
              <w:top w:val="nil"/>
              <w:left w:val="nil"/>
              <w:bottom w:val="nil"/>
              <w:right w:val="nil"/>
            </w:tcBorders>
            <w:tcMar>
              <w:top w:w="15" w:type="dxa"/>
              <w:left w:w="45" w:type="dxa"/>
              <w:bottom w:w="15" w:type="dxa"/>
              <w:right w:w="45" w:type="dxa"/>
            </w:tcMar>
            <w:hideMark/>
          </w:tcPr>
          <w:p w:rsidR="00B61FA3" w:rsidRPr="004C7AC4" w:rsidRDefault="00B61FA3" w:rsidP="00312766">
            <w:pPr>
              <w:spacing w:after="0" w:line="240" w:lineRule="auto"/>
              <w:ind w:left="567" w:firstLine="567"/>
              <w:jc w:val="both"/>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 xml:space="preserve">             Octavian </w:t>
            </w:r>
            <w:proofErr w:type="spellStart"/>
            <w:r w:rsidRPr="004C7AC4">
              <w:rPr>
                <w:rFonts w:ascii="Times New Roman" w:eastAsia="Times New Roman" w:hAnsi="Times New Roman"/>
                <w:b/>
                <w:bCs/>
                <w:sz w:val="26"/>
                <w:szCs w:val="26"/>
                <w:lang w:val="ro-MO" w:eastAsia="ro-RO"/>
              </w:rPr>
              <w:t>Armaşu</w:t>
            </w:r>
            <w:proofErr w:type="spellEnd"/>
          </w:p>
          <w:p w:rsidR="00B61FA3" w:rsidRPr="004C7AC4" w:rsidRDefault="00B61FA3" w:rsidP="00312766">
            <w:pPr>
              <w:spacing w:after="0" w:line="240" w:lineRule="auto"/>
              <w:ind w:left="567" w:firstLine="567"/>
              <w:jc w:val="both"/>
              <w:rPr>
                <w:rFonts w:ascii="Times New Roman" w:eastAsia="Times New Roman" w:hAnsi="Times New Roman"/>
                <w:b/>
                <w:bCs/>
                <w:sz w:val="26"/>
                <w:szCs w:val="26"/>
                <w:lang w:val="ro-MO" w:eastAsia="ro-RO"/>
              </w:rPr>
            </w:pPr>
          </w:p>
        </w:tc>
      </w:tr>
    </w:tbl>
    <w:p w:rsidR="00B61FA3" w:rsidRPr="004C7AC4" w:rsidRDefault="00B61FA3" w:rsidP="00B61FA3">
      <w:pPr>
        <w:spacing w:after="0" w:line="240" w:lineRule="auto"/>
        <w:rPr>
          <w:rFonts w:ascii="Times New Roman" w:eastAsia="Times New Roman" w:hAnsi="Times New Roman"/>
          <w:sz w:val="26"/>
          <w:szCs w:val="26"/>
          <w:lang w:val="ro-MO" w:eastAsia="ro-RO"/>
        </w:rPr>
      </w:pPr>
    </w:p>
    <w:p w:rsidR="00B61FA3" w:rsidRPr="004C7AC4" w:rsidRDefault="00B61FA3" w:rsidP="00B61FA3">
      <w:pPr>
        <w:spacing w:after="0" w:line="240"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br w:type="page"/>
      </w:r>
    </w:p>
    <w:p w:rsidR="00B61FA3" w:rsidRPr="004C7AC4" w:rsidRDefault="00B61FA3" w:rsidP="00B61FA3">
      <w:pPr>
        <w:spacing w:after="0" w:line="240" w:lineRule="auto"/>
        <w:rPr>
          <w:rFonts w:ascii="Times New Roman" w:eastAsia="Times New Roman" w:hAnsi="Times New Roman"/>
          <w:sz w:val="26"/>
          <w:szCs w:val="26"/>
          <w:lang w:val="ro-MO" w:eastAsia="ro-RO"/>
        </w:rPr>
      </w:pPr>
    </w:p>
    <w:p w:rsidR="00B61FA3" w:rsidRPr="004C7AC4" w:rsidRDefault="00B61FA3" w:rsidP="00B61FA3">
      <w:pPr>
        <w:spacing w:after="0" w:line="240" w:lineRule="auto"/>
        <w:jc w:val="right"/>
        <w:rPr>
          <w:rFonts w:ascii="Times New Roman" w:eastAsia="Times New Roman" w:hAnsi="Times New Roman"/>
          <w:sz w:val="24"/>
          <w:szCs w:val="24"/>
          <w:lang w:val="ro-MO" w:eastAsia="ro-RO"/>
        </w:rPr>
      </w:pPr>
      <w:r w:rsidRPr="004C7AC4">
        <w:rPr>
          <w:rFonts w:ascii="Times New Roman" w:eastAsia="Times New Roman" w:hAnsi="Times New Roman"/>
          <w:sz w:val="24"/>
          <w:szCs w:val="24"/>
          <w:lang w:val="ro-MO" w:eastAsia="ro-RO"/>
        </w:rPr>
        <w:t xml:space="preserve">Anexa nr.1 </w:t>
      </w:r>
    </w:p>
    <w:p w:rsidR="00B61FA3" w:rsidRPr="004C7AC4" w:rsidRDefault="00B61FA3" w:rsidP="00B61FA3">
      <w:pPr>
        <w:spacing w:after="0" w:line="240" w:lineRule="auto"/>
        <w:jc w:val="right"/>
        <w:rPr>
          <w:rFonts w:ascii="Times New Roman" w:eastAsia="Times New Roman" w:hAnsi="Times New Roman"/>
          <w:sz w:val="24"/>
          <w:szCs w:val="24"/>
          <w:lang w:val="ro-MO" w:eastAsia="ro-RO"/>
        </w:rPr>
      </w:pPr>
      <w:r w:rsidRPr="004C7AC4">
        <w:rPr>
          <w:rFonts w:ascii="Times New Roman" w:eastAsia="Times New Roman" w:hAnsi="Times New Roman"/>
          <w:sz w:val="24"/>
          <w:szCs w:val="24"/>
          <w:lang w:val="ro-MO" w:eastAsia="ro-RO"/>
        </w:rPr>
        <w:t xml:space="preserve">la </w:t>
      </w:r>
      <w:proofErr w:type="spellStart"/>
      <w:r w:rsidRPr="004C7AC4">
        <w:rPr>
          <w:rFonts w:ascii="Times New Roman" w:eastAsia="Times New Roman" w:hAnsi="Times New Roman"/>
          <w:sz w:val="24"/>
          <w:szCs w:val="24"/>
          <w:lang w:val="ro-MO" w:eastAsia="ro-RO"/>
        </w:rPr>
        <w:t>Hotărîrea</w:t>
      </w:r>
      <w:proofErr w:type="spellEnd"/>
      <w:r w:rsidRPr="004C7AC4">
        <w:rPr>
          <w:rFonts w:ascii="Times New Roman" w:eastAsia="Times New Roman" w:hAnsi="Times New Roman"/>
          <w:sz w:val="24"/>
          <w:szCs w:val="24"/>
          <w:lang w:val="ro-MO" w:eastAsia="ro-RO"/>
        </w:rPr>
        <w:t xml:space="preserve"> Guvernului </w:t>
      </w:r>
    </w:p>
    <w:p w:rsidR="00B61FA3" w:rsidRPr="004C7AC4" w:rsidRDefault="00B61FA3" w:rsidP="00B61FA3">
      <w:pPr>
        <w:spacing w:after="0" w:line="240" w:lineRule="auto"/>
        <w:jc w:val="right"/>
        <w:rPr>
          <w:rFonts w:ascii="Times New Roman" w:eastAsia="Times New Roman" w:hAnsi="Times New Roman"/>
          <w:sz w:val="24"/>
          <w:szCs w:val="24"/>
          <w:lang w:val="ro-MO" w:eastAsia="ro-RO"/>
        </w:rPr>
      </w:pPr>
      <w:r w:rsidRPr="004C7AC4">
        <w:rPr>
          <w:rFonts w:ascii="Times New Roman" w:eastAsia="Times New Roman" w:hAnsi="Times New Roman"/>
          <w:sz w:val="24"/>
          <w:szCs w:val="24"/>
          <w:lang w:val="ro-MO" w:eastAsia="ro-RO"/>
        </w:rPr>
        <w:t>nr.___ din ______</w:t>
      </w:r>
    </w:p>
    <w:p w:rsidR="00B61FA3" w:rsidRDefault="00B61FA3" w:rsidP="00B61FA3">
      <w:pPr>
        <w:spacing w:after="0" w:line="240" w:lineRule="auto"/>
        <w:ind w:firstLine="567"/>
        <w:jc w:val="both"/>
        <w:rPr>
          <w:rFonts w:ascii="Times New Roman" w:eastAsia="Times New Roman" w:hAnsi="Times New Roman"/>
          <w:sz w:val="24"/>
          <w:szCs w:val="24"/>
          <w:lang w:val="ro-MO" w:eastAsia="ro-RO"/>
        </w:rPr>
      </w:pPr>
    </w:p>
    <w:p w:rsidR="00B61FA3" w:rsidRPr="004C7AC4" w:rsidRDefault="00B61FA3" w:rsidP="00B61FA3">
      <w:pPr>
        <w:spacing w:after="0" w:line="276" w:lineRule="auto"/>
        <w:ind w:firstLine="567"/>
        <w:jc w:val="center"/>
        <w:rPr>
          <w:rFonts w:ascii="Times New Roman" w:eastAsia="Times New Roman" w:hAnsi="Times New Roman"/>
          <w:b/>
          <w:sz w:val="26"/>
          <w:szCs w:val="26"/>
          <w:lang w:val="ro-MO" w:eastAsia="ro-RO"/>
        </w:rPr>
      </w:pPr>
      <w:r>
        <w:rPr>
          <w:rFonts w:ascii="Times New Roman" w:eastAsia="Times New Roman" w:hAnsi="Times New Roman"/>
          <w:b/>
          <w:sz w:val="26"/>
          <w:szCs w:val="26"/>
          <w:lang w:val="ro-MO" w:eastAsia="ro-RO"/>
        </w:rPr>
        <w:t>Criteriile</w:t>
      </w:r>
      <w:r w:rsidRPr="004C7AC4">
        <w:rPr>
          <w:rFonts w:ascii="Times New Roman" w:eastAsia="Times New Roman" w:hAnsi="Times New Roman"/>
          <w:b/>
          <w:sz w:val="26"/>
          <w:szCs w:val="26"/>
          <w:lang w:val="ro-MO" w:eastAsia="ro-RO"/>
        </w:rPr>
        <w:t xml:space="preserve"> de evaluare a performanței în domeniile cercetării și inovării realizate </w:t>
      </w:r>
      <w:r>
        <w:rPr>
          <w:rFonts w:ascii="Times New Roman" w:eastAsia="Times New Roman" w:hAnsi="Times New Roman"/>
          <w:b/>
          <w:sz w:val="26"/>
          <w:szCs w:val="26"/>
          <w:lang w:val="ro-MO" w:eastAsia="ro-RO"/>
        </w:rPr>
        <w:t>din contul mijloacelor publice</w:t>
      </w:r>
    </w:p>
    <w:p w:rsidR="00B61FA3" w:rsidRPr="004C7AC4" w:rsidRDefault="00B61FA3" w:rsidP="00B61FA3">
      <w:pPr>
        <w:spacing w:after="0" w:line="276" w:lineRule="auto"/>
        <w:ind w:firstLine="567"/>
        <w:jc w:val="center"/>
        <w:rPr>
          <w:rFonts w:ascii="Times New Roman" w:eastAsia="Times New Roman" w:hAnsi="Times New Roman"/>
          <w:b/>
          <w:sz w:val="26"/>
          <w:szCs w:val="26"/>
          <w:lang w:val="ro-MO" w:eastAsia="ro-RO"/>
        </w:rPr>
      </w:pPr>
    </w:p>
    <w:p w:rsidR="00B61FA3" w:rsidRDefault="00B61FA3" w:rsidP="00B61FA3">
      <w:pPr>
        <w:numPr>
          <w:ilvl w:val="0"/>
          <w:numId w:val="6"/>
        </w:numPr>
        <w:spacing w:after="0" w:line="276"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Evaluarea performanței în domeniile de cercetare și inovare se va realiza în baza unei metodologii făcută public, care să prevadă </w:t>
      </w:r>
      <w:r>
        <w:rPr>
          <w:rFonts w:ascii="Times New Roman" w:eastAsia="Times New Roman" w:hAnsi="Times New Roman"/>
          <w:sz w:val="26"/>
          <w:szCs w:val="26"/>
          <w:lang w:val="ro-MO" w:eastAsia="ro-RO"/>
        </w:rPr>
        <w:t xml:space="preserve">inclusiv </w:t>
      </w:r>
      <w:r w:rsidRPr="004C7AC4">
        <w:rPr>
          <w:rFonts w:ascii="Times New Roman" w:eastAsia="Times New Roman" w:hAnsi="Times New Roman"/>
          <w:sz w:val="26"/>
          <w:szCs w:val="26"/>
          <w:lang w:val="ro-MO" w:eastAsia="ro-RO"/>
        </w:rPr>
        <w:t>modul de evitare a situațiilor de conflict de interese.</w:t>
      </w:r>
    </w:p>
    <w:p w:rsidR="00B61FA3" w:rsidRDefault="00B61FA3" w:rsidP="00B61FA3">
      <w:pPr>
        <w:numPr>
          <w:ilvl w:val="0"/>
          <w:numId w:val="6"/>
        </w:numPr>
        <w:spacing w:after="0" w:line="276" w:lineRule="auto"/>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Evaluarea </w:t>
      </w:r>
      <w:r w:rsidRPr="004C7AC4">
        <w:rPr>
          <w:rFonts w:ascii="Times New Roman" w:eastAsia="Times New Roman" w:hAnsi="Times New Roman"/>
          <w:sz w:val="26"/>
          <w:szCs w:val="26"/>
          <w:lang w:val="ro-MO" w:eastAsia="ro-RO"/>
        </w:rPr>
        <w:t>performanței în domeniile de cercetare și inovare se va realiza</w:t>
      </w:r>
      <w:r>
        <w:rPr>
          <w:rFonts w:ascii="Times New Roman" w:eastAsia="Times New Roman" w:hAnsi="Times New Roman"/>
          <w:sz w:val="26"/>
          <w:szCs w:val="26"/>
          <w:lang w:val="ro-MO" w:eastAsia="ro-RO"/>
        </w:rPr>
        <w:t xml:space="preserve"> după finalizarea Programului Național în domeniile Cercetării și Inovării și va servi, inclusiv la elaborarea de propuneri</w:t>
      </w:r>
      <w:r w:rsidRPr="004C7AC4">
        <w:rPr>
          <w:rFonts w:ascii="Times New Roman" w:eastAsia="Times New Roman" w:hAnsi="Times New Roman"/>
          <w:sz w:val="26"/>
          <w:szCs w:val="26"/>
          <w:lang w:val="ro-MO" w:eastAsia="ro-RO"/>
        </w:rPr>
        <w:t xml:space="preserve"> privind structura instituțională a infrastructurii publice din domeniile cercetării și inovării care urmează a fi finanțată instituțional din mijloacele bugetului de stat</w:t>
      </w:r>
      <w:r>
        <w:rPr>
          <w:rFonts w:ascii="Times New Roman" w:eastAsia="Times New Roman" w:hAnsi="Times New Roman"/>
          <w:sz w:val="26"/>
          <w:szCs w:val="26"/>
          <w:lang w:val="ro-MO" w:eastAsia="ro-RO"/>
        </w:rPr>
        <w:t>.</w:t>
      </w:r>
    </w:p>
    <w:p w:rsidR="00B61FA3" w:rsidRDefault="00B61FA3" w:rsidP="00B61FA3">
      <w:pPr>
        <w:numPr>
          <w:ilvl w:val="0"/>
          <w:numId w:val="6"/>
        </w:numPr>
        <w:spacing w:after="0" w:line="276" w:lineRule="auto"/>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Evaluarea </w:t>
      </w:r>
      <w:r w:rsidRPr="004C7AC4">
        <w:rPr>
          <w:rFonts w:ascii="Times New Roman" w:eastAsia="Times New Roman" w:hAnsi="Times New Roman"/>
          <w:sz w:val="26"/>
          <w:szCs w:val="26"/>
          <w:lang w:val="ro-MO" w:eastAsia="ro-RO"/>
        </w:rPr>
        <w:t xml:space="preserve">organizațiilor de drept public din domeniile cercetării și inovării </w:t>
      </w:r>
      <w:r>
        <w:rPr>
          <w:rFonts w:ascii="Times New Roman" w:eastAsia="Times New Roman" w:hAnsi="Times New Roman"/>
          <w:sz w:val="26"/>
          <w:szCs w:val="26"/>
          <w:lang w:val="ro-MO" w:eastAsia="ro-RO"/>
        </w:rPr>
        <w:t>se va finaliza prin clasificarea pe categorii A, B, C și D a entităților evaluate.</w:t>
      </w:r>
    </w:p>
    <w:p w:rsidR="00B61FA3" w:rsidRPr="004C7AC4" w:rsidRDefault="00B61FA3" w:rsidP="00B61FA3">
      <w:pPr>
        <w:numPr>
          <w:ilvl w:val="0"/>
          <w:numId w:val="6"/>
        </w:numPr>
        <w:spacing w:after="0" w:line="276" w:lineRule="auto"/>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Organizațiile</w:t>
      </w:r>
      <w:r w:rsidRPr="004C7AC4">
        <w:rPr>
          <w:rFonts w:ascii="Times New Roman" w:eastAsia="Times New Roman" w:hAnsi="Times New Roman"/>
          <w:sz w:val="26"/>
          <w:szCs w:val="26"/>
          <w:lang w:val="ro-MO" w:eastAsia="ro-RO"/>
        </w:rPr>
        <w:t xml:space="preserve"> de drept public din domeniile cercetării și inovării</w:t>
      </w:r>
      <w:r>
        <w:rPr>
          <w:rFonts w:ascii="Times New Roman" w:eastAsia="Times New Roman" w:hAnsi="Times New Roman"/>
          <w:sz w:val="26"/>
          <w:szCs w:val="26"/>
          <w:lang w:val="ro-MO" w:eastAsia="ro-RO"/>
        </w:rPr>
        <w:t xml:space="preserve"> evaluate, plasate în categoria D se vor propune spre desființare, cele plasate în categoria C vor fi propuse spre absorbție de cele din categoria A și B, entitățile din categoria B vor elabora și propune un plan de măsuri care să vizeze creșterea performanței în domeniul său de activitate, entitățile din categoria A vor beneficia de finanțare instituțională în mărime de cel puțin 25% mai mare față de finanțarea instituțională</w:t>
      </w:r>
      <w:r>
        <w:rPr>
          <w:rStyle w:val="Referinnotdesubsol"/>
          <w:rFonts w:ascii="Times New Roman" w:eastAsia="Times New Roman" w:hAnsi="Times New Roman"/>
          <w:sz w:val="26"/>
          <w:szCs w:val="26"/>
          <w:lang w:val="ro-MO" w:eastAsia="ro-RO"/>
        </w:rPr>
        <w:footnoteReference w:id="1"/>
      </w:r>
      <w:r>
        <w:rPr>
          <w:rFonts w:ascii="Times New Roman" w:eastAsia="Times New Roman" w:hAnsi="Times New Roman"/>
          <w:sz w:val="26"/>
          <w:szCs w:val="26"/>
          <w:lang w:val="ro-MO" w:eastAsia="ro-RO"/>
        </w:rPr>
        <w:t xml:space="preserve"> estimată ca o medie aritmetică anuală de care au beneficiat pe perioada evaluată.</w:t>
      </w:r>
    </w:p>
    <w:p w:rsidR="00B61FA3" w:rsidRPr="004C7AC4" w:rsidRDefault="00B61FA3" w:rsidP="00B61FA3">
      <w:pPr>
        <w:numPr>
          <w:ilvl w:val="0"/>
          <w:numId w:val="6"/>
        </w:numPr>
        <w:spacing w:after="0" w:line="276" w:lineRule="auto"/>
        <w:rPr>
          <w:rFonts w:ascii="Times New Roman" w:eastAsia="Times New Roman" w:hAnsi="Times New Roman"/>
          <w:b/>
          <w:sz w:val="26"/>
          <w:szCs w:val="26"/>
          <w:lang w:val="ro-MO" w:eastAsia="ro-RO"/>
        </w:rPr>
      </w:pPr>
      <w:r w:rsidRPr="004C7AC4">
        <w:rPr>
          <w:rFonts w:ascii="Times New Roman" w:eastAsia="Times New Roman" w:hAnsi="Times New Roman"/>
          <w:sz w:val="26"/>
          <w:szCs w:val="26"/>
          <w:lang w:val="ro-MO" w:eastAsia="ro-RO"/>
        </w:rPr>
        <w:t>În domeniul cercetărilor fundamentale</w:t>
      </w:r>
      <w:r>
        <w:rPr>
          <w:rFonts w:ascii="Times New Roman" w:eastAsia="Times New Roman" w:hAnsi="Times New Roman"/>
          <w:sz w:val="26"/>
          <w:szCs w:val="26"/>
          <w:lang w:val="ro-MO" w:eastAsia="ro-RO"/>
        </w:rPr>
        <w:t>, luând în considerație specificul fiecărui domeniu de cercetare</w:t>
      </w:r>
      <w:r w:rsidRPr="004C7AC4">
        <w:rPr>
          <w:rFonts w:ascii="Times New Roman" w:eastAsia="Times New Roman" w:hAnsi="Times New Roman"/>
          <w:sz w:val="26"/>
          <w:szCs w:val="26"/>
          <w:lang w:val="ro-MO" w:eastAsia="ro-RO"/>
        </w:rPr>
        <w:t>, evaluare</w:t>
      </w:r>
      <w:r>
        <w:rPr>
          <w:rFonts w:ascii="Times New Roman" w:eastAsia="Times New Roman" w:hAnsi="Times New Roman"/>
          <w:sz w:val="26"/>
          <w:szCs w:val="26"/>
          <w:lang w:val="ro-MO" w:eastAsia="ro-RO"/>
        </w:rPr>
        <w:t>a</w:t>
      </w:r>
      <w:r w:rsidRPr="004C7AC4">
        <w:rPr>
          <w:rFonts w:ascii="Times New Roman" w:eastAsia="Times New Roman" w:hAnsi="Times New Roman"/>
          <w:sz w:val="26"/>
          <w:szCs w:val="26"/>
          <w:lang w:val="ro-MO" w:eastAsia="ro-RO"/>
        </w:rPr>
        <w:t xml:space="preserve"> va ține cont de volumul mijloacelor aferente publicațiilor internaționale cu impact factor (lit. e) și activitatea desfășurată de pregătire a doctoranzilor (lit. h), luând în calcul următoarele criterii:</w:t>
      </w:r>
    </w:p>
    <w:p w:rsidR="00B61FA3" w:rsidRPr="004C7AC4" w:rsidRDefault="00B61FA3" w:rsidP="00B61FA3">
      <w:pPr>
        <w:numPr>
          <w:ilvl w:val="0"/>
          <w:numId w:val="2"/>
        </w:numPr>
        <w:spacing w:after="0" w:line="276" w:lineRule="auto"/>
        <w:rPr>
          <w:rFonts w:ascii="Times New Roman" w:eastAsia="Times New Roman" w:hAnsi="Times New Roman"/>
          <w:b/>
          <w:sz w:val="26"/>
          <w:szCs w:val="26"/>
          <w:lang w:val="ro-MO" w:eastAsia="ro-RO"/>
        </w:rPr>
      </w:pPr>
      <w:r w:rsidRPr="004C7AC4">
        <w:rPr>
          <w:rFonts w:ascii="Times New Roman" w:eastAsia="Times New Roman" w:hAnsi="Times New Roman"/>
          <w:sz w:val="26"/>
          <w:szCs w:val="26"/>
          <w:lang w:val="ro-MO" w:eastAsia="ro-RO"/>
        </w:rPr>
        <w:t xml:space="preserve">Numărul publicațiilor în reviste științifice internaționale </w:t>
      </w:r>
      <w:r>
        <w:rPr>
          <w:rFonts w:ascii="Times New Roman" w:eastAsia="Times New Roman" w:hAnsi="Times New Roman"/>
          <w:sz w:val="26"/>
          <w:szCs w:val="26"/>
          <w:lang w:val="ro-MO" w:eastAsia="ro-RO"/>
        </w:rPr>
        <w:t>indexate</w:t>
      </w:r>
      <w:r w:rsidRPr="004C7AC4">
        <w:rPr>
          <w:rFonts w:ascii="Times New Roman" w:eastAsia="Times New Roman" w:hAnsi="Times New Roman"/>
          <w:sz w:val="26"/>
          <w:szCs w:val="26"/>
          <w:lang w:val="ro-MO" w:eastAsia="ro-RO"/>
        </w:rPr>
        <w:t>, cu specificarea impact-factorului acestora;</w:t>
      </w:r>
    </w:p>
    <w:p w:rsidR="00B61FA3" w:rsidRPr="004C7AC4" w:rsidRDefault="00B61FA3" w:rsidP="00B61FA3">
      <w:pPr>
        <w:numPr>
          <w:ilvl w:val="0"/>
          <w:numId w:val="2"/>
        </w:numPr>
        <w:spacing w:after="0" w:line="276" w:lineRule="auto"/>
        <w:rPr>
          <w:rFonts w:ascii="Times New Roman" w:eastAsia="Times New Roman" w:hAnsi="Times New Roman"/>
          <w:b/>
          <w:sz w:val="26"/>
          <w:szCs w:val="26"/>
          <w:lang w:val="ro-MO" w:eastAsia="ro-RO"/>
        </w:rPr>
      </w:pPr>
      <w:r>
        <w:rPr>
          <w:rFonts w:ascii="Times New Roman" w:eastAsia="Times New Roman" w:hAnsi="Times New Roman"/>
          <w:sz w:val="26"/>
          <w:szCs w:val="26"/>
          <w:lang w:val="ro-MO" w:eastAsia="ro-RO"/>
        </w:rPr>
        <w:t>Impact-</w:t>
      </w:r>
      <w:r w:rsidRPr="004C7AC4">
        <w:rPr>
          <w:rFonts w:ascii="Times New Roman" w:eastAsia="Times New Roman" w:hAnsi="Times New Roman"/>
          <w:sz w:val="26"/>
          <w:szCs w:val="26"/>
          <w:lang w:val="ro-MO" w:eastAsia="ro-RO"/>
        </w:rPr>
        <w:t>factor mediu pe entitate, pentru perioadă evaluată (∑ impact factor/ ∑ publicați</w:t>
      </w:r>
      <w:r>
        <w:rPr>
          <w:rFonts w:ascii="Times New Roman" w:eastAsia="Times New Roman" w:hAnsi="Times New Roman"/>
          <w:sz w:val="26"/>
          <w:szCs w:val="26"/>
          <w:lang w:val="ro-MO" w:eastAsia="ro-RO"/>
        </w:rPr>
        <w:t>i</w:t>
      </w:r>
      <w:r w:rsidRPr="004C7AC4">
        <w:rPr>
          <w:rFonts w:ascii="Times New Roman" w:eastAsia="Times New Roman" w:hAnsi="Times New Roman"/>
          <w:sz w:val="26"/>
          <w:szCs w:val="26"/>
          <w:lang w:val="ro-MO" w:eastAsia="ro-RO"/>
        </w:rPr>
        <w:t>);</w:t>
      </w:r>
    </w:p>
    <w:p w:rsidR="00B61FA3" w:rsidRPr="004C7AC4" w:rsidRDefault="00B61FA3" w:rsidP="00B61FA3">
      <w:pPr>
        <w:numPr>
          <w:ilvl w:val="0"/>
          <w:numId w:val="2"/>
        </w:numPr>
        <w:spacing w:after="0" w:line="276" w:lineRule="auto"/>
        <w:rPr>
          <w:rFonts w:ascii="Times New Roman" w:eastAsia="Times New Roman" w:hAnsi="Times New Roman"/>
          <w:b/>
          <w:sz w:val="26"/>
          <w:szCs w:val="26"/>
          <w:lang w:val="ro-MO" w:eastAsia="ro-RO"/>
        </w:rPr>
      </w:pPr>
      <w:r w:rsidRPr="004C7AC4">
        <w:rPr>
          <w:rFonts w:ascii="Times New Roman" w:eastAsia="Times New Roman" w:hAnsi="Times New Roman"/>
          <w:sz w:val="26"/>
          <w:szCs w:val="26"/>
          <w:lang w:val="ro-MO" w:eastAsia="ro-RO"/>
        </w:rPr>
        <w:t>Bugetul total alocat instituției pentru perioada evaluată, inclusiv cheltuielile aferente infrastructurii;</w:t>
      </w:r>
    </w:p>
    <w:p w:rsidR="00B61FA3" w:rsidRPr="004C7AC4" w:rsidRDefault="00B61FA3" w:rsidP="00B61FA3">
      <w:pPr>
        <w:numPr>
          <w:ilvl w:val="0"/>
          <w:numId w:val="2"/>
        </w:numPr>
        <w:spacing w:after="0" w:line="276" w:lineRule="auto"/>
        <w:rPr>
          <w:rFonts w:ascii="Times New Roman" w:eastAsia="Times New Roman" w:hAnsi="Times New Roman"/>
          <w:b/>
          <w:sz w:val="26"/>
          <w:szCs w:val="26"/>
          <w:lang w:val="ro-MO" w:eastAsia="ro-RO"/>
        </w:rPr>
      </w:pPr>
      <w:r>
        <w:rPr>
          <w:rFonts w:ascii="Times New Roman" w:eastAsia="Times New Roman" w:hAnsi="Times New Roman"/>
          <w:sz w:val="26"/>
          <w:szCs w:val="26"/>
          <w:lang w:val="ro-MO" w:eastAsia="ro-RO"/>
        </w:rPr>
        <w:t>Bugetul mediu</w:t>
      </w:r>
      <w:r w:rsidRPr="004C7AC4">
        <w:rPr>
          <w:rFonts w:ascii="Times New Roman" w:eastAsia="Times New Roman" w:hAnsi="Times New Roman"/>
          <w:sz w:val="26"/>
          <w:szCs w:val="26"/>
          <w:lang w:val="ro-MO" w:eastAsia="ro-RO"/>
        </w:rPr>
        <w:t xml:space="preserve"> pe publicație (c/a);</w:t>
      </w:r>
    </w:p>
    <w:p w:rsidR="00B61FA3" w:rsidRPr="004C7AC4" w:rsidRDefault="00B61FA3" w:rsidP="00B61FA3">
      <w:pPr>
        <w:numPr>
          <w:ilvl w:val="0"/>
          <w:numId w:val="2"/>
        </w:numPr>
        <w:spacing w:after="0" w:line="276" w:lineRule="auto"/>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Bugetul alocat aferent impact-</w:t>
      </w:r>
      <w:r w:rsidRPr="004C7AC4">
        <w:rPr>
          <w:rFonts w:ascii="Times New Roman" w:eastAsia="Times New Roman" w:hAnsi="Times New Roman"/>
          <w:sz w:val="26"/>
          <w:szCs w:val="26"/>
          <w:lang w:val="ro-MO" w:eastAsia="ro-RO"/>
        </w:rPr>
        <w:t>factor mediu pe entitate</w:t>
      </w:r>
      <w:r>
        <w:rPr>
          <w:rFonts w:ascii="Times New Roman" w:eastAsia="Times New Roman" w:hAnsi="Times New Roman"/>
          <w:sz w:val="26"/>
          <w:szCs w:val="26"/>
          <w:lang w:val="ro-MO" w:eastAsia="ro-RO"/>
        </w:rPr>
        <w:t xml:space="preserve"> </w:t>
      </w:r>
      <w:r w:rsidRPr="004C7AC4">
        <w:rPr>
          <w:rFonts w:ascii="Times New Roman" w:eastAsia="Times New Roman" w:hAnsi="Times New Roman"/>
          <w:sz w:val="26"/>
          <w:szCs w:val="26"/>
          <w:lang w:val="ro-MO" w:eastAsia="ro-RO"/>
        </w:rPr>
        <w:t>(c/b);</w:t>
      </w:r>
    </w:p>
    <w:p w:rsidR="00B61FA3" w:rsidRPr="004C7AC4" w:rsidRDefault="00B61FA3" w:rsidP="00B61FA3">
      <w:pPr>
        <w:numPr>
          <w:ilvl w:val="0"/>
          <w:numId w:val="2"/>
        </w:numPr>
        <w:spacing w:after="0" w:line="276"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Numărul tezelor de doctor susținute;</w:t>
      </w:r>
    </w:p>
    <w:p w:rsidR="00B61FA3" w:rsidRPr="004C7AC4" w:rsidRDefault="00B61FA3" w:rsidP="00B61FA3">
      <w:pPr>
        <w:numPr>
          <w:ilvl w:val="0"/>
          <w:numId w:val="2"/>
        </w:numPr>
        <w:spacing w:after="0" w:line="276"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Bugetul alocat pentru pregătirea doctoranzilor;</w:t>
      </w:r>
    </w:p>
    <w:p w:rsidR="00B61FA3" w:rsidRDefault="00B61FA3" w:rsidP="00B61FA3">
      <w:pPr>
        <w:numPr>
          <w:ilvl w:val="0"/>
          <w:numId w:val="2"/>
        </w:numPr>
        <w:spacing w:after="0" w:line="276"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Bugetul mediu per doctorand </w:t>
      </w:r>
      <w:r>
        <w:rPr>
          <w:rFonts w:ascii="Times New Roman" w:eastAsia="Times New Roman" w:hAnsi="Times New Roman"/>
          <w:sz w:val="26"/>
          <w:szCs w:val="26"/>
          <w:lang w:val="ro-MO" w:eastAsia="ro-RO"/>
        </w:rPr>
        <w:t xml:space="preserve">pe instituție </w:t>
      </w:r>
      <w:r w:rsidRPr="004C7AC4">
        <w:rPr>
          <w:rFonts w:ascii="Times New Roman" w:eastAsia="Times New Roman" w:hAnsi="Times New Roman"/>
          <w:sz w:val="26"/>
          <w:szCs w:val="26"/>
          <w:lang w:val="ro-MO" w:eastAsia="ro-RO"/>
        </w:rPr>
        <w:t>(g/f)</w:t>
      </w:r>
      <w:r>
        <w:rPr>
          <w:rFonts w:ascii="Times New Roman" w:eastAsia="Times New Roman" w:hAnsi="Times New Roman"/>
          <w:sz w:val="26"/>
          <w:szCs w:val="26"/>
          <w:lang w:val="ro-MO" w:eastAsia="ro-RO"/>
        </w:rPr>
        <w:t>;</w:t>
      </w:r>
    </w:p>
    <w:p w:rsidR="00B61FA3" w:rsidRPr="004C7AC4" w:rsidRDefault="00B61FA3" w:rsidP="00B61FA3">
      <w:pPr>
        <w:numPr>
          <w:ilvl w:val="0"/>
          <w:numId w:val="2"/>
        </w:numPr>
        <w:spacing w:after="0" w:line="276" w:lineRule="auto"/>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Consultativ se va estima c</w:t>
      </w:r>
      <w:r w:rsidRPr="00956DE1">
        <w:rPr>
          <w:rFonts w:ascii="Times New Roman" w:eastAsia="Times New Roman" w:hAnsi="Times New Roman"/>
          <w:sz w:val="26"/>
          <w:szCs w:val="26"/>
          <w:lang w:val="ro-MO" w:eastAsia="ro-RO"/>
        </w:rPr>
        <w:t xml:space="preserve">ofinanțarea atrasă din partea Comisiei Europene în proiectele din cadrul Programelor Uniunii Europene destinate cercetării și </w:t>
      </w:r>
      <w:r w:rsidRPr="00956DE1">
        <w:rPr>
          <w:rFonts w:ascii="Times New Roman" w:eastAsia="Times New Roman" w:hAnsi="Times New Roman"/>
          <w:sz w:val="26"/>
          <w:szCs w:val="26"/>
          <w:lang w:val="ro-MO" w:eastAsia="ro-RO"/>
        </w:rPr>
        <w:lastRenderedPageBreak/>
        <w:t>inovării, exprimată ca pondere din bugetul instituției pentru perioada evaluată</w:t>
      </w:r>
      <w:r>
        <w:rPr>
          <w:rFonts w:ascii="Times New Roman" w:eastAsia="Times New Roman" w:hAnsi="Times New Roman"/>
          <w:sz w:val="26"/>
          <w:szCs w:val="26"/>
          <w:lang w:val="ro-MO" w:eastAsia="ro-RO"/>
        </w:rPr>
        <w:t>.</w:t>
      </w:r>
    </w:p>
    <w:p w:rsidR="00B61FA3" w:rsidRPr="004C7AC4" w:rsidRDefault="00B61FA3" w:rsidP="00B61FA3">
      <w:pPr>
        <w:numPr>
          <w:ilvl w:val="0"/>
          <w:numId w:val="6"/>
        </w:numPr>
        <w:spacing w:after="0" w:line="276"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În domeniul cercetări</w:t>
      </w:r>
      <w:r>
        <w:rPr>
          <w:rFonts w:ascii="Times New Roman" w:eastAsia="Times New Roman" w:hAnsi="Times New Roman"/>
          <w:sz w:val="26"/>
          <w:szCs w:val="26"/>
          <w:lang w:val="ro-MO" w:eastAsia="ro-RO"/>
        </w:rPr>
        <w:t>lo</w:t>
      </w:r>
      <w:r w:rsidRPr="004C7AC4">
        <w:rPr>
          <w:rFonts w:ascii="Times New Roman" w:eastAsia="Times New Roman" w:hAnsi="Times New Roman"/>
          <w:sz w:val="26"/>
          <w:szCs w:val="26"/>
          <w:lang w:val="ro-MO" w:eastAsia="ro-RO"/>
        </w:rPr>
        <w:t>r aplicative și dezvoltării experimentale, suplimentar la criteriile de evaluare specificate la pct.</w:t>
      </w:r>
      <w:r>
        <w:rPr>
          <w:rFonts w:ascii="Times New Roman" w:eastAsia="Times New Roman" w:hAnsi="Times New Roman"/>
          <w:sz w:val="26"/>
          <w:szCs w:val="26"/>
          <w:lang w:val="ro-MO" w:eastAsia="ro-RO"/>
        </w:rPr>
        <w:t>5</w:t>
      </w:r>
      <w:r w:rsidRPr="004C7AC4">
        <w:rPr>
          <w:rFonts w:ascii="Times New Roman" w:eastAsia="Times New Roman" w:hAnsi="Times New Roman"/>
          <w:sz w:val="26"/>
          <w:szCs w:val="26"/>
          <w:lang w:val="ro-MO" w:eastAsia="ro-RO"/>
        </w:rPr>
        <w:t xml:space="preserve"> se va lua în calcul aportul la dezvoltarea economiei naționale și a sferei sociale a cercetărilor realizate în cadrul entităților evaluate (scorul obținut la lit. e) și lit. g), luând în considerație următoarele criterii:</w:t>
      </w:r>
    </w:p>
    <w:p w:rsidR="00B61FA3" w:rsidRPr="004C7AC4" w:rsidRDefault="00B61FA3" w:rsidP="00B61FA3">
      <w:pPr>
        <w:numPr>
          <w:ilvl w:val="0"/>
          <w:numId w:val="3"/>
        </w:numPr>
        <w:spacing w:after="0" w:line="276"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numărul de proiecte de transfer tehnologic realizate prin folosirea rezultatelor obținute în cadrul proiectelor de cercetări aplicative finanțate de stat;</w:t>
      </w:r>
    </w:p>
    <w:p w:rsidR="00B61FA3" w:rsidRPr="004C7AC4" w:rsidRDefault="00B61FA3" w:rsidP="00B61FA3">
      <w:pPr>
        <w:numPr>
          <w:ilvl w:val="0"/>
          <w:numId w:val="3"/>
        </w:numPr>
        <w:spacing w:after="0" w:line="276"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numărul publicațiilor cu un tiraj mai mare de 50 de unități conținând rezultatele cercetărilor aplicative realizate, destinate instituțiilor sociale;</w:t>
      </w:r>
    </w:p>
    <w:p w:rsidR="00B61FA3" w:rsidRPr="004C7AC4" w:rsidRDefault="00B61FA3" w:rsidP="00B61FA3">
      <w:pPr>
        <w:numPr>
          <w:ilvl w:val="0"/>
          <w:numId w:val="3"/>
        </w:numPr>
        <w:spacing w:after="0" w:line="276"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numărul activităților de instruire sau de dezvoltare profesională din sfera socială realizate cu aplicarea rezultatelor aferente cercetărilor aplicative realizate;</w:t>
      </w:r>
    </w:p>
    <w:p w:rsidR="00B61FA3" w:rsidRPr="004C7AC4" w:rsidRDefault="00B61FA3" w:rsidP="00B61FA3">
      <w:pPr>
        <w:numPr>
          <w:ilvl w:val="0"/>
          <w:numId w:val="3"/>
        </w:numPr>
        <w:spacing w:after="0" w:line="276" w:lineRule="auto"/>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numărul </w:t>
      </w:r>
      <w:r w:rsidRPr="004C7AC4">
        <w:rPr>
          <w:rFonts w:ascii="Times New Roman" w:eastAsia="Times New Roman" w:hAnsi="Times New Roman"/>
          <w:sz w:val="26"/>
          <w:szCs w:val="26"/>
          <w:lang w:val="ro-MO" w:eastAsia="ro-RO"/>
        </w:rPr>
        <w:t>brevetelor de invenții înregistrate la nivel național și internațional, priorita</w:t>
      </w:r>
      <w:r>
        <w:rPr>
          <w:rFonts w:ascii="Times New Roman" w:eastAsia="Times New Roman" w:hAnsi="Times New Roman"/>
          <w:sz w:val="26"/>
          <w:szCs w:val="26"/>
          <w:lang w:val="ro-MO" w:eastAsia="ro-RO"/>
        </w:rPr>
        <w:t>t</w:t>
      </w:r>
      <w:r w:rsidRPr="004C7AC4">
        <w:rPr>
          <w:rFonts w:ascii="Times New Roman" w:eastAsia="Times New Roman" w:hAnsi="Times New Roman"/>
          <w:sz w:val="26"/>
          <w:szCs w:val="26"/>
          <w:lang w:val="ro-MO" w:eastAsia="ro-RO"/>
        </w:rPr>
        <w:t>e fiind acordată brevetelor internaționale;</w:t>
      </w:r>
    </w:p>
    <w:p w:rsidR="00B61FA3" w:rsidRPr="004C7AC4" w:rsidRDefault="00B61FA3" w:rsidP="00B61FA3">
      <w:pPr>
        <w:numPr>
          <w:ilvl w:val="0"/>
          <w:numId w:val="3"/>
        </w:numPr>
        <w:spacing w:after="0" w:line="276"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cofinanț</w:t>
      </w:r>
      <w:r>
        <w:rPr>
          <w:rFonts w:ascii="Times New Roman" w:eastAsia="Times New Roman" w:hAnsi="Times New Roman"/>
          <w:sz w:val="26"/>
          <w:szCs w:val="26"/>
          <w:lang w:val="ro-MO" w:eastAsia="ro-RO"/>
        </w:rPr>
        <w:t>area</w:t>
      </w:r>
      <w:r w:rsidRPr="004C7AC4">
        <w:rPr>
          <w:rFonts w:ascii="Times New Roman" w:eastAsia="Times New Roman" w:hAnsi="Times New Roman"/>
          <w:sz w:val="26"/>
          <w:szCs w:val="26"/>
          <w:lang w:val="ro-MO" w:eastAsia="ro-RO"/>
        </w:rPr>
        <w:t xml:space="preserve"> sectorului privat la realizarea proiectelor de transfer tehnologic în baza rezultatelor cercetărilor aplicative;</w:t>
      </w:r>
    </w:p>
    <w:p w:rsidR="00B61FA3" w:rsidRPr="004C7AC4" w:rsidRDefault="00B61FA3" w:rsidP="00B61FA3">
      <w:pPr>
        <w:numPr>
          <w:ilvl w:val="0"/>
          <w:numId w:val="3"/>
        </w:numPr>
        <w:spacing w:after="0" w:line="276"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cifra de afaceri obținută de agenții economici cu aplicarea rezultatelor cercetărilor aplicative urmare implementării proiectelor de transfer tehnologic;</w:t>
      </w:r>
    </w:p>
    <w:p w:rsidR="00B61FA3" w:rsidRPr="004C7AC4" w:rsidRDefault="00B61FA3" w:rsidP="00B61FA3">
      <w:pPr>
        <w:numPr>
          <w:ilvl w:val="0"/>
          <w:numId w:val="3"/>
        </w:numPr>
        <w:spacing w:after="0" w:line="276"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volumul cheltuielilor bugetare sau din alte surse alocate de terțe părți aferente rezultatelor cercetărilor aplicative în domeniul științelor sociale, pentru tipărirea publicațiilor care conțin rezultatele menționate, sau aferente activităților de instruire și de dezvoltare profesională.</w:t>
      </w:r>
    </w:p>
    <w:p w:rsidR="00B61FA3" w:rsidRDefault="00B61FA3" w:rsidP="00B61FA3">
      <w:pPr>
        <w:spacing w:after="0" w:line="240" w:lineRule="auto"/>
        <w:ind w:firstLine="567"/>
        <w:jc w:val="both"/>
        <w:rPr>
          <w:rFonts w:ascii="Times New Roman" w:eastAsia="Times New Roman" w:hAnsi="Times New Roman"/>
          <w:sz w:val="24"/>
          <w:szCs w:val="24"/>
          <w:lang w:val="ro-MO" w:eastAsia="ro-RO"/>
        </w:rPr>
      </w:pPr>
      <w:r w:rsidRPr="004C7AC4">
        <w:rPr>
          <w:rFonts w:ascii="Times New Roman" w:eastAsia="Times New Roman" w:hAnsi="Times New Roman"/>
          <w:sz w:val="24"/>
          <w:szCs w:val="24"/>
          <w:lang w:val="ro-MO" w:eastAsia="ro-RO"/>
        </w:rPr>
        <w:t> </w:t>
      </w:r>
    </w:p>
    <w:p w:rsidR="00B61FA3" w:rsidRPr="004C7AC4" w:rsidRDefault="00B61FA3" w:rsidP="00B61FA3">
      <w:pPr>
        <w:spacing w:after="0" w:line="240" w:lineRule="auto"/>
        <w:ind w:firstLine="567"/>
        <w:jc w:val="both"/>
        <w:rPr>
          <w:rFonts w:ascii="Times New Roman" w:eastAsia="Times New Roman" w:hAnsi="Times New Roman"/>
          <w:sz w:val="24"/>
          <w:szCs w:val="24"/>
          <w:lang w:val="ro-MO" w:eastAsia="ro-RO"/>
        </w:rPr>
      </w:pPr>
      <w:r>
        <w:rPr>
          <w:rFonts w:ascii="Times New Roman" w:eastAsia="Times New Roman" w:hAnsi="Times New Roman"/>
          <w:sz w:val="24"/>
          <w:szCs w:val="24"/>
          <w:lang w:val="ro-MO" w:eastAsia="ro-RO"/>
        </w:rPr>
        <w:br w:type="page"/>
      </w:r>
    </w:p>
    <w:p w:rsidR="00B61FA3" w:rsidRPr="004C7AC4" w:rsidRDefault="00B61FA3" w:rsidP="00B61FA3">
      <w:pPr>
        <w:spacing w:after="0" w:line="240" w:lineRule="auto"/>
        <w:jc w:val="right"/>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lastRenderedPageBreak/>
        <w:t xml:space="preserve">Anexa nr.2 </w:t>
      </w:r>
    </w:p>
    <w:p w:rsidR="00B61FA3" w:rsidRPr="004C7AC4" w:rsidRDefault="00B61FA3" w:rsidP="00B61FA3">
      <w:pPr>
        <w:spacing w:after="0" w:line="240" w:lineRule="auto"/>
        <w:jc w:val="right"/>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la </w:t>
      </w:r>
      <w:proofErr w:type="spellStart"/>
      <w:r w:rsidRPr="004C7AC4">
        <w:rPr>
          <w:rFonts w:ascii="Times New Roman" w:eastAsia="Times New Roman" w:hAnsi="Times New Roman"/>
          <w:sz w:val="26"/>
          <w:szCs w:val="26"/>
          <w:lang w:val="ro-MO" w:eastAsia="ro-RO"/>
        </w:rPr>
        <w:t>Hotărîrea</w:t>
      </w:r>
      <w:proofErr w:type="spellEnd"/>
      <w:r w:rsidRPr="004C7AC4">
        <w:rPr>
          <w:rFonts w:ascii="Times New Roman" w:eastAsia="Times New Roman" w:hAnsi="Times New Roman"/>
          <w:sz w:val="26"/>
          <w:szCs w:val="26"/>
          <w:lang w:val="ro-MO" w:eastAsia="ro-RO"/>
        </w:rPr>
        <w:t xml:space="preserve"> Guvernului </w:t>
      </w:r>
    </w:p>
    <w:p w:rsidR="00B61FA3" w:rsidRPr="004C7AC4" w:rsidRDefault="00B61FA3" w:rsidP="00B61FA3">
      <w:pPr>
        <w:spacing w:after="0" w:line="240" w:lineRule="auto"/>
        <w:jc w:val="right"/>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nr. din </w:t>
      </w:r>
    </w:p>
    <w:p w:rsidR="00B61FA3" w:rsidRPr="004C7AC4" w:rsidRDefault="00B61FA3" w:rsidP="00B61FA3">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w:t>
      </w:r>
    </w:p>
    <w:p w:rsidR="00B61FA3" w:rsidRPr="00AD67FF" w:rsidRDefault="00B61FA3" w:rsidP="00B61FA3">
      <w:pPr>
        <w:spacing w:after="0" w:line="240" w:lineRule="auto"/>
        <w:ind w:left="-567" w:firstLine="567"/>
        <w:jc w:val="center"/>
        <w:rPr>
          <w:rFonts w:ascii="Times New Roman" w:eastAsia="Times New Roman" w:hAnsi="Times New Roman"/>
          <w:b/>
          <w:sz w:val="26"/>
          <w:szCs w:val="26"/>
          <w:lang w:val="ro-MO" w:eastAsia="ro-RO"/>
        </w:rPr>
      </w:pPr>
      <w:r>
        <w:rPr>
          <w:rFonts w:ascii="Times New Roman" w:eastAsia="Times New Roman" w:hAnsi="Times New Roman"/>
          <w:b/>
          <w:sz w:val="26"/>
          <w:szCs w:val="26"/>
          <w:lang w:val="ro-MO" w:eastAsia="ro-RO"/>
        </w:rPr>
        <w:t>Criteriile</w:t>
      </w:r>
      <w:r w:rsidRPr="00AD67FF">
        <w:rPr>
          <w:rFonts w:ascii="Times New Roman" w:eastAsia="Times New Roman" w:hAnsi="Times New Roman"/>
          <w:b/>
          <w:sz w:val="26"/>
          <w:szCs w:val="26"/>
          <w:lang w:val="ro-MO" w:eastAsia="ro-RO"/>
        </w:rPr>
        <w:t xml:space="preserve"> de ținere a </w:t>
      </w:r>
      <w:r>
        <w:rPr>
          <w:rFonts w:ascii="Times New Roman" w:eastAsia="Times New Roman" w:hAnsi="Times New Roman"/>
          <w:b/>
          <w:sz w:val="26"/>
          <w:szCs w:val="26"/>
          <w:lang w:val="ro-MO" w:eastAsia="ro-RO"/>
        </w:rPr>
        <w:t>bazei de date a</w:t>
      </w:r>
      <w:r w:rsidRPr="00AD67FF">
        <w:rPr>
          <w:rFonts w:ascii="Times New Roman" w:eastAsia="Times New Roman" w:hAnsi="Times New Roman"/>
          <w:b/>
          <w:sz w:val="26"/>
          <w:szCs w:val="26"/>
          <w:lang w:val="ro-MO" w:eastAsia="ro-RO"/>
        </w:rPr>
        <w:t xml:space="preserve"> cercetătorilor științifici</w:t>
      </w:r>
    </w:p>
    <w:p w:rsidR="00B61FA3" w:rsidRPr="004C7AC4" w:rsidRDefault="00B61FA3" w:rsidP="00B61FA3">
      <w:pPr>
        <w:spacing w:after="0" w:line="240" w:lineRule="auto"/>
        <w:ind w:left="-567" w:firstLine="567"/>
        <w:rPr>
          <w:rFonts w:ascii="Times New Roman" w:eastAsia="Times New Roman" w:hAnsi="Times New Roman"/>
          <w:sz w:val="26"/>
          <w:szCs w:val="26"/>
          <w:lang w:val="ro-MO" w:eastAsia="ro-RO"/>
        </w:rPr>
      </w:pPr>
    </w:p>
    <w:p w:rsidR="00B61FA3" w:rsidRPr="004C7AC4" w:rsidRDefault="00B61FA3" w:rsidP="00B61FA3">
      <w:pPr>
        <w:numPr>
          <w:ilvl w:val="0"/>
          <w:numId w:val="4"/>
        </w:numPr>
        <w:spacing w:after="0" w:line="240"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Înregistrarea în </w:t>
      </w:r>
      <w:r>
        <w:rPr>
          <w:rFonts w:ascii="Times New Roman" w:eastAsia="Times New Roman" w:hAnsi="Times New Roman"/>
          <w:sz w:val="26"/>
          <w:szCs w:val="26"/>
          <w:lang w:val="ro-MO" w:eastAsia="ro-RO"/>
        </w:rPr>
        <w:t>baza de date</w:t>
      </w:r>
      <w:r w:rsidRPr="004C7AC4">
        <w:rPr>
          <w:rFonts w:ascii="Times New Roman" w:eastAsia="Times New Roman" w:hAnsi="Times New Roman"/>
          <w:sz w:val="26"/>
          <w:szCs w:val="26"/>
          <w:lang w:val="ro-MO" w:eastAsia="ro-RO"/>
        </w:rPr>
        <w:t xml:space="preserve"> este benevolă și gratuită.</w:t>
      </w:r>
    </w:p>
    <w:p w:rsidR="00B61FA3" w:rsidRPr="004C7AC4" w:rsidRDefault="00B61FA3" w:rsidP="00B61FA3">
      <w:pPr>
        <w:numPr>
          <w:ilvl w:val="0"/>
          <w:numId w:val="4"/>
        </w:numPr>
        <w:spacing w:after="0" w:line="240"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În scopul formării </w:t>
      </w:r>
      <w:r>
        <w:rPr>
          <w:rFonts w:ascii="Times New Roman" w:eastAsia="Times New Roman" w:hAnsi="Times New Roman"/>
          <w:sz w:val="26"/>
          <w:szCs w:val="26"/>
          <w:lang w:val="ro-MO" w:eastAsia="ro-RO"/>
        </w:rPr>
        <w:t>bazei de date</w:t>
      </w:r>
      <w:r w:rsidRPr="004C7AC4">
        <w:rPr>
          <w:rFonts w:ascii="Times New Roman" w:eastAsia="Times New Roman" w:hAnsi="Times New Roman"/>
          <w:sz w:val="26"/>
          <w:szCs w:val="26"/>
          <w:lang w:val="ro-MO" w:eastAsia="ro-RO"/>
        </w:rPr>
        <w:t xml:space="preserve">, </w:t>
      </w:r>
      <w:r>
        <w:rPr>
          <w:rFonts w:ascii="Times New Roman" w:eastAsia="Times New Roman" w:hAnsi="Times New Roman"/>
          <w:sz w:val="26"/>
          <w:szCs w:val="26"/>
          <w:lang w:val="ro-MO" w:eastAsia="ro-RO"/>
        </w:rPr>
        <w:t>Agenția Națională pentru Cercetare și Dezvoltare,</w:t>
      </w:r>
      <w:r w:rsidRPr="004C7AC4">
        <w:rPr>
          <w:rFonts w:ascii="Times New Roman" w:eastAsia="Times New Roman" w:hAnsi="Times New Roman"/>
          <w:sz w:val="26"/>
          <w:szCs w:val="26"/>
          <w:lang w:val="ro-MO" w:eastAsia="ro-RO"/>
        </w:rPr>
        <w:t xml:space="preserve"> prin intermediul mijloacelor de informare în masă și a altor măsuri</w:t>
      </w:r>
      <w:r>
        <w:rPr>
          <w:rFonts w:ascii="Times New Roman" w:eastAsia="Times New Roman" w:hAnsi="Times New Roman"/>
          <w:sz w:val="26"/>
          <w:szCs w:val="26"/>
          <w:lang w:val="ro-MO" w:eastAsia="ro-RO"/>
        </w:rPr>
        <w:t>,</w:t>
      </w:r>
      <w:r w:rsidRPr="004C7AC4">
        <w:rPr>
          <w:rFonts w:ascii="Times New Roman" w:eastAsia="Times New Roman" w:hAnsi="Times New Roman"/>
          <w:sz w:val="26"/>
          <w:szCs w:val="26"/>
          <w:lang w:val="ro-MO" w:eastAsia="ro-RO"/>
        </w:rPr>
        <w:t xml:space="preserve"> va asigura informarea în acest sens a personalul didactic al instituțiilor de învățământ superior, personalului științific din cadrul instituțiilor publice de cercetare și altor entități înregistrate în modul corespunzător ca având obiect de activitate efectuarea de cercetări științifice și inovare, altor categorii de persoane interesate.</w:t>
      </w:r>
    </w:p>
    <w:p w:rsidR="00B61FA3" w:rsidRPr="004C7AC4" w:rsidRDefault="00B61FA3" w:rsidP="00B61FA3">
      <w:pPr>
        <w:numPr>
          <w:ilvl w:val="0"/>
          <w:numId w:val="4"/>
        </w:numPr>
        <w:spacing w:after="0" w:line="240"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Cercetătorii înregistrați în </w:t>
      </w:r>
      <w:r>
        <w:rPr>
          <w:rFonts w:ascii="Times New Roman" w:eastAsia="Times New Roman" w:hAnsi="Times New Roman"/>
          <w:sz w:val="26"/>
          <w:szCs w:val="26"/>
          <w:lang w:val="ro-MO" w:eastAsia="ro-RO"/>
        </w:rPr>
        <w:t>baza de date</w:t>
      </w:r>
      <w:r w:rsidRPr="004C7AC4">
        <w:rPr>
          <w:rFonts w:ascii="Times New Roman" w:eastAsia="Times New Roman" w:hAnsi="Times New Roman"/>
          <w:sz w:val="26"/>
          <w:szCs w:val="26"/>
          <w:lang w:val="ro-MO" w:eastAsia="ro-RO"/>
        </w:rPr>
        <w:t xml:space="preserve"> au </w:t>
      </w:r>
      <w:r>
        <w:rPr>
          <w:rFonts w:ascii="Times New Roman" w:eastAsia="Times New Roman" w:hAnsi="Times New Roman"/>
          <w:sz w:val="26"/>
          <w:szCs w:val="26"/>
          <w:lang w:val="ro-MO" w:eastAsia="ro-RO"/>
        </w:rPr>
        <w:t>dreptul</w:t>
      </w:r>
      <w:r w:rsidRPr="004C7AC4">
        <w:rPr>
          <w:rFonts w:ascii="Times New Roman" w:eastAsia="Times New Roman" w:hAnsi="Times New Roman"/>
          <w:sz w:val="26"/>
          <w:szCs w:val="26"/>
          <w:lang w:val="ro-MO" w:eastAsia="ro-RO"/>
        </w:rPr>
        <w:t xml:space="preserve"> de a solicita prin prezentarea documentelor justificative actualizarea informațiilor conținute</w:t>
      </w:r>
      <w:r>
        <w:rPr>
          <w:rFonts w:ascii="Times New Roman" w:eastAsia="Times New Roman" w:hAnsi="Times New Roman"/>
          <w:sz w:val="26"/>
          <w:szCs w:val="26"/>
          <w:lang w:val="ro-MO" w:eastAsia="ro-RO"/>
        </w:rPr>
        <w:t xml:space="preserve"> în baza de date</w:t>
      </w:r>
      <w:r w:rsidRPr="004C7AC4">
        <w:rPr>
          <w:rFonts w:ascii="Times New Roman" w:eastAsia="Times New Roman" w:hAnsi="Times New Roman"/>
          <w:sz w:val="26"/>
          <w:szCs w:val="26"/>
          <w:lang w:val="ro-MO" w:eastAsia="ro-RO"/>
        </w:rPr>
        <w:t>.</w:t>
      </w:r>
    </w:p>
    <w:p w:rsidR="00B61FA3" w:rsidRPr="006D499F" w:rsidRDefault="00B61FA3" w:rsidP="00B61FA3">
      <w:pPr>
        <w:numPr>
          <w:ilvl w:val="0"/>
          <w:numId w:val="4"/>
        </w:numPr>
        <w:spacing w:after="0" w:line="240" w:lineRule="auto"/>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Agenția Națională pentru Cercetare și Dezvoltare</w:t>
      </w:r>
      <w:r w:rsidRPr="004C7AC4">
        <w:rPr>
          <w:rFonts w:ascii="Times New Roman" w:eastAsia="Times New Roman" w:hAnsi="Times New Roman"/>
          <w:sz w:val="26"/>
          <w:szCs w:val="26"/>
          <w:lang w:val="ro-MO" w:eastAsia="ro-RO"/>
        </w:rPr>
        <w:t xml:space="preserve"> va realiza înregistrarea în </w:t>
      </w:r>
      <w:r>
        <w:rPr>
          <w:rFonts w:ascii="Times New Roman" w:eastAsia="Times New Roman" w:hAnsi="Times New Roman"/>
          <w:sz w:val="26"/>
          <w:szCs w:val="26"/>
          <w:lang w:val="ro-MO" w:eastAsia="ro-RO"/>
        </w:rPr>
        <w:t>baza de date</w:t>
      </w:r>
      <w:r w:rsidRPr="004C7AC4">
        <w:rPr>
          <w:rFonts w:ascii="Times New Roman" w:eastAsia="Times New Roman" w:hAnsi="Times New Roman"/>
          <w:sz w:val="26"/>
          <w:szCs w:val="26"/>
          <w:lang w:val="ro-MO" w:eastAsia="ro-RO"/>
        </w:rPr>
        <w:t xml:space="preserve"> </w:t>
      </w:r>
      <w:r>
        <w:rPr>
          <w:rFonts w:ascii="Times New Roman" w:eastAsia="Times New Roman" w:hAnsi="Times New Roman"/>
          <w:sz w:val="26"/>
          <w:szCs w:val="26"/>
          <w:lang w:val="ro-MO" w:eastAsia="ro-RO"/>
        </w:rPr>
        <w:t>urmare depunerii</w:t>
      </w:r>
      <w:r w:rsidRPr="004C7AC4">
        <w:rPr>
          <w:rFonts w:ascii="Times New Roman" w:eastAsia="Times New Roman" w:hAnsi="Times New Roman"/>
          <w:sz w:val="26"/>
          <w:szCs w:val="26"/>
          <w:lang w:val="ro-MO" w:eastAsia="ro-RO"/>
        </w:rPr>
        <w:t xml:space="preserve"> cererii adresate din partea cercetător</w:t>
      </w:r>
      <w:r>
        <w:rPr>
          <w:rFonts w:ascii="Times New Roman" w:eastAsia="Times New Roman" w:hAnsi="Times New Roman"/>
          <w:sz w:val="26"/>
          <w:szCs w:val="26"/>
          <w:lang w:val="ro-MO" w:eastAsia="ro-RO"/>
        </w:rPr>
        <w:t>ului</w:t>
      </w:r>
      <w:r w:rsidRPr="004C7AC4">
        <w:rPr>
          <w:rFonts w:ascii="Times New Roman" w:eastAsia="Times New Roman" w:hAnsi="Times New Roman"/>
          <w:sz w:val="26"/>
          <w:szCs w:val="26"/>
          <w:lang w:val="ro-MO" w:eastAsia="ro-RO"/>
        </w:rPr>
        <w:t>, la care se va anexa dovada existenței studiilor și confirmarea din cadrul organizației în care activează privind funcția științifică deținută.</w:t>
      </w:r>
    </w:p>
    <w:p w:rsidR="00B61FA3" w:rsidRPr="004C7AC4" w:rsidRDefault="00B61FA3" w:rsidP="00B61FA3">
      <w:pPr>
        <w:numPr>
          <w:ilvl w:val="0"/>
          <w:numId w:val="4"/>
        </w:numPr>
        <w:spacing w:after="0" w:line="240"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În cadrul </w:t>
      </w:r>
      <w:r>
        <w:rPr>
          <w:rFonts w:ascii="Times New Roman" w:eastAsia="Times New Roman" w:hAnsi="Times New Roman"/>
          <w:sz w:val="26"/>
          <w:szCs w:val="26"/>
          <w:lang w:val="ro-MO" w:eastAsia="ro-RO"/>
        </w:rPr>
        <w:t>bazei de date</w:t>
      </w:r>
      <w:r w:rsidRPr="004C7AC4">
        <w:rPr>
          <w:rFonts w:ascii="Times New Roman" w:eastAsia="Times New Roman" w:hAnsi="Times New Roman"/>
          <w:sz w:val="26"/>
          <w:szCs w:val="26"/>
          <w:lang w:val="ro-MO" w:eastAsia="ro-RO"/>
        </w:rPr>
        <w:t xml:space="preserve"> se vor conține date</w:t>
      </w:r>
      <w:r>
        <w:rPr>
          <w:rFonts w:ascii="Times New Roman" w:eastAsia="Times New Roman" w:hAnsi="Times New Roman"/>
          <w:sz w:val="26"/>
          <w:szCs w:val="26"/>
          <w:lang w:val="ro-MO" w:eastAsia="ro-RO"/>
        </w:rPr>
        <w:t>le</w:t>
      </w:r>
      <w:r w:rsidRPr="004C7AC4">
        <w:rPr>
          <w:rFonts w:ascii="Times New Roman" w:eastAsia="Times New Roman" w:hAnsi="Times New Roman"/>
          <w:sz w:val="26"/>
          <w:szCs w:val="26"/>
          <w:lang w:val="ro-MO" w:eastAsia="ro-RO"/>
        </w:rPr>
        <w:t xml:space="preserve"> cu </w:t>
      </w:r>
      <w:r>
        <w:rPr>
          <w:rFonts w:ascii="Times New Roman" w:eastAsia="Times New Roman" w:hAnsi="Times New Roman"/>
          <w:sz w:val="26"/>
          <w:szCs w:val="26"/>
          <w:lang w:val="ro-MO" w:eastAsia="ro-RO"/>
        </w:rPr>
        <w:t>referire</w:t>
      </w:r>
      <w:r w:rsidRPr="004C7AC4">
        <w:rPr>
          <w:rFonts w:ascii="Times New Roman" w:eastAsia="Times New Roman" w:hAnsi="Times New Roman"/>
          <w:sz w:val="26"/>
          <w:szCs w:val="26"/>
          <w:lang w:val="ro-MO" w:eastAsia="ro-RO"/>
        </w:rPr>
        <w:t xml:space="preserve"> la fiecare cercetător științific cu privire la:</w:t>
      </w:r>
    </w:p>
    <w:p w:rsidR="00B61FA3" w:rsidRPr="004C7AC4" w:rsidRDefault="00B61FA3" w:rsidP="00B61FA3">
      <w:pPr>
        <w:numPr>
          <w:ilvl w:val="1"/>
          <w:numId w:val="4"/>
        </w:numPr>
        <w:spacing w:after="0" w:line="240"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Nume;</w:t>
      </w:r>
    </w:p>
    <w:p w:rsidR="00B61FA3" w:rsidRPr="004C7AC4" w:rsidRDefault="00B61FA3" w:rsidP="00B61FA3">
      <w:pPr>
        <w:numPr>
          <w:ilvl w:val="1"/>
          <w:numId w:val="4"/>
        </w:numPr>
        <w:spacing w:after="0" w:line="240"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Prenume;</w:t>
      </w:r>
    </w:p>
    <w:p w:rsidR="00B61FA3" w:rsidRPr="004C7AC4" w:rsidRDefault="00B61FA3" w:rsidP="00B61FA3">
      <w:pPr>
        <w:numPr>
          <w:ilvl w:val="1"/>
          <w:numId w:val="4"/>
        </w:numPr>
        <w:spacing w:after="0" w:line="240"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Data nașterii;</w:t>
      </w:r>
    </w:p>
    <w:p w:rsidR="00B61FA3" w:rsidRPr="004C7AC4" w:rsidRDefault="00B61FA3" w:rsidP="00B61FA3">
      <w:pPr>
        <w:numPr>
          <w:ilvl w:val="1"/>
          <w:numId w:val="4"/>
        </w:numPr>
        <w:spacing w:after="0" w:line="240"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Cetățenia;</w:t>
      </w:r>
    </w:p>
    <w:p w:rsidR="00B61FA3" w:rsidRPr="004C7AC4" w:rsidRDefault="00B61FA3" w:rsidP="00B61FA3">
      <w:pPr>
        <w:numPr>
          <w:ilvl w:val="1"/>
          <w:numId w:val="4"/>
        </w:numPr>
        <w:spacing w:after="0" w:line="240"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Studiile</w:t>
      </w:r>
      <w:r>
        <w:rPr>
          <w:rFonts w:ascii="Times New Roman" w:eastAsia="Times New Roman" w:hAnsi="Times New Roman"/>
          <w:sz w:val="26"/>
          <w:szCs w:val="26"/>
          <w:lang w:val="ro-MO" w:eastAsia="ro-RO"/>
        </w:rPr>
        <w:t xml:space="preserve"> (conform </w:t>
      </w:r>
      <w:r w:rsidRPr="00120EC8">
        <w:rPr>
          <w:rFonts w:ascii="Times New Roman" w:eastAsia="Times New Roman" w:hAnsi="Times New Roman"/>
          <w:sz w:val="26"/>
          <w:szCs w:val="26"/>
          <w:lang w:val="ro-MO" w:eastAsia="ro-RO"/>
        </w:rPr>
        <w:t>Nomenclatorului domeniilor  de formare profesională şi al specialităţilor  în învățământul superior</w:t>
      </w:r>
      <w:r>
        <w:rPr>
          <w:rFonts w:ascii="Times New Roman" w:eastAsia="Times New Roman" w:hAnsi="Times New Roman"/>
          <w:sz w:val="26"/>
          <w:szCs w:val="26"/>
          <w:lang w:val="ro-MO" w:eastAsia="ro-RO"/>
        </w:rPr>
        <w:t xml:space="preserve">: Hotărârea Guvernului nr.482 din 28.06.2017, </w:t>
      </w:r>
      <w:r w:rsidRPr="004F0ED0">
        <w:rPr>
          <w:rFonts w:ascii="Times New Roman" w:eastAsia="Times New Roman" w:hAnsi="Times New Roman"/>
          <w:sz w:val="26"/>
          <w:szCs w:val="26"/>
          <w:lang w:val="ro-MO" w:eastAsia="ro-RO"/>
        </w:rPr>
        <w:t>Publicat : </w:t>
      </w:r>
      <w:r>
        <w:rPr>
          <w:rFonts w:ascii="Times New Roman" w:eastAsia="Times New Roman" w:hAnsi="Times New Roman"/>
          <w:sz w:val="26"/>
          <w:szCs w:val="26"/>
          <w:lang w:val="ro-MO" w:eastAsia="ro-RO"/>
        </w:rPr>
        <w:t>30</w:t>
      </w:r>
      <w:r w:rsidRPr="004F0ED0">
        <w:rPr>
          <w:rFonts w:ascii="Times New Roman" w:eastAsia="Times New Roman" w:hAnsi="Times New Roman"/>
          <w:sz w:val="26"/>
          <w:szCs w:val="26"/>
          <w:lang w:val="ro-MO" w:eastAsia="ro-RO"/>
        </w:rPr>
        <w:t>.0</w:t>
      </w:r>
      <w:r>
        <w:rPr>
          <w:rFonts w:ascii="Times New Roman" w:eastAsia="Times New Roman" w:hAnsi="Times New Roman"/>
          <w:sz w:val="26"/>
          <w:szCs w:val="26"/>
          <w:lang w:val="ro-MO" w:eastAsia="ro-RO"/>
        </w:rPr>
        <w:t>6</w:t>
      </w:r>
      <w:r w:rsidRPr="004F0ED0">
        <w:rPr>
          <w:rFonts w:ascii="Times New Roman" w:eastAsia="Times New Roman" w:hAnsi="Times New Roman"/>
          <w:sz w:val="26"/>
          <w:szCs w:val="26"/>
          <w:lang w:val="ro-MO" w:eastAsia="ro-RO"/>
        </w:rPr>
        <w:t>.201</w:t>
      </w:r>
      <w:r>
        <w:rPr>
          <w:rFonts w:ascii="Times New Roman" w:eastAsia="Times New Roman" w:hAnsi="Times New Roman"/>
          <w:sz w:val="26"/>
          <w:szCs w:val="26"/>
          <w:lang w:val="ro-MO" w:eastAsia="ro-RO"/>
        </w:rPr>
        <w:t>7</w:t>
      </w:r>
      <w:r w:rsidRPr="004F0ED0">
        <w:rPr>
          <w:rFonts w:ascii="Times New Roman" w:eastAsia="Times New Roman" w:hAnsi="Times New Roman"/>
          <w:sz w:val="26"/>
          <w:szCs w:val="26"/>
          <w:lang w:val="ro-MO" w:eastAsia="ro-RO"/>
        </w:rPr>
        <w:t xml:space="preserve"> în Monitorul Oficial Nr. </w:t>
      </w:r>
      <w:r>
        <w:rPr>
          <w:rFonts w:ascii="Times New Roman" w:eastAsia="Times New Roman" w:hAnsi="Times New Roman"/>
          <w:sz w:val="26"/>
          <w:szCs w:val="26"/>
          <w:lang w:val="ro-MO" w:eastAsia="ro-RO"/>
        </w:rPr>
        <w:t xml:space="preserve">216-228, </w:t>
      </w:r>
      <w:proofErr w:type="spellStart"/>
      <w:r w:rsidRPr="004F0ED0">
        <w:rPr>
          <w:rFonts w:ascii="Times New Roman" w:eastAsia="Times New Roman" w:hAnsi="Times New Roman"/>
          <w:sz w:val="26"/>
          <w:szCs w:val="26"/>
          <w:lang w:val="ro-MO" w:eastAsia="ro-RO"/>
        </w:rPr>
        <w:t>art</w:t>
      </w:r>
      <w:proofErr w:type="spellEnd"/>
      <w:r w:rsidRPr="004F0ED0">
        <w:rPr>
          <w:rFonts w:ascii="Times New Roman" w:eastAsia="Times New Roman" w:hAnsi="Times New Roman"/>
          <w:sz w:val="26"/>
          <w:szCs w:val="26"/>
          <w:lang w:val="ro-MO" w:eastAsia="ro-RO"/>
        </w:rPr>
        <w:t xml:space="preserve"> Nr : </w:t>
      </w:r>
      <w:r>
        <w:rPr>
          <w:rFonts w:ascii="Times New Roman" w:eastAsia="Times New Roman" w:hAnsi="Times New Roman"/>
          <w:sz w:val="26"/>
          <w:szCs w:val="26"/>
          <w:lang w:val="ro-MO" w:eastAsia="ro-RO"/>
        </w:rPr>
        <w:t>564)</w:t>
      </w:r>
      <w:r w:rsidRPr="004C7AC4">
        <w:rPr>
          <w:rFonts w:ascii="Times New Roman" w:eastAsia="Times New Roman" w:hAnsi="Times New Roman"/>
          <w:sz w:val="26"/>
          <w:szCs w:val="26"/>
          <w:lang w:val="ro-MO" w:eastAsia="ro-RO"/>
        </w:rPr>
        <w:t>;</w:t>
      </w:r>
    </w:p>
    <w:p w:rsidR="00B61FA3" w:rsidRPr="004C7AC4" w:rsidRDefault="00B61FA3" w:rsidP="00B61FA3">
      <w:pPr>
        <w:numPr>
          <w:ilvl w:val="1"/>
          <w:numId w:val="4"/>
        </w:numPr>
        <w:spacing w:after="0" w:line="240" w:lineRule="auto"/>
        <w:rPr>
          <w:rFonts w:ascii="Times New Roman" w:eastAsia="Times New Roman" w:hAnsi="Times New Roman"/>
          <w:sz w:val="26"/>
          <w:szCs w:val="26"/>
          <w:lang w:val="ro-MO" w:eastAsia="ro-RO"/>
        </w:rPr>
      </w:pPr>
      <w:r w:rsidRPr="00120EC8">
        <w:rPr>
          <w:rFonts w:ascii="Times New Roman" w:eastAsia="Times New Roman" w:hAnsi="Times New Roman"/>
          <w:sz w:val="26"/>
          <w:szCs w:val="26"/>
          <w:lang w:val="ro-MO" w:eastAsia="ro-RO"/>
        </w:rPr>
        <w:t>Titlul ştiinţific sau ştiinţifico-didactic</w:t>
      </w:r>
      <w:r w:rsidRPr="004C7AC4">
        <w:rPr>
          <w:rFonts w:ascii="Times New Roman" w:eastAsia="Times New Roman" w:hAnsi="Times New Roman"/>
          <w:sz w:val="26"/>
          <w:szCs w:val="26"/>
          <w:lang w:val="ro-MO" w:eastAsia="ro-RO"/>
        </w:rPr>
        <w:t>;</w:t>
      </w:r>
    </w:p>
    <w:p w:rsidR="00B61FA3" w:rsidRPr="004C7AC4" w:rsidRDefault="00B61FA3" w:rsidP="00B61FA3">
      <w:pPr>
        <w:numPr>
          <w:ilvl w:val="1"/>
          <w:numId w:val="4"/>
        </w:numPr>
        <w:spacing w:after="0" w:line="240"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Domeniul științific (în corespundere cu </w:t>
      </w:r>
      <w:r w:rsidRPr="004F0ED0">
        <w:rPr>
          <w:rFonts w:ascii="Times New Roman" w:eastAsia="Times New Roman" w:hAnsi="Times New Roman"/>
          <w:sz w:val="26"/>
          <w:szCs w:val="26"/>
          <w:lang w:val="ro-MO" w:eastAsia="ro-RO"/>
        </w:rPr>
        <w:t>Nomenclatorului specialităţilor ştiinţifice aprobat prin Hotărârea Guvernului Nr. 199 din  13.03.2013, Publicat : 22.03.2013 în Monitorul Oficial Nr. 60-63</w:t>
      </w:r>
      <w:r>
        <w:rPr>
          <w:rFonts w:ascii="Times New Roman" w:eastAsia="Times New Roman" w:hAnsi="Times New Roman"/>
          <w:sz w:val="26"/>
          <w:szCs w:val="26"/>
          <w:lang w:val="ro-MO" w:eastAsia="ro-RO"/>
        </w:rPr>
        <w:t xml:space="preserve">, </w:t>
      </w:r>
      <w:proofErr w:type="spellStart"/>
      <w:r w:rsidRPr="004F0ED0">
        <w:rPr>
          <w:rFonts w:ascii="Times New Roman" w:eastAsia="Times New Roman" w:hAnsi="Times New Roman"/>
          <w:sz w:val="26"/>
          <w:szCs w:val="26"/>
          <w:lang w:val="ro-MO" w:eastAsia="ro-RO"/>
        </w:rPr>
        <w:t>art</w:t>
      </w:r>
      <w:proofErr w:type="spellEnd"/>
      <w:r w:rsidRPr="004F0ED0">
        <w:rPr>
          <w:rFonts w:ascii="Times New Roman" w:eastAsia="Times New Roman" w:hAnsi="Times New Roman"/>
          <w:sz w:val="26"/>
          <w:szCs w:val="26"/>
          <w:lang w:val="ro-MO" w:eastAsia="ro-RO"/>
        </w:rPr>
        <w:t xml:space="preserve"> Nr : 253</w:t>
      </w:r>
      <w:r w:rsidRPr="004C7AC4">
        <w:rPr>
          <w:rFonts w:ascii="Times New Roman" w:eastAsia="Times New Roman" w:hAnsi="Times New Roman"/>
          <w:sz w:val="26"/>
          <w:szCs w:val="26"/>
          <w:lang w:val="ro-MO" w:eastAsia="ro-RO"/>
        </w:rPr>
        <w:t>);</w:t>
      </w:r>
    </w:p>
    <w:p w:rsidR="00B61FA3" w:rsidRPr="004C7AC4" w:rsidRDefault="00B61FA3" w:rsidP="00B61FA3">
      <w:pPr>
        <w:numPr>
          <w:ilvl w:val="1"/>
          <w:numId w:val="4"/>
        </w:numPr>
        <w:spacing w:after="0" w:line="240" w:lineRule="auto"/>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Datele de contact</w:t>
      </w:r>
      <w:r w:rsidRPr="004C7AC4">
        <w:rPr>
          <w:rFonts w:ascii="Times New Roman" w:eastAsia="Times New Roman" w:hAnsi="Times New Roman"/>
          <w:sz w:val="26"/>
          <w:szCs w:val="26"/>
          <w:lang w:val="ro-MO" w:eastAsia="ro-RO"/>
        </w:rPr>
        <w:t>;</w:t>
      </w:r>
    </w:p>
    <w:p w:rsidR="00B61FA3" w:rsidRPr="004C7AC4" w:rsidRDefault="00B61FA3" w:rsidP="00B61FA3">
      <w:pPr>
        <w:numPr>
          <w:ilvl w:val="1"/>
          <w:numId w:val="4"/>
        </w:numPr>
        <w:spacing w:after="0" w:line="240"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Lista proiectelor de cercetări științifice la care a participat;</w:t>
      </w:r>
    </w:p>
    <w:p w:rsidR="00B61FA3" w:rsidRDefault="00B61FA3" w:rsidP="00B61FA3">
      <w:pPr>
        <w:numPr>
          <w:ilvl w:val="1"/>
          <w:numId w:val="4"/>
        </w:numPr>
        <w:spacing w:after="0" w:line="240"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Mențiuni la final de proiect privind modul în care a fost realizat proiectul de cercetări științifice în care a participat cercetătorul (finalizat cu succes, finalizat cu întârziere, eșuat).</w:t>
      </w:r>
    </w:p>
    <w:p w:rsidR="00B61FA3" w:rsidRDefault="00B61FA3" w:rsidP="00B61FA3">
      <w:pPr>
        <w:spacing w:after="0" w:line="240" w:lineRule="auto"/>
        <w:ind w:left="1065"/>
        <w:rPr>
          <w:rFonts w:ascii="Times New Roman" w:eastAsia="Times New Roman" w:hAnsi="Times New Roman"/>
          <w:sz w:val="26"/>
          <w:szCs w:val="26"/>
          <w:lang w:val="ro-MO" w:eastAsia="ro-RO"/>
        </w:rPr>
      </w:pPr>
    </w:p>
    <w:p w:rsidR="00B61FA3" w:rsidRDefault="00B61FA3" w:rsidP="00B61FA3">
      <w:pPr>
        <w:spacing w:after="0" w:line="240" w:lineRule="auto"/>
        <w:ind w:left="1065"/>
        <w:rPr>
          <w:rFonts w:ascii="Times New Roman" w:eastAsia="Times New Roman" w:hAnsi="Times New Roman"/>
          <w:sz w:val="26"/>
          <w:szCs w:val="26"/>
          <w:lang w:val="ro-MO" w:eastAsia="ro-RO"/>
        </w:rPr>
      </w:pPr>
    </w:p>
    <w:p w:rsidR="00B61FA3" w:rsidRPr="004C7AC4" w:rsidRDefault="00B61FA3" w:rsidP="00B61FA3">
      <w:pPr>
        <w:spacing w:after="0" w:line="240" w:lineRule="auto"/>
        <w:ind w:left="1770"/>
        <w:rPr>
          <w:rFonts w:ascii="Times New Roman" w:eastAsia="Times New Roman" w:hAnsi="Times New Roman"/>
          <w:sz w:val="26"/>
          <w:szCs w:val="26"/>
          <w:lang w:val="ro-MO" w:eastAsia="ro-RO"/>
        </w:rPr>
      </w:pPr>
    </w:p>
    <w:p w:rsidR="00B61FA3" w:rsidRDefault="00B61FA3" w:rsidP="00B61FA3">
      <w:pPr>
        <w:spacing w:after="0" w:line="240" w:lineRule="auto"/>
        <w:jc w:val="right"/>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br w:type="page"/>
      </w:r>
    </w:p>
    <w:p w:rsidR="00B61FA3" w:rsidRPr="004C7AC4" w:rsidRDefault="00B61FA3" w:rsidP="00B61FA3">
      <w:pPr>
        <w:spacing w:after="0" w:line="240" w:lineRule="auto"/>
        <w:jc w:val="right"/>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lastRenderedPageBreak/>
        <w:t xml:space="preserve">Anexa nr.3 </w:t>
      </w:r>
    </w:p>
    <w:p w:rsidR="00B61FA3" w:rsidRPr="004C7AC4" w:rsidRDefault="00B61FA3" w:rsidP="00B61FA3">
      <w:pPr>
        <w:spacing w:after="0" w:line="240" w:lineRule="auto"/>
        <w:jc w:val="right"/>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la </w:t>
      </w:r>
      <w:proofErr w:type="spellStart"/>
      <w:r w:rsidRPr="004C7AC4">
        <w:rPr>
          <w:rFonts w:ascii="Times New Roman" w:eastAsia="Times New Roman" w:hAnsi="Times New Roman"/>
          <w:sz w:val="26"/>
          <w:szCs w:val="26"/>
          <w:lang w:val="ro-MO" w:eastAsia="ro-RO"/>
        </w:rPr>
        <w:t>Hotărîrea</w:t>
      </w:r>
      <w:proofErr w:type="spellEnd"/>
      <w:r w:rsidRPr="004C7AC4">
        <w:rPr>
          <w:rFonts w:ascii="Times New Roman" w:eastAsia="Times New Roman" w:hAnsi="Times New Roman"/>
          <w:sz w:val="26"/>
          <w:szCs w:val="26"/>
          <w:lang w:val="ro-MO" w:eastAsia="ro-RO"/>
        </w:rPr>
        <w:t xml:space="preserve"> Guvernului </w:t>
      </w:r>
    </w:p>
    <w:p w:rsidR="00B61FA3" w:rsidRPr="004C7AC4" w:rsidRDefault="00B61FA3" w:rsidP="00B61FA3">
      <w:pPr>
        <w:spacing w:after="0" w:line="240" w:lineRule="auto"/>
        <w:jc w:val="right"/>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nr. din </w:t>
      </w:r>
    </w:p>
    <w:p w:rsidR="00B61FA3" w:rsidRPr="004C7AC4" w:rsidRDefault="00B61FA3" w:rsidP="00B61FA3">
      <w:pPr>
        <w:spacing w:after="0" w:line="240" w:lineRule="auto"/>
        <w:ind w:left="-567" w:firstLine="567"/>
        <w:jc w:val="center"/>
        <w:rPr>
          <w:rFonts w:ascii="Times New Roman" w:eastAsia="Times New Roman" w:hAnsi="Times New Roman"/>
          <w:b/>
          <w:sz w:val="26"/>
          <w:szCs w:val="26"/>
          <w:lang w:val="ro-MO" w:eastAsia="ro-RO"/>
        </w:rPr>
      </w:pPr>
      <w:r>
        <w:rPr>
          <w:rFonts w:ascii="Times New Roman" w:eastAsia="Times New Roman" w:hAnsi="Times New Roman"/>
          <w:b/>
          <w:sz w:val="26"/>
          <w:szCs w:val="26"/>
          <w:lang w:val="ro-MO" w:eastAsia="ro-RO"/>
        </w:rPr>
        <w:t>Criteriile</w:t>
      </w:r>
      <w:r w:rsidRPr="004C7AC4">
        <w:rPr>
          <w:rFonts w:ascii="Times New Roman" w:eastAsia="Times New Roman" w:hAnsi="Times New Roman"/>
          <w:b/>
          <w:sz w:val="26"/>
          <w:szCs w:val="26"/>
          <w:lang w:val="ro-MO" w:eastAsia="ro-RO"/>
        </w:rPr>
        <w:t xml:space="preserve"> de ținere a </w:t>
      </w:r>
      <w:r>
        <w:rPr>
          <w:rFonts w:ascii="Times New Roman" w:eastAsia="Times New Roman" w:hAnsi="Times New Roman"/>
          <w:b/>
          <w:sz w:val="26"/>
          <w:szCs w:val="26"/>
          <w:lang w:val="ro-MO" w:eastAsia="ro-RO"/>
        </w:rPr>
        <w:t xml:space="preserve">bazei de date a </w:t>
      </w:r>
      <w:r w:rsidRPr="004C7AC4">
        <w:rPr>
          <w:rFonts w:ascii="Times New Roman" w:eastAsia="Times New Roman" w:hAnsi="Times New Roman"/>
          <w:b/>
          <w:sz w:val="26"/>
          <w:szCs w:val="26"/>
          <w:lang w:val="ro-MO" w:eastAsia="ro-RO"/>
        </w:rPr>
        <w:t>evaluatori</w:t>
      </w:r>
      <w:r>
        <w:rPr>
          <w:rFonts w:ascii="Times New Roman" w:eastAsia="Times New Roman" w:hAnsi="Times New Roman"/>
          <w:b/>
          <w:sz w:val="26"/>
          <w:szCs w:val="26"/>
          <w:lang w:val="ro-MO" w:eastAsia="ro-RO"/>
        </w:rPr>
        <w:t>lor</w:t>
      </w:r>
      <w:r w:rsidRPr="004C7AC4">
        <w:rPr>
          <w:rFonts w:ascii="Times New Roman" w:eastAsia="Times New Roman" w:hAnsi="Times New Roman"/>
          <w:b/>
          <w:sz w:val="26"/>
          <w:szCs w:val="26"/>
          <w:lang w:val="ro-MO" w:eastAsia="ro-RO"/>
        </w:rPr>
        <w:t xml:space="preserve"> </w:t>
      </w:r>
    </w:p>
    <w:p w:rsidR="00B61FA3" w:rsidRPr="004C7AC4" w:rsidRDefault="00B61FA3" w:rsidP="00B61FA3">
      <w:pPr>
        <w:spacing w:after="0" w:line="240" w:lineRule="auto"/>
        <w:ind w:left="-567" w:firstLine="567"/>
        <w:rPr>
          <w:rFonts w:ascii="Times New Roman" w:eastAsia="Times New Roman" w:hAnsi="Times New Roman"/>
          <w:sz w:val="26"/>
          <w:szCs w:val="26"/>
          <w:lang w:val="ro-MO" w:eastAsia="ro-RO"/>
        </w:rPr>
      </w:pPr>
    </w:p>
    <w:p w:rsidR="00B61FA3" w:rsidRPr="004C7AC4" w:rsidRDefault="00B61FA3" w:rsidP="00B61FA3">
      <w:pPr>
        <w:numPr>
          <w:ilvl w:val="0"/>
          <w:numId w:val="5"/>
        </w:numPr>
        <w:spacing w:after="0" w:line="240"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Proiectele de cercetare și inovare finanțate din contul mijloacelor bugetului de stat vor fi evaluate de evaluatori independenți înregistrați în </w:t>
      </w:r>
      <w:r>
        <w:rPr>
          <w:rFonts w:ascii="Times New Roman" w:eastAsia="Times New Roman" w:hAnsi="Times New Roman"/>
          <w:sz w:val="26"/>
          <w:szCs w:val="26"/>
          <w:lang w:val="ro-MO" w:eastAsia="ro-RO"/>
        </w:rPr>
        <w:t>Baza de date a</w:t>
      </w:r>
      <w:r w:rsidRPr="004C7AC4">
        <w:rPr>
          <w:rFonts w:ascii="Times New Roman" w:eastAsia="Times New Roman" w:hAnsi="Times New Roman"/>
          <w:sz w:val="26"/>
          <w:szCs w:val="26"/>
          <w:lang w:val="ro-MO" w:eastAsia="ro-RO"/>
        </w:rPr>
        <w:t xml:space="preserve"> evaluatorilor</w:t>
      </w:r>
      <w:r>
        <w:rPr>
          <w:rFonts w:ascii="Times New Roman" w:eastAsia="Times New Roman" w:hAnsi="Times New Roman"/>
          <w:sz w:val="26"/>
          <w:szCs w:val="26"/>
          <w:lang w:val="ro-MO" w:eastAsia="ro-RO"/>
        </w:rPr>
        <w:t>,</w:t>
      </w:r>
      <w:r w:rsidRPr="004C7AC4">
        <w:rPr>
          <w:rFonts w:ascii="Times New Roman" w:eastAsia="Times New Roman" w:hAnsi="Times New Roman"/>
          <w:sz w:val="26"/>
          <w:szCs w:val="26"/>
          <w:lang w:val="ro-MO" w:eastAsia="ro-RO"/>
        </w:rPr>
        <w:t xml:space="preserve"> ținut</w:t>
      </w:r>
      <w:r>
        <w:rPr>
          <w:rFonts w:ascii="Times New Roman" w:eastAsia="Times New Roman" w:hAnsi="Times New Roman"/>
          <w:sz w:val="26"/>
          <w:szCs w:val="26"/>
          <w:lang w:val="ro-MO" w:eastAsia="ro-RO"/>
        </w:rPr>
        <w:t>ă</w:t>
      </w:r>
      <w:r w:rsidRPr="004C7AC4">
        <w:rPr>
          <w:rFonts w:ascii="Times New Roman" w:eastAsia="Times New Roman" w:hAnsi="Times New Roman"/>
          <w:sz w:val="26"/>
          <w:szCs w:val="26"/>
          <w:lang w:val="ro-MO" w:eastAsia="ro-RO"/>
        </w:rPr>
        <w:t xml:space="preserve"> de Agenția Națională pentru Cercetare și Dezvoltare.</w:t>
      </w:r>
    </w:p>
    <w:p w:rsidR="00B61FA3" w:rsidRPr="004C7AC4" w:rsidRDefault="00B61FA3" w:rsidP="00B61FA3">
      <w:pPr>
        <w:numPr>
          <w:ilvl w:val="0"/>
          <w:numId w:val="5"/>
        </w:numPr>
        <w:spacing w:after="0" w:line="240" w:lineRule="auto"/>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Baza de date a evaluatorilor reprezintă o extensie </w:t>
      </w:r>
      <w:r w:rsidRPr="004C7AC4">
        <w:rPr>
          <w:rFonts w:ascii="Times New Roman" w:eastAsia="Times New Roman" w:hAnsi="Times New Roman"/>
          <w:sz w:val="26"/>
          <w:szCs w:val="26"/>
          <w:lang w:val="ro-MO" w:eastAsia="ro-RO"/>
        </w:rPr>
        <w:t xml:space="preserve">a </w:t>
      </w:r>
      <w:r>
        <w:rPr>
          <w:rFonts w:ascii="Times New Roman" w:eastAsia="Times New Roman" w:hAnsi="Times New Roman"/>
          <w:sz w:val="26"/>
          <w:szCs w:val="26"/>
          <w:lang w:val="ro-MO" w:eastAsia="ro-RO"/>
        </w:rPr>
        <w:t>bazei de date a</w:t>
      </w:r>
      <w:r w:rsidRPr="004C7AC4">
        <w:rPr>
          <w:rFonts w:ascii="Times New Roman" w:eastAsia="Times New Roman" w:hAnsi="Times New Roman"/>
          <w:sz w:val="26"/>
          <w:szCs w:val="26"/>
          <w:lang w:val="ro-MO" w:eastAsia="ro-RO"/>
        </w:rPr>
        <w:t xml:space="preserve"> cercetătorilor științifici ținut</w:t>
      </w:r>
      <w:r>
        <w:rPr>
          <w:rFonts w:ascii="Times New Roman" w:eastAsia="Times New Roman" w:hAnsi="Times New Roman"/>
          <w:sz w:val="26"/>
          <w:szCs w:val="26"/>
          <w:lang w:val="ro-MO" w:eastAsia="ro-RO"/>
        </w:rPr>
        <w:t>ă</w:t>
      </w:r>
      <w:r w:rsidRPr="004C7AC4">
        <w:rPr>
          <w:rFonts w:ascii="Times New Roman" w:eastAsia="Times New Roman" w:hAnsi="Times New Roman"/>
          <w:sz w:val="26"/>
          <w:szCs w:val="26"/>
          <w:lang w:val="ro-MO" w:eastAsia="ro-RO"/>
        </w:rPr>
        <w:t xml:space="preserve"> de</w:t>
      </w:r>
      <w:r w:rsidRPr="00B33427">
        <w:rPr>
          <w:rFonts w:ascii="Times New Roman" w:eastAsia="Times New Roman" w:hAnsi="Times New Roman"/>
          <w:sz w:val="26"/>
          <w:szCs w:val="26"/>
          <w:lang w:val="ro-MO" w:eastAsia="ro-RO"/>
        </w:rPr>
        <w:t xml:space="preserve"> </w:t>
      </w:r>
      <w:r w:rsidRPr="004C7AC4">
        <w:rPr>
          <w:rFonts w:ascii="Times New Roman" w:eastAsia="Times New Roman" w:hAnsi="Times New Roman"/>
          <w:sz w:val="26"/>
          <w:szCs w:val="26"/>
          <w:lang w:val="ro-MO" w:eastAsia="ro-RO"/>
        </w:rPr>
        <w:t>Agenția Națională pentru Cercetare și Dezvoltare</w:t>
      </w:r>
      <w:r>
        <w:rPr>
          <w:rFonts w:ascii="Times New Roman" w:eastAsia="Times New Roman" w:hAnsi="Times New Roman"/>
          <w:sz w:val="26"/>
          <w:szCs w:val="26"/>
          <w:lang w:val="ro-MO" w:eastAsia="ro-RO"/>
        </w:rPr>
        <w:t>, prin completarea</w:t>
      </w:r>
      <w:r w:rsidRPr="004C7AC4">
        <w:rPr>
          <w:rFonts w:ascii="Times New Roman" w:eastAsia="Times New Roman" w:hAnsi="Times New Roman"/>
          <w:sz w:val="26"/>
          <w:szCs w:val="26"/>
          <w:lang w:val="ro-MO" w:eastAsia="ro-RO"/>
        </w:rPr>
        <w:t xml:space="preserve"> unor inform</w:t>
      </w:r>
      <w:r>
        <w:rPr>
          <w:rFonts w:ascii="Times New Roman" w:eastAsia="Times New Roman" w:hAnsi="Times New Roman"/>
          <w:sz w:val="26"/>
          <w:szCs w:val="26"/>
          <w:lang w:val="ro-MO" w:eastAsia="ro-RO"/>
        </w:rPr>
        <w:t>ații suplimentare și includere</w:t>
      </w:r>
      <w:r w:rsidRPr="004C7AC4">
        <w:rPr>
          <w:rFonts w:ascii="Times New Roman" w:eastAsia="Times New Roman" w:hAnsi="Times New Roman"/>
          <w:sz w:val="26"/>
          <w:szCs w:val="26"/>
          <w:lang w:val="ro-MO" w:eastAsia="ro-RO"/>
        </w:rPr>
        <w:t>a cercetătorilor științifici internaționali.</w:t>
      </w:r>
    </w:p>
    <w:p w:rsidR="00B61FA3" w:rsidRPr="004C7AC4" w:rsidRDefault="00B61FA3" w:rsidP="00B61FA3">
      <w:pPr>
        <w:numPr>
          <w:ilvl w:val="0"/>
          <w:numId w:val="5"/>
        </w:numPr>
        <w:spacing w:after="0" w:line="240"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Agenția Națională pentru Cercetare și D</w:t>
      </w:r>
      <w:r>
        <w:rPr>
          <w:rFonts w:ascii="Times New Roman" w:eastAsia="Times New Roman" w:hAnsi="Times New Roman"/>
          <w:sz w:val="26"/>
          <w:szCs w:val="26"/>
          <w:lang w:val="ro-MO" w:eastAsia="ro-RO"/>
        </w:rPr>
        <w:t>ezvoltare va întreprinde acțiuni</w:t>
      </w:r>
      <w:r w:rsidRPr="004C7AC4">
        <w:rPr>
          <w:rFonts w:ascii="Times New Roman" w:eastAsia="Times New Roman" w:hAnsi="Times New Roman"/>
          <w:sz w:val="26"/>
          <w:szCs w:val="26"/>
          <w:lang w:val="ro-MO" w:eastAsia="ro-RO"/>
        </w:rPr>
        <w:t xml:space="preserve"> de informare a </w:t>
      </w:r>
      <w:r>
        <w:rPr>
          <w:rFonts w:ascii="Times New Roman" w:eastAsia="Times New Roman" w:hAnsi="Times New Roman"/>
          <w:sz w:val="26"/>
          <w:szCs w:val="26"/>
          <w:lang w:val="ro-MO" w:eastAsia="ro-RO"/>
        </w:rPr>
        <w:t>comunității</w:t>
      </w:r>
      <w:r w:rsidRPr="004C7AC4">
        <w:rPr>
          <w:rFonts w:ascii="Times New Roman" w:eastAsia="Times New Roman" w:hAnsi="Times New Roman"/>
          <w:sz w:val="26"/>
          <w:szCs w:val="26"/>
          <w:lang w:val="ro-MO" w:eastAsia="ro-RO"/>
        </w:rPr>
        <w:t xml:space="preserve"> științifice a Republicii Moldova</w:t>
      </w:r>
      <w:r>
        <w:rPr>
          <w:rFonts w:ascii="Times New Roman" w:eastAsia="Times New Roman" w:hAnsi="Times New Roman"/>
          <w:sz w:val="26"/>
          <w:szCs w:val="26"/>
          <w:lang w:val="ro-MO" w:eastAsia="ro-RO"/>
        </w:rPr>
        <w:t>, inclusiv a cercetătorilor aflați peste hotarele țării,</w:t>
      </w:r>
      <w:r w:rsidRPr="004C7AC4">
        <w:rPr>
          <w:rFonts w:ascii="Times New Roman" w:eastAsia="Times New Roman" w:hAnsi="Times New Roman"/>
          <w:sz w:val="26"/>
          <w:szCs w:val="26"/>
          <w:lang w:val="ro-MO" w:eastAsia="ro-RO"/>
        </w:rPr>
        <w:t xml:space="preserve"> în vederea participării în calitate de evaluator a proiectelor de cercetare și inovare în Republica Moldova.</w:t>
      </w:r>
    </w:p>
    <w:p w:rsidR="00B61FA3" w:rsidRPr="004C7AC4" w:rsidRDefault="00B61FA3" w:rsidP="00B61FA3">
      <w:pPr>
        <w:numPr>
          <w:ilvl w:val="0"/>
          <w:numId w:val="5"/>
        </w:numPr>
        <w:spacing w:after="0" w:line="240"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Cu referire la fiecare evaluator, Agenția Națională pentru Cercetare și Dezvoltare va înregistra informația privind proiectele evaluate, punctajul oferit, rezultatul implementării proiectelor evaluate, mențiuni privind eșecul în implementarea proiectelor ca urmare a unor evaluări eronate.</w:t>
      </w:r>
    </w:p>
    <w:p w:rsidR="00B61FA3" w:rsidRDefault="00B61FA3" w:rsidP="00B61FA3">
      <w:pPr>
        <w:spacing w:after="0" w:line="240" w:lineRule="auto"/>
        <w:ind w:firstLine="567"/>
        <w:jc w:val="both"/>
        <w:rPr>
          <w:rFonts w:ascii="Times New Roman" w:eastAsia="Times New Roman" w:hAnsi="Times New Roman"/>
          <w:sz w:val="26"/>
          <w:szCs w:val="26"/>
          <w:lang w:val="ro-MO" w:eastAsia="ro-RO"/>
        </w:rPr>
      </w:pPr>
    </w:p>
    <w:p w:rsidR="00B61FA3" w:rsidRDefault="00B61FA3" w:rsidP="00B61FA3">
      <w:pPr>
        <w:spacing w:after="0" w:line="240" w:lineRule="auto"/>
        <w:ind w:firstLine="567"/>
        <w:jc w:val="both"/>
        <w:rPr>
          <w:rFonts w:ascii="Times New Roman" w:eastAsia="Times New Roman" w:hAnsi="Times New Roman"/>
          <w:sz w:val="26"/>
          <w:szCs w:val="26"/>
          <w:lang w:val="ro-MO" w:eastAsia="ro-RO"/>
        </w:rPr>
      </w:pPr>
    </w:p>
    <w:p w:rsidR="00B61FA3" w:rsidRPr="004C7AC4" w:rsidRDefault="00B61FA3" w:rsidP="00B61FA3">
      <w:pPr>
        <w:spacing w:after="0" w:line="240" w:lineRule="auto"/>
        <w:ind w:firstLine="567"/>
        <w:jc w:val="both"/>
        <w:rPr>
          <w:rFonts w:ascii="Times New Roman" w:eastAsia="Times New Roman" w:hAnsi="Times New Roman"/>
          <w:sz w:val="26"/>
          <w:szCs w:val="26"/>
          <w:lang w:val="ro-MO" w:eastAsia="ro-RO"/>
        </w:rPr>
      </w:pPr>
    </w:p>
    <w:p w:rsidR="00B61FA3" w:rsidRPr="004C7AC4" w:rsidRDefault="00B61FA3" w:rsidP="00B61FA3">
      <w:pPr>
        <w:spacing w:after="0" w:line="240" w:lineRule="auto"/>
        <w:ind w:firstLine="567"/>
        <w:jc w:val="both"/>
        <w:rPr>
          <w:rFonts w:ascii="Times New Roman" w:eastAsia="Times New Roman" w:hAnsi="Times New Roman"/>
          <w:sz w:val="26"/>
          <w:szCs w:val="26"/>
          <w:lang w:val="ro-MO" w:eastAsia="ro-RO"/>
        </w:rPr>
      </w:pPr>
    </w:p>
    <w:p w:rsidR="00B61FA3" w:rsidRPr="004C7AC4" w:rsidRDefault="00B61FA3" w:rsidP="00B61FA3">
      <w:pPr>
        <w:spacing w:after="0" w:line="240" w:lineRule="auto"/>
        <w:ind w:firstLine="567"/>
        <w:jc w:val="both"/>
        <w:rPr>
          <w:rFonts w:ascii="Times New Roman" w:eastAsia="Times New Roman" w:hAnsi="Times New Roman"/>
          <w:sz w:val="26"/>
          <w:szCs w:val="26"/>
          <w:lang w:val="ro-MO" w:eastAsia="ro-RO"/>
        </w:rPr>
      </w:pPr>
      <w:r>
        <w:rPr>
          <w:rFonts w:ascii="Times New Roman" w:eastAsia="Times New Roman" w:hAnsi="Times New Roman"/>
          <w:noProof/>
          <w:sz w:val="26"/>
          <w:szCs w:val="26"/>
          <w:lang w:val="ru-RU" w:eastAsia="ru-RU"/>
        </w:rPr>
        <mc:AlternateContent>
          <mc:Choice Requires="wps">
            <w:drawing>
              <wp:anchor distT="0" distB="0" distL="114300" distR="114300" simplePos="0" relativeHeight="251659264" behindDoc="0" locked="0" layoutInCell="1" allowOverlap="1">
                <wp:simplePos x="0" y="0"/>
                <wp:positionH relativeFrom="column">
                  <wp:posOffset>3825875</wp:posOffset>
                </wp:positionH>
                <wp:positionV relativeFrom="paragraph">
                  <wp:posOffset>6058535</wp:posOffset>
                </wp:positionV>
                <wp:extent cx="151130" cy="0"/>
                <wp:effectExtent l="10160" t="59690" r="19685" b="54610"/>
                <wp:wrapNone/>
                <wp:docPr id="3" name="Conector drept cu săgeată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rept cu săgeată 3" o:spid="_x0000_s1026" type="#_x0000_t32" style="position:absolute;margin-left:301.25pt;margin-top:477.05pt;width:1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">
                <v:stroke endarrow="block"/>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60288" behindDoc="0" locked="0" layoutInCell="1" allowOverlap="1">
                <wp:simplePos x="0" y="0"/>
                <wp:positionH relativeFrom="column">
                  <wp:posOffset>3825875</wp:posOffset>
                </wp:positionH>
                <wp:positionV relativeFrom="paragraph">
                  <wp:posOffset>6725920</wp:posOffset>
                </wp:positionV>
                <wp:extent cx="151130" cy="0"/>
                <wp:effectExtent l="10160" t="60325" r="19685" b="53975"/>
                <wp:wrapNone/>
                <wp:docPr id="2" name="Conector drept cu săgeată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rept cu săgeată 2" o:spid="_x0000_s1026" type="#_x0000_t32" style="position:absolute;margin-left:301.25pt;margin-top:529.6pt;width:11.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">
                <v:stroke endarrow="block"/>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61312" behindDoc="0" locked="0" layoutInCell="1" allowOverlap="1">
                <wp:simplePos x="0" y="0"/>
                <wp:positionH relativeFrom="column">
                  <wp:posOffset>3825875</wp:posOffset>
                </wp:positionH>
                <wp:positionV relativeFrom="paragraph">
                  <wp:posOffset>7402195</wp:posOffset>
                </wp:positionV>
                <wp:extent cx="151130" cy="0"/>
                <wp:effectExtent l="10160" t="60325" r="19685" b="53975"/>
                <wp:wrapNone/>
                <wp:docPr id="1"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rept cu săgeată 1" o:spid="_x0000_s1026" type="#_x0000_t32" style="position:absolute;margin-left:301.25pt;margin-top:582.85pt;width:11.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">
                <v:stroke endarrow="block"/>
              </v:shape>
            </w:pict>
          </mc:Fallback>
        </mc:AlternateContent>
      </w:r>
    </w:p>
    <w:p w:rsidR="00B61FA3" w:rsidRPr="004C7AC4" w:rsidRDefault="00B61FA3" w:rsidP="00B61FA3">
      <w:pPr>
        <w:spacing w:after="0" w:line="240" w:lineRule="auto"/>
        <w:rPr>
          <w:rFonts w:ascii="Times New Roman" w:eastAsia="Times New Roman" w:hAnsi="Times New Roman"/>
          <w:sz w:val="26"/>
          <w:szCs w:val="26"/>
          <w:lang w:val="ro-MO" w:eastAsia="ro-RO"/>
        </w:rPr>
      </w:pPr>
    </w:p>
    <w:p w:rsidR="00B61FA3" w:rsidRPr="004C7AC4" w:rsidRDefault="00B61FA3" w:rsidP="00B61FA3">
      <w:pPr>
        <w:spacing w:after="0" w:line="240"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br w:type="page"/>
      </w:r>
    </w:p>
    <w:p w:rsidR="00B61FA3" w:rsidRPr="004C7AC4" w:rsidRDefault="00B61FA3" w:rsidP="00B61FA3">
      <w:pPr>
        <w:spacing w:after="0" w:line="240" w:lineRule="auto"/>
        <w:rPr>
          <w:rFonts w:ascii="Times New Roman" w:eastAsia="Times New Roman" w:hAnsi="Times New Roman"/>
          <w:sz w:val="26"/>
          <w:szCs w:val="26"/>
          <w:lang w:val="ro-MO" w:eastAsia="ro-RO"/>
        </w:rPr>
      </w:pPr>
    </w:p>
    <w:p w:rsidR="007F7254" w:rsidRPr="00B61FA3" w:rsidRDefault="007F7254">
      <w:pPr>
        <w:rPr>
          <w:lang w:val="ro-MO"/>
        </w:rPr>
      </w:pPr>
      <w:bookmarkStart w:id="0" w:name="_GoBack"/>
      <w:bookmarkEnd w:id="0"/>
    </w:p>
    <w:sectPr w:rsidR="007F7254" w:rsidRPr="00B61FA3" w:rsidSect="00991C37">
      <w:pgSz w:w="11906" w:h="16838"/>
      <w:pgMar w:top="284"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E45" w:rsidRDefault="00846E45" w:rsidP="00B61FA3">
      <w:pPr>
        <w:spacing w:after="0" w:line="240" w:lineRule="auto"/>
      </w:pPr>
      <w:r>
        <w:separator/>
      </w:r>
    </w:p>
  </w:endnote>
  <w:endnote w:type="continuationSeparator" w:id="0">
    <w:p w:rsidR="00846E45" w:rsidRDefault="00846E45" w:rsidP="00B61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E45" w:rsidRDefault="00846E45" w:rsidP="00B61FA3">
      <w:pPr>
        <w:spacing w:after="0" w:line="240" w:lineRule="auto"/>
      </w:pPr>
      <w:r>
        <w:separator/>
      </w:r>
    </w:p>
  </w:footnote>
  <w:footnote w:type="continuationSeparator" w:id="0">
    <w:p w:rsidR="00846E45" w:rsidRDefault="00846E45" w:rsidP="00B61FA3">
      <w:pPr>
        <w:spacing w:after="0" w:line="240" w:lineRule="auto"/>
      </w:pPr>
      <w:r>
        <w:continuationSeparator/>
      </w:r>
    </w:p>
  </w:footnote>
  <w:footnote w:id="1">
    <w:p w:rsidR="00B61FA3" w:rsidRPr="003C53F8" w:rsidRDefault="00B61FA3" w:rsidP="00B61FA3">
      <w:pPr>
        <w:pStyle w:val="Textnotdesubsol"/>
        <w:rPr>
          <w:lang w:val="ro-MO"/>
        </w:rPr>
      </w:pPr>
      <w:r>
        <w:rPr>
          <w:rStyle w:val="Referinnotdesubsol"/>
        </w:rPr>
        <w:footnoteRef/>
      </w:r>
      <w:r>
        <w:t xml:space="preserve"> </w:t>
      </w:r>
      <w:r>
        <w:rPr>
          <w:lang w:val="ro-MO"/>
        </w:rPr>
        <w:t>Finanțarea instituțională pentru perioada 2013-2017 se va determina în conformitate cu metodologia</w:t>
      </w:r>
      <w:r w:rsidRPr="003C53F8">
        <w:rPr>
          <w:lang w:val="ro-MO"/>
        </w:rPr>
        <w:t xml:space="preserve"> de finanțare instituțională pentru menținerea și dezvoltarea infrastructurii publice din domeniile cercetării și inovării și a cheltuielilor de personal aferente</w:t>
      </w:r>
      <w:r>
        <w:rPr>
          <w:lang w:val="ro-MO"/>
        </w:rPr>
        <w:t>, aprobată de Guvern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B0C64"/>
    <w:multiLevelType w:val="hybridMultilevel"/>
    <w:tmpl w:val="2FFAF1EE"/>
    <w:lvl w:ilvl="0" w:tplc="C5364C6E">
      <w:start w:val="1"/>
      <w:numFmt w:val="decimal"/>
      <w:lvlText w:val="%1."/>
      <w:lvlJc w:val="left"/>
      <w:pPr>
        <w:ind w:left="928" w:hanging="360"/>
      </w:pPr>
      <w:rPr>
        <w:rFonts w:ascii="Times New Roman" w:eastAsia="Times New Roman" w:hAnsi="Times New Roman" w:hint="default"/>
        <w:sz w:val="26"/>
      </w:rPr>
    </w:lvl>
    <w:lvl w:ilvl="1" w:tplc="04190017">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
    <w:nsid w:val="23524B50"/>
    <w:multiLevelType w:val="hybridMultilevel"/>
    <w:tmpl w:val="0EF42434"/>
    <w:lvl w:ilvl="0" w:tplc="33441DF4">
      <w:start w:val="1"/>
      <w:numFmt w:val="lowerLetter"/>
      <w:lvlText w:val="%1)"/>
      <w:lvlJc w:val="left"/>
      <w:pPr>
        <w:ind w:left="1287" w:hanging="360"/>
      </w:pPr>
      <w:rPr>
        <w:rFonts w:hint="default"/>
        <w:b w:val="0"/>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2">
    <w:nsid w:val="46AF6279"/>
    <w:multiLevelType w:val="hybridMultilevel"/>
    <w:tmpl w:val="87D8CC90"/>
    <w:lvl w:ilvl="0" w:tplc="F0BCDD00">
      <w:start w:val="1"/>
      <w:numFmt w:val="decimal"/>
      <w:lvlText w:val="%1)"/>
      <w:lvlJc w:val="left"/>
      <w:pPr>
        <w:ind w:left="927" w:hanging="360"/>
      </w:pPr>
      <w:rPr>
        <w:rFonts w:hint="default"/>
      </w:rPr>
    </w:lvl>
    <w:lvl w:ilvl="1" w:tplc="08180019">
      <w:start w:val="1"/>
      <w:numFmt w:val="lowerLetter"/>
      <w:lvlText w:val="%2."/>
      <w:lvlJc w:val="left"/>
      <w:pPr>
        <w:ind w:left="1647" w:hanging="360"/>
      </w:pPr>
    </w:lvl>
    <w:lvl w:ilvl="2" w:tplc="2730AEB4">
      <w:start w:val="1"/>
      <w:numFmt w:val="decimal"/>
      <w:lvlText w:val="%3."/>
      <w:lvlJc w:val="left"/>
      <w:pPr>
        <w:ind w:left="4046" w:hanging="360"/>
      </w:pPr>
      <w:rPr>
        <w:rFonts w:ascii="Times New Roman" w:eastAsia="Times New Roman" w:hAnsi="Times New Roman" w:cs="Times New Roman" w:hint="default"/>
        <w:b w:val="0"/>
        <w:i w:val="0"/>
      </w:rPr>
    </w:lvl>
    <w:lvl w:ilvl="3" w:tplc="0818000F">
      <w:start w:val="1"/>
      <w:numFmt w:val="decimal"/>
      <w:lvlText w:val="%4."/>
      <w:lvlJc w:val="left"/>
      <w:pPr>
        <w:ind w:left="3087" w:hanging="360"/>
      </w:pPr>
    </w:lvl>
    <w:lvl w:ilvl="4" w:tplc="4BF6AE40">
      <w:start w:val="1"/>
      <w:numFmt w:val="bullet"/>
      <w:lvlText w:val="-"/>
      <w:lvlJc w:val="left"/>
      <w:pPr>
        <w:ind w:left="3807" w:hanging="360"/>
      </w:pPr>
      <w:rPr>
        <w:rFonts w:ascii="Times New Roman" w:eastAsia="Times New Roman" w:hAnsi="Times New Roman" w:cs="Times New Roman" w:hint="default"/>
      </w:r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
    <w:nsid w:val="472B1248"/>
    <w:multiLevelType w:val="hybridMultilevel"/>
    <w:tmpl w:val="87D8CC90"/>
    <w:lvl w:ilvl="0" w:tplc="F0BCDD00">
      <w:start w:val="1"/>
      <w:numFmt w:val="decimal"/>
      <w:lvlText w:val="%1)"/>
      <w:lvlJc w:val="left"/>
      <w:pPr>
        <w:ind w:left="927" w:hanging="360"/>
      </w:pPr>
      <w:rPr>
        <w:rFonts w:hint="default"/>
      </w:rPr>
    </w:lvl>
    <w:lvl w:ilvl="1" w:tplc="08180019">
      <w:start w:val="1"/>
      <w:numFmt w:val="lowerLetter"/>
      <w:lvlText w:val="%2."/>
      <w:lvlJc w:val="left"/>
      <w:pPr>
        <w:ind w:left="1647" w:hanging="360"/>
      </w:pPr>
    </w:lvl>
    <w:lvl w:ilvl="2" w:tplc="2730AEB4">
      <w:start w:val="1"/>
      <w:numFmt w:val="decimal"/>
      <w:lvlText w:val="%3."/>
      <w:lvlJc w:val="left"/>
      <w:pPr>
        <w:ind w:left="4046" w:hanging="360"/>
      </w:pPr>
      <w:rPr>
        <w:rFonts w:ascii="Times New Roman" w:eastAsia="Times New Roman" w:hAnsi="Times New Roman" w:cs="Times New Roman" w:hint="default"/>
        <w:b w:val="0"/>
        <w:i w:val="0"/>
      </w:rPr>
    </w:lvl>
    <w:lvl w:ilvl="3" w:tplc="0818000F">
      <w:start w:val="1"/>
      <w:numFmt w:val="decimal"/>
      <w:lvlText w:val="%4."/>
      <w:lvlJc w:val="left"/>
      <w:pPr>
        <w:ind w:left="3087" w:hanging="360"/>
      </w:pPr>
    </w:lvl>
    <w:lvl w:ilvl="4" w:tplc="4BF6AE40">
      <w:start w:val="1"/>
      <w:numFmt w:val="bullet"/>
      <w:lvlText w:val="-"/>
      <w:lvlJc w:val="left"/>
      <w:pPr>
        <w:ind w:left="3807" w:hanging="360"/>
      </w:pPr>
      <w:rPr>
        <w:rFonts w:ascii="Times New Roman" w:eastAsia="Times New Roman" w:hAnsi="Times New Roman" w:cs="Times New Roman" w:hint="default"/>
      </w:r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4">
    <w:nsid w:val="5ABC2034"/>
    <w:multiLevelType w:val="hybridMultilevel"/>
    <w:tmpl w:val="5B38D7AE"/>
    <w:lvl w:ilvl="0" w:tplc="AE5CA91C">
      <w:start w:val="1"/>
      <w:numFmt w:val="decimal"/>
      <w:lvlText w:val="%1)"/>
      <w:lvlJc w:val="left"/>
      <w:pPr>
        <w:ind w:left="927" w:hanging="360"/>
      </w:pPr>
      <w:rPr>
        <w:rFonts w:hint="default"/>
        <w:b w:val="0"/>
      </w:rPr>
    </w:lvl>
    <w:lvl w:ilvl="1" w:tplc="08180019">
      <w:start w:val="1"/>
      <w:numFmt w:val="lowerLetter"/>
      <w:lvlText w:val="%2."/>
      <w:lvlJc w:val="left"/>
      <w:pPr>
        <w:ind w:left="1647" w:hanging="360"/>
      </w:pPr>
    </w:lvl>
    <w:lvl w:ilvl="2" w:tplc="2730AEB4">
      <w:start w:val="1"/>
      <w:numFmt w:val="decimal"/>
      <w:lvlText w:val="%3."/>
      <w:lvlJc w:val="left"/>
      <w:pPr>
        <w:ind w:left="4046" w:hanging="360"/>
      </w:pPr>
      <w:rPr>
        <w:rFonts w:ascii="Times New Roman" w:eastAsia="Times New Roman" w:hAnsi="Times New Roman" w:cs="Times New Roman" w:hint="default"/>
        <w:b w:val="0"/>
        <w:i w:val="0"/>
      </w:rPr>
    </w:lvl>
    <w:lvl w:ilvl="3" w:tplc="0818000F">
      <w:start w:val="1"/>
      <w:numFmt w:val="decimal"/>
      <w:lvlText w:val="%4."/>
      <w:lvlJc w:val="left"/>
      <w:pPr>
        <w:ind w:left="3087" w:hanging="360"/>
      </w:pPr>
    </w:lvl>
    <w:lvl w:ilvl="4" w:tplc="4BF6AE40">
      <w:start w:val="1"/>
      <w:numFmt w:val="bullet"/>
      <w:lvlText w:val="-"/>
      <w:lvlJc w:val="left"/>
      <w:pPr>
        <w:ind w:left="3807" w:hanging="360"/>
      </w:pPr>
      <w:rPr>
        <w:rFonts w:ascii="Times New Roman" w:eastAsia="Times New Roman" w:hAnsi="Times New Roman" w:cs="Times New Roman" w:hint="default"/>
      </w:r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5">
    <w:nsid w:val="6379522D"/>
    <w:multiLevelType w:val="hybridMultilevel"/>
    <w:tmpl w:val="B198C4F2"/>
    <w:lvl w:ilvl="0" w:tplc="C5364C6E">
      <w:start w:val="1"/>
      <w:numFmt w:val="decimal"/>
      <w:lvlText w:val="%1."/>
      <w:lvlJc w:val="left"/>
      <w:pPr>
        <w:ind w:left="928" w:hanging="360"/>
      </w:pPr>
      <w:rPr>
        <w:rFonts w:ascii="Times New Roman" w:eastAsia="Times New Roman" w:hAnsi="Times New Roman" w:hint="default"/>
        <w:sz w:val="26"/>
      </w:rPr>
    </w:lvl>
    <w:lvl w:ilvl="1" w:tplc="04190017">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6">
    <w:nsid w:val="653B5C74"/>
    <w:multiLevelType w:val="hybridMultilevel"/>
    <w:tmpl w:val="7B1A2668"/>
    <w:lvl w:ilvl="0" w:tplc="C5364C6E">
      <w:start w:val="1"/>
      <w:numFmt w:val="decimal"/>
      <w:lvlText w:val="%1."/>
      <w:lvlJc w:val="left"/>
      <w:pPr>
        <w:ind w:left="928" w:hanging="360"/>
      </w:pPr>
      <w:rPr>
        <w:rFonts w:ascii="Times New Roman" w:eastAsia="Times New Roman" w:hAnsi="Times New Roman" w:hint="default"/>
        <w:sz w:val="26"/>
      </w:rPr>
    </w:lvl>
    <w:lvl w:ilvl="1" w:tplc="08180019">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7">
    <w:nsid w:val="771239DF"/>
    <w:multiLevelType w:val="hybridMultilevel"/>
    <w:tmpl w:val="DEDE9B7C"/>
    <w:lvl w:ilvl="0" w:tplc="F0BCDD00">
      <w:start w:val="1"/>
      <w:numFmt w:val="decimal"/>
      <w:lvlText w:val="%1)"/>
      <w:lvlJc w:val="left"/>
      <w:pPr>
        <w:ind w:left="927" w:hanging="360"/>
      </w:pPr>
      <w:rPr>
        <w:rFonts w:hint="default"/>
      </w:rPr>
    </w:lvl>
    <w:lvl w:ilvl="1" w:tplc="04190017">
      <w:start w:val="1"/>
      <w:numFmt w:val="lowerLetter"/>
      <w:lvlText w:val="%2)"/>
      <w:lvlJc w:val="left"/>
      <w:pPr>
        <w:ind w:left="1647" w:hanging="360"/>
      </w:pPr>
    </w:lvl>
    <w:lvl w:ilvl="2" w:tplc="2730AEB4">
      <w:start w:val="1"/>
      <w:numFmt w:val="decimal"/>
      <w:lvlText w:val="%3."/>
      <w:lvlJc w:val="left"/>
      <w:pPr>
        <w:ind w:left="4046" w:hanging="360"/>
      </w:pPr>
      <w:rPr>
        <w:rFonts w:ascii="Times New Roman" w:eastAsia="Times New Roman" w:hAnsi="Times New Roman" w:cs="Times New Roman" w:hint="default"/>
        <w:b w:val="0"/>
        <w:i w:val="0"/>
      </w:rPr>
    </w:lvl>
    <w:lvl w:ilvl="3" w:tplc="0818000F">
      <w:start w:val="1"/>
      <w:numFmt w:val="decimal"/>
      <w:lvlText w:val="%4."/>
      <w:lvlJc w:val="left"/>
      <w:pPr>
        <w:ind w:left="3087" w:hanging="360"/>
      </w:pPr>
    </w:lvl>
    <w:lvl w:ilvl="4" w:tplc="4BF6AE40">
      <w:start w:val="1"/>
      <w:numFmt w:val="bullet"/>
      <w:lvlText w:val="-"/>
      <w:lvlJc w:val="left"/>
      <w:pPr>
        <w:ind w:left="3807" w:hanging="360"/>
      </w:pPr>
      <w:rPr>
        <w:rFonts w:ascii="Times New Roman" w:eastAsia="Times New Roman" w:hAnsi="Times New Roman" w:cs="Times New Roman" w:hint="default"/>
      </w:r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8">
    <w:nsid w:val="7E1C59DF"/>
    <w:multiLevelType w:val="hybridMultilevel"/>
    <w:tmpl w:val="17324ECC"/>
    <w:lvl w:ilvl="0" w:tplc="08180017">
      <w:start w:val="1"/>
      <w:numFmt w:val="lowerLetter"/>
      <w:lvlText w:val="%1)"/>
      <w:lvlJc w:val="left"/>
      <w:pPr>
        <w:ind w:left="1287" w:hanging="360"/>
      </w:pPr>
      <w:rPr>
        <w:rFonts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num w:numId="1">
    <w:abstractNumId w:val="6"/>
  </w:num>
  <w:num w:numId="2">
    <w:abstractNumId w:val="1"/>
  </w:num>
  <w:num w:numId="3">
    <w:abstractNumId w:val="8"/>
  </w:num>
  <w:num w:numId="4">
    <w:abstractNumId w:val="3"/>
  </w:num>
  <w:num w:numId="5">
    <w:abstractNumId w:val="2"/>
  </w:num>
  <w:num w:numId="6">
    <w:abstractNumId w:val="4"/>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FA3"/>
    <w:rsid w:val="007F7254"/>
    <w:rsid w:val="00846E45"/>
    <w:rsid w:val="00B61FA3"/>
    <w:rsid w:val="00C81DDD"/>
    <w:rsid w:val="00E40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FA3"/>
    <w:pPr>
      <w:spacing w:after="160" w:line="259"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B61FA3"/>
    <w:pPr>
      <w:spacing w:after="0" w:line="240" w:lineRule="auto"/>
    </w:pPr>
    <w:rPr>
      <w:rFonts w:ascii="Calibri" w:eastAsia="Times New Roman" w:hAnsi="Calibri" w:cs="Times New Roman"/>
      <w:lang w:eastAsia="ru-RU"/>
    </w:rPr>
  </w:style>
  <w:style w:type="paragraph" w:styleId="Textnotdesubsol">
    <w:name w:val="footnote text"/>
    <w:basedOn w:val="Normal"/>
    <w:link w:val="TextnotdesubsolCaracter"/>
    <w:uiPriority w:val="99"/>
    <w:semiHidden/>
    <w:unhideWhenUsed/>
    <w:rsid w:val="00B61FA3"/>
    <w:rPr>
      <w:sz w:val="20"/>
      <w:szCs w:val="20"/>
      <w:lang w:val="x-none"/>
    </w:rPr>
  </w:style>
  <w:style w:type="character" w:customStyle="1" w:styleId="TextnotdesubsolCaracter">
    <w:name w:val="Text notă de subsol Caracter"/>
    <w:basedOn w:val="Fontdeparagrafimplicit"/>
    <w:link w:val="Textnotdesubsol"/>
    <w:uiPriority w:val="99"/>
    <w:semiHidden/>
    <w:rsid w:val="00B61FA3"/>
    <w:rPr>
      <w:rFonts w:ascii="Calibri" w:eastAsia="Calibri" w:hAnsi="Calibri" w:cs="Times New Roman"/>
      <w:sz w:val="20"/>
      <w:szCs w:val="20"/>
      <w:lang w:val="x-none"/>
    </w:rPr>
  </w:style>
  <w:style w:type="character" w:styleId="Referinnotdesubsol">
    <w:name w:val="footnote reference"/>
    <w:uiPriority w:val="99"/>
    <w:semiHidden/>
    <w:unhideWhenUsed/>
    <w:rsid w:val="00B61F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FA3"/>
    <w:pPr>
      <w:spacing w:after="160" w:line="259"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B61FA3"/>
    <w:pPr>
      <w:spacing w:after="0" w:line="240" w:lineRule="auto"/>
    </w:pPr>
    <w:rPr>
      <w:rFonts w:ascii="Calibri" w:eastAsia="Times New Roman" w:hAnsi="Calibri" w:cs="Times New Roman"/>
      <w:lang w:eastAsia="ru-RU"/>
    </w:rPr>
  </w:style>
  <w:style w:type="paragraph" w:styleId="Textnotdesubsol">
    <w:name w:val="footnote text"/>
    <w:basedOn w:val="Normal"/>
    <w:link w:val="TextnotdesubsolCaracter"/>
    <w:uiPriority w:val="99"/>
    <w:semiHidden/>
    <w:unhideWhenUsed/>
    <w:rsid w:val="00B61FA3"/>
    <w:rPr>
      <w:sz w:val="20"/>
      <w:szCs w:val="20"/>
      <w:lang w:val="x-none"/>
    </w:rPr>
  </w:style>
  <w:style w:type="character" w:customStyle="1" w:styleId="TextnotdesubsolCaracter">
    <w:name w:val="Text notă de subsol Caracter"/>
    <w:basedOn w:val="Fontdeparagrafimplicit"/>
    <w:link w:val="Textnotdesubsol"/>
    <w:uiPriority w:val="99"/>
    <w:semiHidden/>
    <w:rsid w:val="00B61FA3"/>
    <w:rPr>
      <w:rFonts w:ascii="Calibri" w:eastAsia="Calibri" w:hAnsi="Calibri" w:cs="Times New Roman"/>
      <w:sz w:val="20"/>
      <w:szCs w:val="20"/>
      <w:lang w:val="x-none"/>
    </w:rPr>
  </w:style>
  <w:style w:type="character" w:styleId="Referinnotdesubsol">
    <w:name w:val="footnote reference"/>
    <w:uiPriority w:val="99"/>
    <w:semiHidden/>
    <w:unhideWhenUsed/>
    <w:rsid w:val="00B61F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1824</Words>
  <Characters>10403</Characters>
  <Application>Microsoft Office Word</Application>
  <DocSecurity>0</DocSecurity>
  <Lines>86</Lines>
  <Paragraphs>24</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12203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2018-01-26T13:11:00Z</dcterms:created>
  <dcterms:modified xsi:type="dcterms:W3CDTF">2018-01-26T13:13:00Z</dcterms:modified>
</cp:coreProperties>
</file>