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97" w:rsidRPr="00B01BF2" w:rsidRDefault="00D96E97" w:rsidP="007967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01BF2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  <w:r w:rsidR="005B42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7967E5" w:rsidRDefault="00FA4F62" w:rsidP="007967E5">
      <w:pPr>
        <w:spacing w:after="0" w:line="240" w:lineRule="auto"/>
        <w:ind w:right="-90" w:firstLine="72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hotărî</w:t>
      </w:r>
      <w:r w:rsidR="00D96E97" w:rsidRPr="00D96E97">
        <w:rPr>
          <w:rFonts w:ascii="Times New Roman" w:hAnsi="Times New Roman" w:cs="Times New Roman"/>
          <w:b/>
          <w:sz w:val="28"/>
          <w:szCs w:val="28"/>
          <w:lang w:val="ro-RO"/>
        </w:rPr>
        <w:t>rii</w:t>
      </w:r>
      <w:proofErr w:type="spellEnd"/>
      <w:r w:rsidR="00D96E97" w:rsidRPr="00D96E9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</w:t>
      </w:r>
      <w:r w:rsidR="00F83C02">
        <w:rPr>
          <w:rFonts w:ascii="Times New Roman" w:hAnsi="Times New Roman" w:cs="Times New Roman"/>
          <w:b/>
          <w:sz w:val="28"/>
          <w:szCs w:val="28"/>
          <w:lang w:val="ro-RO"/>
        </w:rPr>
        <w:t>Guvern</w:t>
      </w:r>
      <w:r w:rsidR="00D96E97" w:rsidRPr="00D96E9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81B41">
        <w:rPr>
          <w:rFonts w:ascii="Times New Roman" w:hAnsi="Times New Roman" w:cs="Times New Roman"/>
          <w:b/>
          <w:sz w:val="28"/>
          <w:szCs w:val="28"/>
          <w:lang w:val="ro-RO"/>
        </w:rPr>
        <w:t>cu privire la</w:t>
      </w:r>
      <w:r w:rsidR="00D96E97" w:rsidRPr="00D96E9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aprobarea </w:t>
      </w:r>
      <w:r w:rsidR="007967E5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Conceptului </w:t>
      </w:r>
      <w:r w:rsidR="007967E5">
        <w:rPr>
          <w:rFonts w:ascii="Times New Roman" w:hAnsi="Times New Roman"/>
          <w:b/>
          <w:noProof/>
          <w:sz w:val="28"/>
          <w:szCs w:val="28"/>
        </w:rPr>
        <w:t xml:space="preserve">reformei sistemului național de gestionare, prevenire și reducere </w:t>
      </w:r>
    </w:p>
    <w:p w:rsidR="00D96E97" w:rsidRPr="007967E5" w:rsidRDefault="007967E5" w:rsidP="007967E5">
      <w:pPr>
        <w:spacing w:after="0" w:line="240" w:lineRule="auto"/>
        <w:ind w:right="-90" w:firstLine="72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a consecințelor inundațiilor </w:t>
      </w:r>
    </w:p>
    <w:p w:rsidR="00FA4F62" w:rsidRDefault="00FA4F62" w:rsidP="0093779A">
      <w:pPr>
        <w:spacing w:after="5" w:line="240" w:lineRule="auto"/>
        <w:ind w:left="4681"/>
      </w:pPr>
    </w:p>
    <w:tbl>
      <w:tblPr>
        <w:tblStyle w:val="TableGrid"/>
        <w:tblW w:w="9928" w:type="dxa"/>
        <w:tblInd w:w="-5" w:type="dxa"/>
        <w:tblCellMar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9928"/>
      </w:tblGrid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F62" w:rsidRPr="00F22A47" w:rsidRDefault="00FA4F62" w:rsidP="0093779A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22A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Condiţiile ce au impus elaborarea proiectului şi finalităţile urmărite</w:t>
            </w:r>
          </w:p>
        </w:tc>
      </w:tr>
      <w:tr w:rsidR="00FA4F62" w:rsidRPr="006A562E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F8E" w:rsidRPr="00A61014" w:rsidRDefault="00166F8E" w:rsidP="00166F8E">
            <w:pPr>
              <w:ind w:right="75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967E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Proiectul </w:t>
            </w:r>
            <w:proofErr w:type="spellStart"/>
            <w:r w:rsidRPr="007967E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hotărîrii</w:t>
            </w:r>
            <w:proofErr w:type="spellEnd"/>
            <w:r w:rsidRPr="007967E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de Guvern cu privire la aprobarea Conceptului reformei sistemului național de gestionare, prevenire și reducere a consecințelor inundațiilor </w:t>
            </w:r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elaborat în temeiul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realizării </w:t>
            </w:r>
            <w:proofErr w:type="spellStart"/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subpct</w:t>
            </w:r>
            <w:proofErr w:type="spellEnd"/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16.1</w:t>
            </w:r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 Capitolului VIII. </w:t>
            </w:r>
            <w:r w:rsidRPr="002B744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Protecția Mediului</w:t>
            </w:r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 Planului de acțiuni al Guvernului pentru anii 2016-2018, aprobat prin </w:t>
            </w:r>
            <w:proofErr w:type="spellStart"/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Hotărîrea</w:t>
            </w:r>
            <w:proofErr w:type="spellEnd"/>
            <w:r w:rsidRPr="007967E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nr. 890 din 20 iulie 2016.</w:t>
            </w:r>
          </w:p>
          <w:p w:rsidR="00166F8E" w:rsidRDefault="002B744E" w:rsidP="00166F8E">
            <w:pPr>
              <w:ind w:right="75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Menționăm, că î</w:t>
            </w:r>
            <w:r w:rsidR="00A61014" w:rsidRPr="00A6101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 conformitate cu </w:t>
            </w:r>
            <w:proofErr w:type="spellStart"/>
            <w:r w:rsidR="00A61014" w:rsidRPr="00A610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Hotărîrea</w:t>
            </w:r>
            <w:proofErr w:type="spellEnd"/>
            <w:r w:rsidR="00A61014" w:rsidRPr="00A610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nr. 1472 din 30 decembrie 2016 cu privire la aprobarea Planului național de acțiuni pentru implementarea Acordului de Asociere Republica Moldova – Uniunea Europeană pentru anii 2017-2019, Republica Moldova și-a asumat o serie de angajamente privind alinierea legislației și </w:t>
            </w:r>
            <w:r w:rsidRPr="00A610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standardele</w:t>
            </w:r>
            <w:r w:rsidR="00A61014" w:rsidRPr="00A610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naționale la legislația și </w:t>
            </w:r>
            <w:r w:rsidRPr="00A610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standardele</w:t>
            </w:r>
            <w:r w:rsidR="00A61014" w:rsidRPr="00A610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comunitare.</w:t>
            </w:r>
            <w:r w:rsidR="00166F8E" w:rsidRPr="007967E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</w:p>
          <w:p w:rsidR="00A61014" w:rsidRPr="008D7EDC" w:rsidRDefault="00A61014" w:rsidP="00166F8E">
            <w:pPr>
              <w:ind w:right="75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Transpunerea prevederilor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Directivei 2007/60/CE privind evaluarea </w:t>
            </w:r>
            <w:proofErr w:type="spellStart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gestionarea riscurilor de </w:t>
            </w:r>
            <w:r w:rsidR="00AA03FD"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inundații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care prevede reducerea </w:t>
            </w:r>
            <w:r w:rsidR="00AA03F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consecințelor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negative pentru sănătatea umană, mediu, patrimoniul cultural </w:t>
            </w:r>
            <w:proofErr w:type="spellStart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activitatea eco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nomică asociate cu </w:t>
            </w:r>
            <w:r w:rsidR="00AA03F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inundațiile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trebuie să fie coordonată </w:t>
            </w:r>
            <w:proofErr w:type="spellStart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sincronizată cu punerea în aplicare a Directivei Cadru </w:t>
            </w:r>
            <w:r w:rsidRPr="002171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2000/60/CE privind stabilirea unui cadru de politică comunitară în domeniul apei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în special prin coordonarea planurilor de gestionare a riscului de </w:t>
            </w:r>
            <w:r w:rsidR="00AA03FD"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inundații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 </w:t>
            </w:r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planurilor de gestionare a districtului hidrografic, </w:t>
            </w:r>
            <w:proofErr w:type="spellStart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cît</w:t>
            </w:r>
            <w:proofErr w:type="spellEnd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8D7ED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prin coordonarea procedurilor de participare a publicului la pregătirea ace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stor planuri. </w:t>
            </w:r>
          </w:p>
          <w:p w:rsidR="00A61014" w:rsidRPr="00166F8E" w:rsidRDefault="00A61014" w:rsidP="00166F8E">
            <w:pPr>
              <w:tabs>
                <w:tab w:val="left" w:pos="990"/>
              </w:tabs>
              <w:ind w:right="75"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166F8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Scopul Conceptului</w:t>
            </w:r>
            <w:r w:rsidRPr="00166F8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166F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reformei sistemului național de gestionare, prevenire și reducere a consecințelor inundațiilor </w:t>
            </w:r>
            <w:r w:rsidRPr="00166F8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constituie stabilirea principiilor și obiectivelor fundamentale privind protecția împotriva inundațiilor, precum și cadrul juridic și instituțional în domeniul gestionării, prevenirii și reducerii riscului de inundații.</w:t>
            </w:r>
          </w:p>
          <w:p w:rsidR="00A61014" w:rsidRPr="005920C1" w:rsidRDefault="00A61014" w:rsidP="00166F8E">
            <w:pPr>
              <w:tabs>
                <w:tab w:val="left" w:pos="990"/>
              </w:tabs>
              <w:ind w:right="75"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Inundaţiile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sunt fenomene naturale care nu pot fi evitate, dar pot fi prevenite. Astfel, unele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activităţi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umane cum ar fi extinderea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aşezărilor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umane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de bunuri economice în zone inundabile, acumularea apei, utilizarea terenurilor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schimbările climatice contribuie la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creşterea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probabilităţii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a efectelor negative ale </w:t>
            </w:r>
            <w:proofErr w:type="spellStart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inundaţiilor</w:t>
            </w:r>
            <w:proofErr w:type="spellEnd"/>
            <w:r w:rsidRPr="005920C1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A61014" w:rsidRDefault="00A61014" w:rsidP="00166F8E">
            <w:pPr>
              <w:pStyle w:val="a4"/>
              <w:ind w:right="75" w:firstLine="720"/>
              <w:jc w:val="both"/>
              <w:rPr>
                <w:sz w:val="28"/>
                <w:szCs w:val="28"/>
                <w:lang w:val="ro-RO"/>
              </w:rPr>
            </w:pPr>
            <w:proofErr w:type="spellStart"/>
            <w:r w:rsidRPr="008D7EDC">
              <w:rPr>
                <w:sz w:val="28"/>
                <w:szCs w:val="28"/>
                <w:lang w:val="ro-RO"/>
              </w:rPr>
              <w:t>Considerînd</w:t>
            </w:r>
            <w:proofErr w:type="spellEnd"/>
            <w:r w:rsidRPr="008D7ED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D7EDC">
              <w:rPr>
                <w:sz w:val="28"/>
                <w:szCs w:val="28"/>
                <w:lang w:val="ro-RO"/>
              </w:rPr>
              <w:t>evoluţia</w:t>
            </w:r>
            <w:proofErr w:type="spellEnd"/>
            <w:r w:rsidRPr="008D7ED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D7EDC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D7ED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8D7EDC">
              <w:rPr>
                <w:sz w:val="28"/>
                <w:szCs w:val="28"/>
                <w:lang w:val="ro-RO"/>
              </w:rPr>
              <w:t>tendinţ</w:t>
            </w:r>
            <w:r>
              <w:rPr>
                <w:sz w:val="28"/>
                <w:szCs w:val="28"/>
                <w:lang w:val="ro-RO"/>
              </w:rPr>
              <w:t>ele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fenomenului de </w:t>
            </w:r>
            <w:proofErr w:type="spellStart"/>
            <w:r>
              <w:rPr>
                <w:sz w:val="28"/>
                <w:szCs w:val="28"/>
                <w:lang w:val="ro-RO"/>
              </w:rPr>
              <w:t>inundaţii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8D7EDC">
              <w:rPr>
                <w:sz w:val="28"/>
                <w:szCs w:val="28"/>
                <w:lang w:val="ro-RO"/>
              </w:rPr>
              <w:t xml:space="preserve"> mai ales, </w:t>
            </w:r>
            <w:r w:rsidR="00AA03FD" w:rsidRPr="008D7EDC">
              <w:rPr>
                <w:sz w:val="28"/>
                <w:szCs w:val="28"/>
                <w:lang w:val="ro-RO"/>
              </w:rPr>
              <w:t>consecințele</w:t>
            </w:r>
            <w:r w:rsidRPr="008D7EDC">
              <w:rPr>
                <w:sz w:val="28"/>
                <w:szCs w:val="28"/>
                <w:lang w:val="ro-RO"/>
              </w:rPr>
              <w:t xml:space="preserve"> acestui fenomen</w:t>
            </w:r>
            <w:r>
              <w:rPr>
                <w:sz w:val="28"/>
                <w:szCs w:val="28"/>
                <w:lang w:val="ro-RO"/>
              </w:rPr>
              <w:t xml:space="preserve">,  </w:t>
            </w:r>
            <w:r w:rsidRPr="008D7EDC">
              <w:rPr>
                <w:sz w:val="28"/>
                <w:szCs w:val="28"/>
                <w:lang w:val="ro-RO"/>
              </w:rPr>
              <w:t>se impun</w:t>
            </w:r>
            <w:r>
              <w:rPr>
                <w:sz w:val="28"/>
                <w:szCs w:val="28"/>
                <w:lang w:val="ro-RO"/>
              </w:rPr>
              <w:t>e schimbarea</w:t>
            </w:r>
            <w:r w:rsidRPr="008D7EDC">
              <w:rPr>
                <w:sz w:val="28"/>
                <w:szCs w:val="28"/>
                <w:lang w:val="ro-RO"/>
              </w:rPr>
              <w:t xml:space="preserve"> modul</w:t>
            </w:r>
            <w:r>
              <w:rPr>
                <w:sz w:val="28"/>
                <w:szCs w:val="28"/>
                <w:lang w:val="ro-RO"/>
              </w:rPr>
              <w:t>ui</w:t>
            </w:r>
            <w:r w:rsidRPr="008D7EDC">
              <w:rPr>
                <w:sz w:val="28"/>
                <w:szCs w:val="28"/>
                <w:lang w:val="ro-RO"/>
              </w:rPr>
              <w:t xml:space="preserve"> de abordare a problemei </w:t>
            </w:r>
            <w:r>
              <w:rPr>
                <w:sz w:val="28"/>
                <w:szCs w:val="28"/>
                <w:lang w:val="ro-RO"/>
              </w:rPr>
              <w:t xml:space="preserve"> privind apărarea</w:t>
            </w:r>
            <w:r w:rsidRPr="008D7EDC">
              <w:rPr>
                <w:sz w:val="28"/>
                <w:szCs w:val="28"/>
                <w:lang w:val="ro-RO"/>
              </w:rPr>
              <w:t xml:space="preserve"> împotriva </w:t>
            </w:r>
            <w:proofErr w:type="spellStart"/>
            <w:r w:rsidRPr="008D7EDC">
              <w:rPr>
                <w:sz w:val="28"/>
                <w:szCs w:val="28"/>
                <w:lang w:val="ro-RO"/>
              </w:rPr>
              <w:t>inundaţiilor</w:t>
            </w:r>
            <w:proofErr w:type="spellEnd"/>
            <w:r w:rsidRPr="008D7EDC">
              <w:rPr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8D7EDC">
              <w:rPr>
                <w:sz w:val="28"/>
                <w:szCs w:val="28"/>
                <w:lang w:val="ro-RO"/>
              </w:rPr>
              <w:t>trecînd</w:t>
            </w:r>
            <w:proofErr w:type="spellEnd"/>
            <w:r w:rsidRPr="008D7EDC">
              <w:rPr>
                <w:sz w:val="28"/>
                <w:szCs w:val="28"/>
                <w:lang w:val="ro-RO"/>
              </w:rPr>
              <w:t xml:space="preserve"> de la formele defensive de </w:t>
            </w:r>
            <w:r w:rsidR="00AA03FD" w:rsidRPr="008D7EDC">
              <w:rPr>
                <w:sz w:val="28"/>
                <w:szCs w:val="28"/>
                <w:lang w:val="ro-RO"/>
              </w:rPr>
              <w:t>acțiune</w:t>
            </w:r>
            <w:r w:rsidRPr="008D7EDC">
              <w:rPr>
                <w:sz w:val="28"/>
                <w:szCs w:val="28"/>
                <w:lang w:val="ro-RO"/>
              </w:rPr>
              <w:t xml:space="preserve"> la cele de gestionare, de management al riscului la </w:t>
            </w:r>
            <w:r w:rsidR="00AA03FD" w:rsidRPr="008D7EDC">
              <w:rPr>
                <w:sz w:val="28"/>
                <w:szCs w:val="28"/>
                <w:lang w:val="ro-RO"/>
              </w:rPr>
              <w:t>inundații</w:t>
            </w:r>
            <w:r w:rsidRPr="008D7EDC">
              <w:rPr>
                <w:sz w:val="28"/>
                <w:szCs w:val="28"/>
                <w:lang w:val="ro-RO"/>
              </w:rPr>
              <w:t xml:space="preserve">. </w:t>
            </w:r>
          </w:p>
          <w:p w:rsidR="00FA4F62" w:rsidRPr="006A562E" w:rsidRDefault="00FA4F62" w:rsidP="007967E5">
            <w:pPr>
              <w:pStyle w:val="a3"/>
              <w:ind w:left="0" w:right="75" w:firstLine="70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F62" w:rsidRPr="009F7C77" w:rsidRDefault="00FA4F62" w:rsidP="007967E5">
            <w:pPr>
              <w:ind w:right="75" w:firstLine="7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22A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Principalele prevederi ale proiectului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4345" w:rsidRDefault="00754345" w:rsidP="00413DD7">
            <w:pPr>
              <w:pStyle w:val="a3"/>
              <w:ind w:left="0" w:right="75" w:firstLine="70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A5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Obiectivul urmărit prin promovarea proiect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Guvern </w:t>
            </w:r>
            <w:r w:rsidRPr="006A5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66F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privire la </w:t>
            </w:r>
            <w:r w:rsidR="00166F8E" w:rsidRPr="007967E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aprobarea Conceptului reformei sistemului național de gestionare, prevenire și reducere a consecințelor inundațiilor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6A5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este:</w:t>
            </w:r>
          </w:p>
          <w:p w:rsidR="00166F8E" w:rsidRDefault="00166F8E" w:rsidP="00413DD7">
            <w:pPr>
              <w:pStyle w:val="a3"/>
              <w:numPr>
                <w:ilvl w:val="0"/>
                <w:numId w:val="3"/>
              </w:numPr>
              <w:ind w:left="163" w:right="75" w:hanging="1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generalizarea informației existente în domeniul gestionării, prevenirii și reducerii consecințelor inundațiilor </w:t>
            </w:r>
            <w:r w:rsidR="003829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identificarea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instrumentelor și căilor de soluționare</w:t>
            </w:r>
            <w:r w:rsidR="00AA03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relevante reieșind din situația existentă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166F8E" w:rsidRPr="00166F8E" w:rsidRDefault="00166F8E" w:rsidP="00413DD7">
            <w:pPr>
              <w:pStyle w:val="a3"/>
              <w:numPr>
                <w:ilvl w:val="0"/>
                <w:numId w:val="3"/>
              </w:numPr>
              <w:ind w:left="163" w:right="75" w:hanging="1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r w:rsidRPr="00166F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tabilirea</w:t>
            </w:r>
            <w:r w:rsidR="00D45C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principiilor fundamentale și obiectivelor specifice întru </w:t>
            </w:r>
            <w:r w:rsidRPr="00166F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45C90" w:rsidRPr="005B44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asigurarea populației și a localităților Republicii Moldova de efectele negative </w:t>
            </w:r>
            <w:r w:rsidR="00D45C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urmare a</w:t>
            </w:r>
            <w:r w:rsidR="00D45C90" w:rsidRPr="005B44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inundații</w:t>
            </w:r>
            <w:r w:rsidR="00D45C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lor;</w:t>
            </w:r>
            <w:r w:rsidRPr="00166F8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413DD7" w:rsidRPr="00413DD7" w:rsidRDefault="00D45C90" w:rsidP="00413DD7">
            <w:pPr>
              <w:pStyle w:val="a3"/>
              <w:numPr>
                <w:ilvl w:val="0"/>
                <w:numId w:val="3"/>
              </w:numPr>
              <w:tabs>
                <w:tab w:val="left" w:pos="163"/>
              </w:tabs>
              <w:ind w:left="163" w:right="75" w:hanging="16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45C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stabilirea cadrului juridic și instituțional existent pentru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gestionarea dezastrelor </w:t>
            </w:r>
            <w:r w:rsidR="00AA03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inundațiilor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Pr="00D45C9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situații de risc, care în mare parte este orientat spre răspunsul de urgență și nu pe preveni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 riscurilor și a pericolelor;</w:t>
            </w:r>
          </w:p>
          <w:p w:rsidR="00026184" w:rsidRDefault="00413DD7" w:rsidP="00413DD7">
            <w:pPr>
              <w:pStyle w:val="a3"/>
              <w:numPr>
                <w:ilvl w:val="0"/>
                <w:numId w:val="3"/>
              </w:numPr>
              <w:tabs>
                <w:tab w:val="left" w:pos="163"/>
              </w:tabs>
              <w:ind w:left="163" w:right="75" w:hanging="16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13D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evaluarea im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Pr="00413D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actului social, economic și de mediu al inundațiilor asupra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vieții cetățenilor Republicii Moldova și a dezvoltării economice a țării;</w:t>
            </w:r>
          </w:p>
          <w:p w:rsidR="00413DD7" w:rsidRPr="00413DD7" w:rsidRDefault="00413DD7" w:rsidP="003C6416">
            <w:pPr>
              <w:pStyle w:val="a3"/>
              <w:numPr>
                <w:ilvl w:val="0"/>
                <w:numId w:val="3"/>
              </w:numPr>
              <w:tabs>
                <w:tab w:val="left" w:pos="163"/>
              </w:tabs>
              <w:ind w:left="163" w:right="75" w:hanging="16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stabilirea cadrului normativ necesar, elaborat și aplicat de autoritățile publice centrale și locale</w:t>
            </w:r>
            <w:r w:rsidR="00AA03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a măsurilor necesare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vederea asigurării gestionării, prevenirii și reducerii consecințelor inundațiilor.</w:t>
            </w:r>
          </w:p>
          <w:p w:rsidR="00413DD7" w:rsidRDefault="00413DD7" w:rsidP="007967E5">
            <w:pPr>
              <w:ind w:right="75" w:firstLine="70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54345" w:rsidRPr="003C6416" w:rsidRDefault="00754345" w:rsidP="00AA03FD">
            <w:pPr>
              <w:ind w:right="75" w:firstLine="70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Menționăm necesitatea documentului respectiv,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întrucît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acesta</w:t>
            </w:r>
            <w:r w:rsidRPr="006A5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servi ca sursă principală de furnizare a informației despre </w:t>
            </w:r>
            <w:r w:rsidR="00413D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situația</w:t>
            </w:r>
            <w:r w:rsidR="0097345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existentă </w:t>
            </w:r>
            <w:r w:rsidR="00413D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privind sistemul național de gestionare, prevenire și reducere a consecințelor inundațiilor, precum și întreprinderea măsurilor relevante întru asigurarea</w:t>
            </w:r>
            <w:r w:rsidR="00413DD7" w:rsidRPr="005B44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populației și a localităților Republicii Moldova de efectele negative </w:t>
            </w:r>
            <w:r w:rsidR="00413DD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AA03F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</w:t>
            </w:r>
            <w:r w:rsidR="00413DD7" w:rsidRPr="005B44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inundații</w:t>
            </w:r>
            <w:r w:rsid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</w:t>
            </w:r>
            <w:r w:rsidRPr="006A5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2" w:rsidRPr="00727022" w:rsidRDefault="00FA4F62" w:rsidP="007967E5">
            <w:pPr>
              <w:ind w:right="75" w:firstLine="7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</w:pPr>
            <w:r w:rsidRPr="007270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Fundamentarea economico-financiară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4D" w:rsidRDefault="000A7E4D" w:rsidP="000A7E4D">
            <w:pPr>
              <w:ind w:firstLine="7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</w:pPr>
            <w:r w:rsidRPr="00727022"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  <w:t xml:space="preserve">Măsurile propuse </w:t>
            </w:r>
            <w:r w:rsidR="008C08E5"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  <w:t xml:space="preserve">în proiectul de </w:t>
            </w:r>
            <w:proofErr w:type="spellStart"/>
            <w:r w:rsidR="008C08E5"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  <w:t>hotărîre</w:t>
            </w:r>
            <w:proofErr w:type="spellEnd"/>
            <w:r w:rsidR="008C08E5"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  <w:t xml:space="preserve"> </w:t>
            </w:r>
            <w:r w:rsidR="00131225"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  <w:t xml:space="preserve">vor fi realizate de către autoritățile publice, conform competențelor funcționale, în limita fondurilor  mijloacelor bugetare planificate. </w:t>
            </w:r>
          </w:p>
          <w:p w:rsidR="00131225" w:rsidRPr="00131225" w:rsidRDefault="00131225" w:rsidP="00131225">
            <w:pPr>
              <w:ind w:firstLine="7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  <w:t>Unele măsuri vor fi realizate în cadrul proiectelor investiționale în proces de implementare, precum elaborarea hărților de risc și de pericol de inundații sau modernizarea/implementarea noilor metodologii/softuri de prognozare și avertizare a inundațiilor.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2" w:rsidRPr="00727022" w:rsidRDefault="00FA4F62" w:rsidP="007967E5">
            <w:pPr>
              <w:ind w:right="75" w:firstLine="71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 w:eastAsia="ja-JP"/>
              </w:rPr>
            </w:pPr>
            <w:r w:rsidRPr="007270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Acțiuni ce urmează a fi întreprinse în baza actului normativ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2" w:rsidRPr="003C6416" w:rsidRDefault="00CE06C7" w:rsidP="00895D04">
            <w:pPr>
              <w:tabs>
                <w:tab w:val="left" w:pos="1170"/>
              </w:tabs>
              <w:ind w:right="75" w:firstLine="70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Conceptul </w:t>
            </w:r>
            <w:r w:rsidRPr="007967E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reformei sistemului național de gestionare, prevenire și reducere a consecințelor inundațiilor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la Capitolul </w:t>
            </w:r>
            <w:r w:rsidR="003C6416" w:rsidRP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VIII</w:t>
            </w:r>
            <w:r w:rsid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stabilește măsurile necesare precum și l</w:t>
            </w:r>
            <w:r w:rsidR="003C6416" w:rsidRP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ista actelor normative care</w:t>
            </w:r>
            <w:r w:rsid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urmează a fi elaborate/modificate/</w:t>
            </w:r>
            <w:r w:rsidR="003C6416" w:rsidRP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completate în contextul </w:t>
            </w:r>
            <w:r w:rsid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asigurării</w:t>
            </w:r>
            <w:r w:rsidR="003C6416" w:rsidRPr="005B44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populației și a localităților Republic</w:t>
            </w:r>
            <w:r w:rsid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 Moldova de efectele negative ale</w:t>
            </w:r>
            <w:r w:rsidR="003C6416" w:rsidRPr="005B44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inundații</w:t>
            </w:r>
            <w:r w:rsidR="003C64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2" w:rsidRPr="00B50A58" w:rsidRDefault="00FA4F62" w:rsidP="007967E5">
            <w:pPr>
              <w:ind w:right="75" w:firstLine="7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A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Avizarea și consultarea publică a proiectului</w:t>
            </w:r>
          </w:p>
        </w:tc>
      </w:tr>
      <w:tr w:rsidR="00FA4F62" w:rsidTr="0093779A">
        <w:tc>
          <w:tcPr>
            <w:tcW w:w="9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2" w:rsidRPr="00F22A47" w:rsidRDefault="00FA4F62" w:rsidP="007967E5">
            <w:pPr>
              <w:spacing w:after="169"/>
              <w:ind w:right="75" w:firstLine="7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A47">
              <w:rPr>
                <w:rFonts w:ascii="Times New Roman" w:eastAsia="Times New Roman" w:hAnsi="Times New Roman" w:cs="Times New Roman"/>
                <w:sz w:val="28"/>
                <w:szCs w:val="28"/>
              </w:rPr>
              <w:t>În scopul respectării prevederilor Legii nr.</w:t>
            </w:r>
            <w:r w:rsidR="006A1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22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239 din 13 noiembrie 2008 privind transparenţa în procesul decizional, proiectul </w:t>
            </w:r>
            <w:r w:rsidR="00F8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de hotărîre </w:t>
            </w:r>
            <w:r w:rsidRPr="00F22A47">
              <w:rPr>
                <w:rFonts w:ascii="Times New Roman" w:eastAsia="Times New Roman" w:hAnsi="Times New Roman" w:cs="Times New Roman"/>
                <w:sz w:val="28"/>
                <w:szCs w:val="28"/>
              </w:rPr>
              <w:t>a fost p</w:t>
            </w:r>
            <w:r w:rsidR="006A1935">
              <w:rPr>
                <w:rFonts w:ascii="Times New Roman" w:eastAsia="Times New Roman" w:hAnsi="Times New Roman" w:cs="Times New Roman"/>
                <w:sz w:val="28"/>
                <w:szCs w:val="28"/>
              </w:rPr>
              <w:t>lasat pe pagina web a M</w:t>
            </w:r>
            <w:r w:rsidRPr="00F22A47">
              <w:rPr>
                <w:rFonts w:ascii="Times New Roman" w:eastAsia="Times New Roman" w:hAnsi="Times New Roman" w:cs="Times New Roman"/>
                <w:sz w:val="28"/>
                <w:szCs w:val="28"/>
              </w:rPr>
              <w:t>inisterului</w:t>
            </w:r>
            <w:r w:rsidR="006A1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Agriculturii, Dezvoltării Regionale și Mediului</w:t>
            </w:r>
            <w:r w:rsidRPr="00F22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 compartimentul</w:t>
            </w:r>
            <w:r w:rsidRPr="00F22A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Transarență decezională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/Proiecte </w:t>
            </w:r>
            <w:r w:rsidR="0093779A">
              <w:rPr>
                <w:rFonts w:ascii="Times New Roman" w:eastAsia="Times New Roman" w:hAnsi="Times New Roman" w:cs="Times New Roman"/>
                <w:sz w:val="28"/>
                <w:szCs w:val="28"/>
              </w:rPr>
              <w:t>de documente</w:t>
            </w:r>
            <w:r w:rsidR="00895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precum și pe </w:t>
            </w:r>
            <w:bookmarkStart w:id="0" w:name="_GoBack"/>
            <w:bookmarkEnd w:id="0"/>
            <w:r w:rsidR="006A1935">
              <w:fldChar w:fldCharType="begin"/>
            </w:r>
            <w:r w:rsidR="006A1935">
              <w:instrText xml:space="preserve"> HYPERLINK "http://www.particip.gov.md" </w:instrText>
            </w:r>
            <w:r w:rsidR="006A1935">
              <w:fldChar w:fldCharType="separate"/>
            </w:r>
            <w:r w:rsidR="00895D04" w:rsidRPr="00E5504C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t>www.particip.gov.md</w:t>
            </w:r>
            <w:r w:rsidR="006A1935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="00895D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B20E0" w:rsidRDefault="00CB20E0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0E0" w:rsidRDefault="00CB20E0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0E0" w:rsidRDefault="00CB20E0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0E0" w:rsidRPr="00CB20E0" w:rsidRDefault="00CB20E0" w:rsidP="0093779A">
      <w:pPr>
        <w:spacing w:after="0" w:line="240" w:lineRule="auto"/>
        <w:ind w:right="-96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Ministru                                                      </w:t>
      </w:r>
      <w:r w:rsidR="009123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779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79A">
        <w:rPr>
          <w:rFonts w:ascii="Times New Roman" w:hAnsi="Times New Roman" w:cs="Times New Roman"/>
          <w:b/>
          <w:sz w:val="28"/>
          <w:szCs w:val="28"/>
        </w:rPr>
        <w:t>Liviu VOLCONOVICI</w:t>
      </w:r>
    </w:p>
    <w:p w:rsidR="0050190C" w:rsidRDefault="0050190C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0C" w:rsidRDefault="0050190C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0C" w:rsidRDefault="0050190C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90C" w:rsidRPr="00CF005F" w:rsidRDefault="0050190C" w:rsidP="0093779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50190C" w:rsidRPr="0050190C" w:rsidRDefault="0050190C" w:rsidP="00937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90C" w:rsidRPr="0050190C" w:rsidSect="0093779A">
      <w:pgSz w:w="11909" w:h="16834" w:code="9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641"/>
    <w:multiLevelType w:val="hybridMultilevel"/>
    <w:tmpl w:val="BC5806D8"/>
    <w:lvl w:ilvl="0" w:tplc="7E6C5AB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EA3771"/>
    <w:multiLevelType w:val="hybridMultilevel"/>
    <w:tmpl w:val="836EBA14"/>
    <w:lvl w:ilvl="0" w:tplc="36804E84">
      <w:start w:val="1"/>
      <w:numFmt w:val="decimal"/>
      <w:lvlText w:val="%1."/>
      <w:lvlJc w:val="left"/>
      <w:pPr>
        <w:ind w:left="897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9628" w:hanging="360"/>
      </w:pPr>
    </w:lvl>
    <w:lvl w:ilvl="2" w:tplc="0418001B" w:tentative="1">
      <w:start w:val="1"/>
      <w:numFmt w:val="lowerRoman"/>
      <w:lvlText w:val="%3."/>
      <w:lvlJc w:val="right"/>
      <w:pPr>
        <w:ind w:left="10348" w:hanging="180"/>
      </w:pPr>
    </w:lvl>
    <w:lvl w:ilvl="3" w:tplc="0418000F" w:tentative="1">
      <w:start w:val="1"/>
      <w:numFmt w:val="decimal"/>
      <w:lvlText w:val="%4."/>
      <w:lvlJc w:val="left"/>
      <w:pPr>
        <w:ind w:left="11068" w:hanging="360"/>
      </w:pPr>
    </w:lvl>
    <w:lvl w:ilvl="4" w:tplc="04180019" w:tentative="1">
      <w:start w:val="1"/>
      <w:numFmt w:val="lowerLetter"/>
      <w:lvlText w:val="%5."/>
      <w:lvlJc w:val="left"/>
      <w:pPr>
        <w:ind w:left="11788" w:hanging="360"/>
      </w:pPr>
    </w:lvl>
    <w:lvl w:ilvl="5" w:tplc="0418001B" w:tentative="1">
      <w:start w:val="1"/>
      <w:numFmt w:val="lowerRoman"/>
      <w:lvlText w:val="%6."/>
      <w:lvlJc w:val="right"/>
      <w:pPr>
        <w:ind w:left="12508" w:hanging="180"/>
      </w:pPr>
    </w:lvl>
    <w:lvl w:ilvl="6" w:tplc="0418000F" w:tentative="1">
      <w:start w:val="1"/>
      <w:numFmt w:val="decimal"/>
      <w:lvlText w:val="%7."/>
      <w:lvlJc w:val="left"/>
      <w:pPr>
        <w:ind w:left="13228" w:hanging="360"/>
      </w:pPr>
    </w:lvl>
    <w:lvl w:ilvl="7" w:tplc="04180019" w:tentative="1">
      <w:start w:val="1"/>
      <w:numFmt w:val="lowerLetter"/>
      <w:lvlText w:val="%8."/>
      <w:lvlJc w:val="left"/>
      <w:pPr>
        <w:ind w:left="13948" w:hanging="360"/>
      </w:pPr>
    </w:lvl>
    <w:lvl w:ilvl="8" w:tplc="0418001B" w:tentative="1">
      <w:start w:val="1"/>
      <w:numFmt w:val="lowerRoman"/>
      <w:lvlText w:val="%9."/>
      <w:lvlJc w:val="right"/>
      <w:pPr>
        <w:ind w:left="14668" w:hanging="180"/>
      </w:pPr>
    </w:lvl>
  </w:abstractNum>
  <w:abstractNum w:abstractNumId="2">
    <w:nsid w:val="09830AC4"/>
    <w:multiLevelType w:val="hybridMultilevel"/>
    <w:tmpl w:val="73F610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1AD5"/>
    <w:multiLevelType w:val="hybridMultilevel"/>
    <w:tmpl w:val="709443E8"/>
    <w:lvl w:ilvl="0" w:tplc="2E84018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750A5D"/>
    <w:multiLevelType w:val="multilevel"/>
    <w:tmpl w:val="850A787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5">
    <w:nsid w:val="2D24726C"/>
    <w:multiLevelType w:val="hybridMultilevel"/>
    <w:tmpl w:val="EF28558A"/>
    <w:lvl w:ilvl="0" w:tplc="82B01A6A">
      <w:start w:val="6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77F3E"/>
    <w:multiLevelType w:val="hybridMultilevel"/>
    <w:tmpl w:val="9C3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312B3"/>
    <w:multiLevelType w:val="hybridMultilevel"/>
    <w:tmpl w:val="25EE7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A4022A"/>
    <w:multiLevelType w:val="hybridMultilevel"/>
    <w:tmpl w:val="0E262E30"/>
    <w:lvl w:ilvl="0" w:tplc="0409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71C727CD"/>
    <w:multiLevelType w:val="hybridMultilevel"/>
    <w:tmpl w:val="B160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3023B"/>
    <w:multiLevelType w:val="hybridMultilevel"/>
    <w:tmpl w:val="A9D867A2"/>
    <w:lvl w:ilvl="0" w:tplc="82B01A6A">
      <w:start w:val="6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97"/>
    <w:rsid w:val="000154A3"/>
    <w:rsid w:val="00026184"/>
    <w:rsid w:val="00056385"/>
    <w:rsid w:val="000671F7"/>
    <w:rsid w:val="00091679"/>
    <w:rsid w:val="000951FF"/>
    <w:rsid w:val="000A117A"/>
    <w:rsid w:val="000A7E4D"/>
    <w:rsid w:val="000E187E"/>
    <w:rsid w:val="00131225"/>
    <w:rsid w:val="00160DDA"/>
    <w:rsid w:val="00166F8E"/>
    <w:rsid w:val="00174550"/>
    <w:rsid w:val="001C7976"/>
    <w:rsid w:val="001F739A"/>
    <w:rsid w:val="002678F5"/>
    <w:rsid w:val="002B744E"/>
    <w:rsid w:val="002E00C0"/>
    <w:rsid w:val="002F73D4"/>
    <w:rsid w:val="00382999"/>
    <w:rsid w:val="003C45B9"/>
    <w:rsid w:val="003C6416"/>
    <w:rsid w:val="004116BE"/>
    <w:rsid w:val="00413DD7"/>
    <w:rsid w:val="0042692D"/>
    <w:rsid w:val="004376BC"/>
    <w:rsid w:val="004A3221"/>
    <w:rsid w:val="0050190C"/>
    <w:rsid w:val="0053458E"/>
    <w:rsid w:val="00537836"/>
    <w:rsid w:val="0057331C"/>
    <w:rsid w:val="005B427B"/>
    <w:rsid w:val="005C4A66"/>
    <w:rsid w:val="00613FD4"/>
    <w:rsid w:val="00664D27"/>
    <w:rsid w:val="006A1935"/>
    <w:rsid w:val="006A562E"/>
    <w:rsid w:val="006C49BB"/>
    <w:rsid w:val="00711E32"/>
    <w:rsid w:val="00740506"/>
    <w:rsid w:val="00754345"/>
    <w:rsid w:val="00792666"/>
    <w:rsid w:val="007967E5"/>
    <w:rsid w:val="008076A5"/>
    <w:rsid w:val="0081232F"/>
    <w:rsid w:val="00895D04"/>
    <w:rsid w:val="008C08E5"/>
    <w:rsid w:val="008F1956"/>
    <w:rsid w:val="00912383"/>
    <w:rsid w:val="0093779A"/>
    <w:rsid w:val="00973456"/>
    <w:rsid w:val="00987C69"/>
    <w:rsid w:val="00993115"/>
    <w:rsid w:val="00A21C2D"/>
    <w:rsid w:val="00A61014"/>
    <w:rsid w:val="00A91413"/>
    <w:rsid w:val="00AA03FD"/>
    <w:rsid w:val="00AA2935"/>
    <w:rsid w:val="00AB5719"/>
    <w:rsid w:val="00B01BF2"/>
    <w:rsid w:val="00BA5649"/>
    <w:rsid w:val="00BE5944"/>
    <w:rsid w:val="00CB20E0"/>
    <w:rsid w:val="00CB5E08"/>
    <w:rsid w:val="00CE06C7"/>
    <w:rsid w:val="00CF554A"/>
    <w:rsid w:val="00D45C90"/>
    <w:rsid w:val="00D52A2C"/>
    <w:rsid w:val="00D96E97"/>
    <w:rsid w:val="00DE38E2"/>
    <w:rsid w:val="00DF225C"/>
    <w:rsid w:val="00E64783"/>
    <w:rsid w:val="00E85F71"/>
    <w:rsid w:val="00EA2D50"/>
    <w:rsid w:val="00F81B41"/>
    <w:rsid w:val="00F83C02"/>
    <w:rsid w:val="00FA4F62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0F531E-0E3A-4510-9DCB-C2A8BD3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97"/>
    <w:rPr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44"/>
    <w:pPr>
      <w:ind w:left="720"/>
      <w:contextualSpacing/>
    </w:pPr>
  </w:style>
  <w:style w:type="character" w:customStyle="1" w:styleId="docheader">
    <w:name w:val="doc_header"/>
    <w:rsid w:val="0050190C"/>
    <w:rPr>
      <w:rFonts w:cs="Times New Roman"/>
    </w:rPr>
  </w:style>
  <w:style w:type="paragraph" w:styleId="a4">
    <w:name w:val="No Spacing"/>
    <w:uiPriority w:val="1"/>
    <w:qFormat/>
    <w:rsid w:val="0050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B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427B"/>
    <w:rPr>
      <w:rFonts w:ascii="Segoe UI" w:hAnsi="Segoe UI" w:cs="Segoe UI"/>
      <w:sz w:val="18"/>
      <w:szCs w:val="18"/>
      <w:lang w:val="nl-NL"/>
    </w:rPr>
  </w:style>
  <w:style w:type="table" w:customStyle="1" w:styleId="TableGrid">
    <w:name w:val="TableGrid"/>
    <w:rsid w:val="00FA4F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895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Sirbu</cp:lastModifiedBy>
  <cp:revision>28</cp:revision>
  <cp:lastPrinted>2018-01-23T09:16:00Z</cp:lastPrinted>
  <dcterms:created xsi:type="dcterms:W3CDTF">2017-12-27T09:05:00Z</dcterms:created>
  <dcterms:modified xsi:type="dcterms:W3CDTF">2018-01-23T09:16:00Z</dcterms:modified>
</cp:coreProperties>
</file>