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10382B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10382B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5B6A94" w:rsidRPr="0010382B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10382B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aprobarea proiectului de lege pentru modificarea </w:t>
      </w:r>
      <w:r w:rsidR="005003E8" w:rsidRPr="0010382B">
        <w:rPr>
          <w:rFonts w:ascii="Times New Roman" w:hAnsi="Times New Roman"/>
          <w:b/>
          <w:i/>
          <w:sz w:val="28"/>
          <w:szCs w:val="28"/>
          <w:shd w:val="clear" w:color="auto" w:fill="FFFFFF"/>
          <w:lang w:val="ro-MO"/>
        </w:rPr>
        <w:t>Legii nr.435/2006</w:t>
      </w:r>
      <w:r w:rsidR="005003E8" w:rsidRPr="0010382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ro-MO"/>
        </w:rPr>
        <w:t> privind descentralizarea administrativă</w:t>
      </w:r>
      <w:r w:rsidRPr="0010382B">
        <w:rPr>
          <w:rFonts w:ascii="Times New Roman" w:hAnsi="Times New Roman"/>
          <w:b/>
          <w:i/>
          <w:sz w:val="28"/>
          <w:szCs w:val="28"/>
          <w:lang w:val="ro-MO"/>
        </w:rPr>
        <w:t>”</w:t>
      </w:r>
    </w:p>
    <w:p w:rsidR="005B6A94" w:rsidRPr="00FF4ECE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BF4767" w:rsidTr="002C3455">
        <w:tc>
          <w:tcPr>
            <w:tcW w:w="9360" w:type="dxa"/>
            <w:shd w:val="clear" w:color="auto" w:fill="D9D9D9"/>
          </w:tcPr>
          <w:p w:rsidR="005B6A94" w:rsidRPr="00FF4ECE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FF4EC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BF4767" w:rsidTr="002C3455">
        <w:tc>
          <w:tcPr>
            <w:tcW w:w="9360" w:type="dxa"/>
            <w:shd w:val="clear" w:color="auto" w:fill="auto"/>
          </w:tcPr>
          <w:p w:rsidR="00397474" w:rsidRPr="00FF4ECE" w:rsidRDefault="005B6A94" w:rsidP="00D91518">
            <w:pPr>
              <w:pStyle w:val="NoSpacing"/>
              <w:ind w:firstLine="549"/>
              <w:jc w:val="both"/>
              <w:rPr>
                <w:rFonts w:ascii="Trebuchet MS" w:hAnsi="Trebuchet MS"/>
                <w:color w:val="3B3B3B"/>
                <w:sz w:val="28"/>
                <w:szCs w:val="28"/>
                <w:shd w:val="clear" w:color="auto" w:fill="FFFFFF"/>
                <w:lang w:val="ro-MO"/>
              </w:rPr>
            </w:pPr>
            <w:r w:rsidRPr="00FF4EC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Reforma administrației publice este un obiectiv prioritar asumat de Guvern în Programul </w:t>
            </w:r>
            <w:r w:rsidR="00D91518" w:rsidRPr="00FF4EC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 activitate pe anii 2016-2018</w:t>
            </w:r>
            <w:r w:rsidR="00D91518"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>, aflându-se la baza mai multor reforme sectoriale</w:t>
            </w:r>
            <w:r w:rsidR="00D91518" w:rsidRPr="00494B4C">
              <w:rPr>
                <w:rFonts w:ascii="Trebuchet MS" w:hAnsi="Trebuchet MS"/>
                <w:color w:val="3B3B3B"/>
                <w:sz w:val="28"/>
                <w:szCs w:val="28"/>
                <w:shd w:val="clear" w:color="auto" w:fill="FFFFFF"/>
                <w:lang w:val="ro-MO"/>
              </w:rPr>
              <w:t>.</w:t>
            </w:r>
            <w:r w:rsidR="00D91518" w:rsidRPr="00FF4ECE">
              <w:rPr>
                <w:rFonts w:ascii="Trebuchet MS" w:hAnsi="Trebuchet MS"/>
                <w:color w:val="3B3B3B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</w:p>
          <w:p w:rsidR="00543CC1" w:rsidRPr="00FF4ECE" w:rsidRDefault="00877D5C" w:rsidP="00D91518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>O</w:t>
            </w:r>
            <w:r w:rsidR="00115DA1"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 xml:space="preserve"> primă etapă a </w:t>
            </w:r>
            <w:r w:rsidR="005F0BB8"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>reformei administrației publice a vizat restructurarea administrației publice centrale</w:t>
            </w:r>
            <w:r w:rsidR="00543CC1"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 xml:space="preserve">, </w:t>
            </w:r>
            <w:r w:rsidR="008E7FCB"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 xml:space="preserve">în conformitate cu </w:t>
            </w:r>
            <w:r w:rsidR="008E7FCB" w:rsidRPr="00FF4EC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principiile bunei guvernări și a recomandărilor formulate de SIGMA urmare a evaluării administrației publice din Republica Moldova la finele anului 2015, </w:t>
            </w:r>
            <w:r w:rsidR="00543CC1"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 xml:space="preserve">prin </w:t>
            </w:r>
            <w:r w:rsidR="00543CC1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raţionalizarea structurii Guvernului; consolidarea administraţiei publice</w:t>
            </w:r>
            <w:r w:rsidR="00090294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centrale</w:t>
            </w:r>
            <w:r w:rsidR="00543CC1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; transparenţa decizională; responsabilizarea instituţională;</w:t>
            </w:r>
            <w:r w:rsidR="00023106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delimitarea funcțiilor de elaborare a politicilor de funcțiile de implementare a acestora</w:t>
            </w:r>
            <w:r w:rsidR="006E1D64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; gestionarea eficientă a fondurilor publice alocate.</w:t>
            </w:r>
          </w:p>
          <w:p w:rsidR="002F16D2" w:rsidRPr="00FF4ECE" w:rsidRDefault="002F16D2" w:rsidP="00D91518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</w:pPr>
            <w:r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În acest proces, un rol indispensabil</w:t>
            </w:r>
            <w:r w:rsidR="00B26896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în cadrul reformei administrației publice centrale</w:t>
            </w:r>
            <w:r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la avut</w:t>
            </w:r>
            <w:r w:rsidR="00BF47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și îl</w:t>
            </w:r>
            <w:r w:rsidR="007F3F1F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are</w:t>
            </w:r>
            <w:r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B26896" w:rsidRPr="00FF4EC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Consiliul național pentru reforma administrației publice</w:t>
            </w:r>
            <w:r w:rsidR="00B26896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944CD6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prezidat</w:t>
            </w:r>
            <w:r w:rsidR="007F3F1F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de către Prim-ministru</w:t>
            </w:r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, fiind o</w:t>
            </w:r>
            <w:r w:rsidR="00944CD6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platformă consultativă, </w:t>
            </w:r>
            <w:r w:rsidR="0007557F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a cărui misiune </w:t>
            </w:r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constă în asigurarea unui proces integrat de planificare strategică, de implementare şi monitorizare a politicilor Guvernului în domeniul reformei administraţiei publice </w:t>
            </w:r>
            <w:proofErr w:type="spellStart"/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atît</w:t>
            </w:r>
            <w:proofErr w:type="spellEnd"/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la nivel central, </w:t>
            </w:r>
            <w:proofErr w:type="spellStart"/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cît</w:t>
            </w:r>
            <w:proofErr w:type="spellEnd"/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şi la nivel local, </w:t>
            </w:r>
            <w:proofErr w:type="spellStart"/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corelînd</w:t>
            </w:r>
            <w:proofErr w:type="spellEnd"/>
            <w:r w:rsidR="00697C1A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într-o manieră eficientă priorităţile naţionale cu politicile sectoriale, angajamentele internaţionale asumate şi cadrul de resurse interne şi externe.</w:t>
            </w:r>
          </w:p>
          <w:p w:rsidR="00D91518" w:rsidRPr="00FF4ECE" w:rsidRDefault="00877D5C" w:rsidP="00D91518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 xml:space="preserve">O a doua etapă a reformei administrației publice, vizează reforma administrației publice locale. Astfel, </w:t>
            </w:r>
            <w:r w:rsidR="00D91518" w:rsidRPr="00FF4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>î</w:t>
            </w:r>
            <w:r w:rsidR="00D91518" w:rsidRPr="00FF4E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O"/>
              </w:rPr>
              <w:t xml:space="preserve">n </w:t>
            </w:r>
            <w:r w:rsidR="00D91518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>contextul preconizatei reforme a administraţiei publice locale, întru asigurarea unei abordări integrate şi complexe a acestei reforme, se propune extinderea formatului Consiliului național pentru reforma administrației publice, prin sincronizarea misiunii și atribuțiilor acestui Consiliu cu competenţele Comisiei paritare pe</w:t>
            </w:r>
            <w:r w:rsidR="00362F00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ntru descentralizare, care a fost instituită </w:t>
            </w:r>
            <w:r w:rsidR="00E84D35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în scopul studierii, promovării şi monitorizării procesului de descentralizare administrativă şi financiară</w:t>
            </w:r>
            <w:r w:rsidR="00FF4ECE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D91518" w:rsidRDefault="008314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Extinderea formatului Consiliului național pentru reforma administrației publice, cu preluarea agendei </w:t>
            </w:r>
            <w:r w:rsidR="00C6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și competențelor </w:t>
            </w:r>
            <w:r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Comisiei paritare pentru descentralizare, </w:t>
            </w:r>
            <w:r w:rsidR="00D91518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va presupune conjugarea eforturilor pentru realizarea reformei administrației publice locale, </w:t>
            </w:r>
            <w:proofErr w:type="spellStart"/>
            <w:r w:rsidR="00D91518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>ținînd</w:t>
            </w:r>
            <w:proofErr w:type="spellEnd"/>
            <w:r w:rsidR="00D91518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 cont de principiile de bază ale administrării publice locale</w:t>
            </w:r>
            <w:r w:rsidR="007B4902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, </w:t>
            </w:r>
            <w:r w:rsidR="007B4902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pentru a consolida capacităţile </w:t>
            </w:r>
            <w:r w:rsidR="004331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acestor </w:t>
            </w:r>
            <w:r w:rsidR="007B4902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autorităţi, a îmbunătăţi managementul şi calitatea serviciil</w:t>
            </w:r>
            <w:r w:rsidR="004B57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or publice prestate cetăţenilor. Acest fapt presupune creșterea nivelului Comisiei paritare</w:t>
            </w:r>
            <w:r w:rsidR="00351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pentru descentralizare</w:t>
            </w:r>
            <w:r w:rsidR="00AD6E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, odată cu </w:t>
            </w:r>
            <w:r w:rsidR="004B57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absorbția </w:t>
            </w:r>
            <w:r w:rsidR="00351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aceste</w:t>
            </w:r>
            <w:r w:rsidR="00CA5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ia</w:t>
            </w:r>
            <w:r w:rsidR="00351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ce către Consiliu</w:t>
            </w:r>
            <w:r w:rsidR="00CA5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,</w:t>
            </w:r>
            <w:r w:rsidR="004B57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351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care într-o manieră mai largă </w:t>
            </w:r>
            <w:r w:rsidR="00AD6E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consultativă - </w:t>
            </w:r>
            <w:r w:rsidR="00351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cu implicarea </w:t>
            </w:r>
            <w:r w:rsidR="00203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reprezentanților </w:t>
            </w:r>
            <w:r w:rsidR="00CA5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autorităților publice centrale și locale, precum și a</w:t>
            </w:r>
            <w:r w:rsidR="007E64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i</w:t>
            </w:r>
            <w:r w:rsidR="00CA5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organizațiilor neguvernamentale </w:t>
            </w:r>
            <w:r w:rsidR="00536F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– </w:t>
            </w:r>
            <w:r w:rsidR="005A7E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își </w:t>
            </w:r>
            <w:r w:rsidR="00536F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va </w:t>
            </w:r>
            <w:r w:rsidR="005A7E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consolida</w:t>
            </w:r>
            <w:r w:rsidR="00536F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rol</w:t>
            </w:r>
            <w:r w:rsidR="005A7E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ul</w:t>
            </w:r>
            <w:r w:rsidR="00536F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indispensabil în </w:t>
            </w:r>
            <w:r w:rsidR="005A7E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cadrul reformei </w:t>
            </w:r>
            <w:r w:rsidR="00536F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administrației publice locale. Mai mult ca </w:t>
            </w:r>
            <w:proofErr w:type="spellStart"/>
            <w:r w:rsidR="00536F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atît</w:t>
            </w:r>
            <w:proofErr w:type="spellEnd"/>
            <w:r w:rsidR="00536F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, </w:t>
            </w:r>
            <w:r w:rsidR="009D0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această comasare este necesară</w:t>
            </w:r>
            <w:r w:rsidR="002A77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pentru a evita existența a două platforme consultative,</w:t>
            </w:r>
            <w:r w:rsidR="00FF1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cu funcții convergente</w:t>
            </w:r>
            <w:r w:rsidR="00DD1B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2A77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pr</w:t>
            </w:r>
            <w:r w:rsidR="00FF1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ezidate de către Prim-ministru</w:t>
            </w:r>
            <w:r w:rsidR="00DD1B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, care în principiu vizează realizarea </w:t>
            </w:r>
            <w:r w:rsidR="00DD1B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lastRenderedPageBreak/>
              <w:t>acelo</w:t>
            </w:r>
            <w:r w:rsidR="00C61B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rași obiective.</w:t>
            </w:r>
          </w:p>
          <w:p w:rsidR="00256604" w:rsidRDefault="0025660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De asemenea, în scopul facilitării activității</w:t>
            </w:r>
            <w:r w:rsidR="00C00D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sale, Consiliul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național</w:t>
            </w:r>
            <w:r w:rsidR="00DB77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va atrage reprezentanți ai partenerilor de dezvoltare</w:t>
            </w:r>
            <w:r w:rsidR="00244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, societății civile, mediului academic și mediului de afaceri.</w:t>
            </w:r>
          </w:p>
          <w:p w:rsidR="00C61B63" w:rsidRPr="00FF4ECE" w:rsidRDefault="005A3391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În</w:t>
            </w:r>
            <w:r w:rsidR="00244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tru realizarea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acestor deziderate </w:t>
            </w:r>
            <w:r w:rsidR="00244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sunt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necesar</w:t>
            </w:r>
            <w:r w:rsidR="00244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244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modificări ale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244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prevederilor</w:t>
            </w:r>
            <w:r w:rsidR="002566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Legii </w:t>
            </w:r>
            <w:r w:rsidR="00256604" w:rsidRPr="00FF4ECE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nr.435/2006 </w:t>
            </w:r>
            <w:r w:rsidR="00256604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privind descentralizarea administrativă</w:t>
            </w:r>
            <w:r w:rsidR="00EA4F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F066F5" w:rsidRPr="00FF4ECE" w:rsidRDefault="00F066F5" w:rsidP="0024467F">
            <w:pPr>
              <w:pStyle w:val="NoSpacing"/>
              <w:ind w:left="90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BF4767" w:rsidTr="002C3455">
        <w:tc>
          <w:tcPr>
            <w:tcW w:w="9360" w:type="dxa"/>
            <w:shd w:val="clear" w:color="auto" w:fill="D9D9D9"/>
          </w:tcPr>
          <w:p w:rsidR="005B6A94" w:rsidRPr="00FF4ECE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FF4EC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 xml:space="preserve">Principalele prevederi, locul actului în sistemul de acte normative, evidenţierea elementelor noi </w:t>
            </w:r>
          </w:p>
        </w:tc>
      </w:tr>
      <w:tr w:rsidR="005B6A94" w:rsidRPr="00BF4767" w:rsidTr="002C3455">
        <w:tc>
          <w:tcPr>
            <w:tcW w:w="9360" w:type="dxa"/>
            <w:shd w:val="clear" w:color="auto" w:fill="auto"/>
          </w:tcPr>
          <w:p w:rsidR="007C5B9F" w:rsidRDefault="00F81AF3" w:rsidP="00DA2FDB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>Prin proiectul de lege</w:t>
            </w:r>
            <w:r w:rsidR="00DA2FDB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, se propune modificarea </w:t>
            </w:r>
            <w:r w:rsidR="00DA2FDB" w:rsidRPr="00FF4ECE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Legii nr.435/2006 </w:t>
            </w:r>
            <w:r w:rsidR="00DA2FDB" w:rsidRPr="00FF4E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privind descentralizarea administrativă</w:t>
            </w:r>
            <w:r w:rsidR="00DA2FDB" w:rsidRPr="00FF4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, cu reglementări </w:t>
            </w:r>
            <w:r w:rsidR="00EA4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generice </w:t>
            </w:r>
            <w:r w:rsidR="00DA2FDB" w:rsidRPr="00FF4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care ar </w:t>
            </w:r>
            <w:r w:rsidR="00EA4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oferi Guvernului posibilitatea de</w:t>
            </w:r>
            <w:r w:rsidR="00C00D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a decide asupra modalității</w:t>
            </w:r>
            <w:r w:rsidR="007C5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și </w:t>
            </w:r>
            <w:r w:rsidRPr="00FF4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mecanismul</w:t>
            </w:r>
            <w:r w:rsidR="007C5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ui</w:t>
            </w:r>
            <w:r w:rsidRPr="00FF4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de extindere a formatului</w:t>
            </w:r>
            <w:r w:rsidR="00DA2FDB" w:rsidRPr="00FF4E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DA2FDB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Consiliului național pentru reforma administrației publice, prez</w:t>
            </w:r>
            <w:r w:rsidR="00553B0A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idat de către Primul-ministru, prin înglobarea</w:t>
            </w:r>
            <w:r w:rsidR="00DA2FDB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Comisiei </w:t>
            </w:r>
            <w:r w:rsidR="00553B0A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paritare pentru descentralizare</w:t>
            </w:r>
            <w:r w:rsidR="007C5B9F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.</w:t>
            </w:r>
          </w:p>
          <w:p w:rsidR="007C5B9F" w:rsidRDefault="007C5B9F" w:rsidP="00DA2FDB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În acest sens, se propune modificarea art.9 </w:t>
            </w:r>
            <w:r w:rsidR="0090160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alineatul (2) prin substituirea </w:t>
            </w:r>
            <w:r w:rsidR="00E4479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sintagmei</w:t>
            </w:r>
            <w:r w:rsidR="0090160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,,comisie paritară pentru descentralizare</w:t>
            </w:r>
            <w:r w:rsidR="007C42DF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,</w:t>
            </w:r>
            <w:r w:rsidR="00E4479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prezidată de către Primul-ministru</w:t>
            </w:r>
            <w:r w:rsidR="007C42DF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”</w:t>
            </w:r>
            <w:r w:rsidR="00E4479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, cu sintagma </w:t>
            </w:r>
            <w:r w:rsidR="00B60D54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generică de </w:t>
            </w:r>
            <w:r w:rsidR="00E4479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,,</w:t>
            </w:r>
            <w:r w:rsidR="007C42DF" w:rsidRPr="006463EA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structură consultativă, fără personalitate juridică, prezidată de către Primul-ministru</w:t>
            </w:r>
            <w:r w:rsidR="00B60D5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”, </w:t>
            </w:r>
            <w:proofErr w:type="spellStart"/>
            <w:r w:rsidR="00B60D5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evitînd</w:t>
            </w:r>
            <w:proofErr w:type="spellEnd"/>
            <w:r w:rsidR="00B60D5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indicarea expresă a denumirii acestei structuri.</w:t>
            </w:r>
          </w:p>
          <w:p w:rsidR="00B60D54" w:rsidRDefault="00B60D54" w:rsidP="00B60D54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Astfel, utilizarea </w:t>
            </w:r>
            <w:r w:rsidR="006755A4"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sintagmei g</w:t>
            </w:r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enerice</w:t>
            </w:r>
            <w:r w:rsidR="006755A4"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respective</w:t>
            </w:r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oferă dreptul Guvernului ca să decidă asupra modului organizare și funcționare a </w:t>
            </w:r>
            <w:r w:rsidR="006755A4"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structurii consultative menționate</w:t>
            </w:r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Mai mult ca </w:t>
            </w:r>
            <w:proofErr w:type="spellStart"/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atît</w:t>
            </w:r>
            <w:proofErr w:type="spellEnd"/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822C0B"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în conformitate cu art.7 </w:t>
            </w:r>
            <w:proofErr w:type="spellStart"/>
            <w:r w:rsidR="00822C0B"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lit.k</w:t>
            </w:r>
            <w:proofErr w:type="spellEnd"/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) din Legea cu privire la Guvern nr.136/2017, Guvernul este împuternicit să </w:t>
            </w:r>
            <w:r w:rsidR="00822C0B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cre</w:t>
            </w:r>
            <w:r w:rsidR="005915FE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eze</w:t>
            </w:r>
            <w:r w:rsidR="00822C0B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grupuri de lucru, comisii şi comitete interministeriale, </w:t>
            </w:r>
            <w:r w:rsidR="005915FE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să </w:t>
            </w:r>
            <w:r w:rsidR="00822C0B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desemne</w:t>
            </w:r>
            <w:r w:rsidR="005915FE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ze</w:t>
            </w:r>
            <w:r w:rsidR="00822C0B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membrii acestora şi </w:t>
            </w:r>
            <w:r w:rsidR="005915FE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să aprobe</w:t>
            </w:r>
            <w:r w:rsidR="00822C0B" w:rsidRPr="005915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regulamentele de activitate ale acestora</w:t>
            </w:r>
            <w:r w:rsidRPr="005915F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4F4094" w:rsidRPr="0073335F" w:rsidRDefault="003E2BC0" w:rsidP="00F86F8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 context</w:t>
            </w:r>
            <w:r w:rsidR="006767E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Guvernul va asigura</w:t>
            </w:r>
            <w:r w:rsidR="000A025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</w:t>
            </w:r>
            <w:r w:rsidR="000A025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modificarea cadrului normativ</w:t>
            </w:r>
            <w:r w:rsidR="000A0251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în vederea asigurării </w:t>
            </w:r>
            <w:r w:rsidR="000A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>extinderii</w:t>
            </w:r>
            <w:r w:rsidR="000A0251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 formatului</w:t>
            </w:r>
            <w:r w:rsidR="000A0251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</w:t>
            </w:r>
            <w:r w:rsidR="000A0251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Consiliului național pentru reforma administrației publice, prin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>sincronizarea</w:t>
            </w:r>
            <w:r w:rsidR="000A0251" w:rsidRPr="00FF4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 misiunii și atribuțiilor </w:t>
            </w:r>
            <w:r w:rsidR="000A0251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Comisiei paritare pentru descentralizare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cu misiunea și competențele</w:t>
            </w:r>
            <w:r w:rsidR="000A0251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Consiliului național</w:t>
            </w:r>
            <w:r w:rsidR="000A025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, în conformitate cu prevederile </w:t>
            </w:r>
            <w:proofErr w:type="spellStart"/>
            <w:r w:rsidR="000A025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art.II</w:t>
            </w:r>
            <w:proofErr w:type="spellEnd"/>
            <w:r w:rsidR="000A025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.</w:t>
            </w:r>
            <w:r w:rsidR="00553B0A" w:rsidRPr="00FF4EC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din proiect</w:t>
            </w:r>
            <w:r w:rsidR="000A025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ul de lege</w:t>
            </w:r>
            <w:r w:rsidR="00F86F8A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.</w:t>
            </w:r>
            <w:bookmarkStart w:id="0" w:name="_GoBack"/>
            <w:bookmarkEnd w:id="0"/>
          </w:p>
        </w:tc>
      </w:tr>
      <w:tr w:rsidR="005B6A94" w:rsidRPr="00BF4767" w:rsidTr="002C3455">
        <w:tc>
          <w:tcPr>
            <w:tcW w:w="9360" w:type="dxa"/>
            <w:shd w:val="clear" w:color="auto" w:fill="D9D9D9"/>
          </w:tcPr>
          <w:p w:rsidR="005B6A94" w:rsidRPr="00FF4ECE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FF4EC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Descrierea gradului de compatibilitate  a prevederilor proiectului cu legislația Uniunii Europene</w:t>
            </w:r>
          </w:p>
        </w:tc>
      </w:tr>
      <w:tr w:rsidR="005B6A94" w:rsidRPr="00BF4767" w:rsidTr="002C3455">
        <w:tc>
          <w:tcPr>
            <w:tcW w:w="9360" w:type="dxa"/>
            <w:shd w:val="clear" w:color="auto" w:fill="auto"/>
          </w:tcPr>
          <w:p w:rsidR="005B6A94" w:rsidRPr="00FF4ECE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FF4ECE">
              <w:rPr>
                <w:rFonts w:ascii="Times New Roman" w:hAnsi="Times New Roman"/>
                <w:sz w:val="28"/>
                <w:szCs w:val="28"/>
                <w:lang w:val="ro-MO"/>
              </w:rPr>
              <w:t>Prezentul proiect de nu contravine legislației Uniunii Europene.</w:t>
            </w:r>
          </w:p>
        </w:tc>
      </w:tr>
      <w:tr w:rsidR="005B6A94" w:rsidRPr="00FF4ECE" w:rsidTr="002C3455">
        <w:tc>
          <w:tcPr>
            <w:tcW w:w="9360" w:type="dxa"/>
            <w:shd w:val="clear" w:color="auto" w:fill="D9D9D9"/>
          </w:tcPr>
          <w:p w:rsidR="005B6A94" w:rsidRPr="00FF4ECE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FF4EC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BF4767" w:rsidTr="002C3455">
        <w:tc>
          <w:tcPr>
            <w:tcW w:w="9360" w:type="dxa"/>
            <w:shd w:val="clear" w:color="auto" w:fill="auto"/>
          </w:tcPr>
          <w:p w:rsidR="005B6A94" w:rsidRPr="00FF4ECE" w:rsidRDefault="005B6A94" w:rsidP="00A82402">
            <w:pPr>
              <w:spacing w:after="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FF4EC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Implementarea prevederilor proiectului nu necesită cheltuieli financiare suplimentare </w:t>
            </w:r>
            <w:r w:rsidR="00A82402" w:rsidRPr="00FF4ECE">
              <w:rPr>
                <w:rFonts w:ascii="Times New Roman" w:hAnsi="Times New Roman"/>
                <w:sz w:val="28"/>
                <w:szCs w:val="28"/>
                <w:lang w:val="ro-MO"/>
              </w:rPr>
              <w:t>din bugetul de stat</w:t>
            </w:r>
            <w:r w:rsidRPr="00FF4EC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. </w:t>
            </w:r>
          </w:p>
        </w:tc>
      </w:tr>
    </w:tbl>
    <w:p w:rsidR="005B6A94" w:rsidRPr="00FF4ECE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4563FD" w:rsidRPr="00FF4ECE" w:rsidRDefault="004563FD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FF4ECE" w:rsidRDefault="00CA4ECF" w:rsidP="00CA4ECF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FF4ECE">
        <w:rPr>
          <w:rFonts w:ascii="Times New Roman" w:hAnsi="Times New Roman" w:cs="Times New Roman"/>
          <w:sz w:val="28"/>
          <w:szCs w:val="28"/>
          <w:lang w:val="ro-MO"/>
        </w:rPr>
        <w:tab/>
        <w:t>Director                                                                                     Iurie CIOCAN</w:t>
      </w:r>
    </w:p>
    <w:p w:rsidR="00CA4ECF" w:rsidRPr="00FF4ECE" w:rsidRDefault="00CA4ECF" w:rsidP="005B6A9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F4ECE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67792" w:rsidRPr="00FF4ECE" w:rsidRDefault="005B6A94" w:rsidP="00A96FDA">
      <w:pPr>
        <w:pStyle w:val="NoSpacing"/>
        <w:jc w:val="both"/>
        <w:rPr>
          <w:lang w:val="ro-MO"/>
        </w:rPr>
      </w:pPr>
      <w:r w:rsidRPr="00FF4ECE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FF4ECE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FF4ECE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44B"/>
    <w:multiLevelType w:val="hybridMultilevel"/>
    <w:tmpl w:val="7E1A2C08"/>
    <w:lvl w:ilvl="0" w:tplc="EE1060AE">
      <w:numFmt w:val="bullet"/>
      <w:lvlText w:val="-"/>
      <w:lvlJc w:val="left"/>
      <w:pPr>
        <w:ind w:left="90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757E"/>
    <w:rsid w:val="00023106"/>
    <w:rsid w:val="00024362"/>
    <w:rsid w:val="00026AEB"/>
    <w:rsid w:val="00036C50"/>
    <w:rsid w:val="00036DDF"/>
    <w:rsid w:val="00040179"/>
    <w:rsid w:val="0007557F"/>
    <w:rsid w:val="00085E6B"/>
    <w:rsid w:val="00090294"/>
    <w:rsid w:val="00090CBC"/>
    <w:rsid w:val="00092D5F"/>
    <w:rsid w:val="000A0251"/>
    <w:rsid w:val="000D118A"/>
    <w:rsid w:val="000D2111"/>
    <w:rsid w:val="000F536A"/>
    <w:rsid w:val="0010382B"/>
    <w:rsid w:val="00106395"/>
    <w:rsid w:val="001111AC"/>
    <w:rsid w:val="00115DA1"/>
    <w:rsid w:val="00142304"/>
    <w:rsid w:val="00147B1C"/>
    <w:rsid w:val="00193943"/>
    <w:rsid w:val="001B2095"/>
    <w:rsid w:val="001C721B"/>
    <w:rsid w:val="001E081C"/>
    <w:rsid w:val="001E362B"/>
    <w:rsid w:val="001E591D"/>
    <w:rsid w:val="00203E39"/>
    <w:rsid w:val="0020762E"/>
    <w:rsid w:val="002230B2"/>
    <w:rsid w:val="0024467F"/>
    <w:rsid w:val="00250952"/>
    <w:rsid w:val="00251C46"/>
    <w:rsid w:val="00256604"/>
    <w:rsid w:val="00281139"/>
    <w:rsid w:val="00281E75"/>
    <w:rsid w:val="002A77EB"/>
    <w:rsid w:val="002A7F68"/>
    <w:rsid w:val="002C0A44"/>
    <w:rsid w:val="002D43A4"/>
    <w:rsid w:val="002F16D2"/>
    <w:rsid w:val="00303830"/>
    <w:rsid w:val="00311717"/>
    <w:rsid w:val="00323427"/>
    <w:rsid w:val="00336086"/>
    <w:rsid w:val="00344BE2"/>
    <w:rsid w:val="0035174E"/>
    <w:rsid w:val="0035218E"/>
    <w:rsid w:val="0035504B"/>
    <w:rsid w:val="00362F00"/>
    <w:rsid w:val="00363AB5"/>
    <w:rsid w:val="00366FD7"/>
    <w:rsid w:val="00371499"/>
    <w:rsid w:val="0038434F"/>
    <w:rsid w:val="00394FAC"/>
    <w:rsid w:val="00397474"/>
    <w:rsid w:val="003A4D14"/>
    <w:rsid w:val="003D7C72"/>
    <w:rsid w:val="003E0A6E"/>
    <w:rsid w:val="003E2BC0"/>
    <w:rsid w:val="003F0193"/>
    <w:rsid w:val="003F4981"/>
    <w:rsid w:val="0040256E"/>
    <w:rsid w:val="00417B12"/>
    <w:rsid w:val="00433132"/>
    <w:rsid w:val="00445580"/>
    <w:rsid w:val="004563FD"/>
    <w:rsid w:val="00481193"/>
    <w:rsid w:val="00487747"/>
    <w:rsid w:val="00494B4C"/>
    <w:rsid w:val="0049661F"/>
    <w:rsid w:val="004B3E21"/>
    <w:rsid w:val="004B575D"/>
    <w:rsid w:val="004E68C5"/>
    <w:rsid w:val="004F4094"/>
    <w:rsid w:val="004F6607"/>
    <w:rsid w:val="005003E8"/>
    <w:rsid w:val="005141E3"/>
    <w:rsid w:val="00517799"/>
    <w:rsid w:val="005247A9"/>
    <w:rsid w:val="005340F2"/>
    <w:rsid w:val="00536F18"/>
    <w:rsid w:val="00537706"/>
    <w:rsid w:val="00543CC1"/>
    <w:rsid w:val="00553B0A"/>
    <w:rsid w:val="0056337A"/>
    <w:rsid w:val="0058409C"/>
    <w:rsid w:val="005862BC"/>
    <w:rsid w:val="005915FE"/>
    <w:rsid w:val="00591968"/>
    <w:rsid w:val="005A3391"/>
    <w:rsid w:val="005A7EC1"/>
    <w:rsid w:val="005B6A94"/>
    <w:rsid w:val="005C1D73"/>
    <w:rsid w:val="005C7297"/>
    <w:rsid w:val="005E3BBB"/>
    <w:rsid w:val="005E4126"/>
    <w:rsid w:val="005F0BB8"/>
    <w:rsid w:val="005F263C"/>
    <w:rsid w:val="005F2DD3"/>
    <w:rsid w:val="00617FC6"/>
    <w:rsid w:val="00624F20"/>
    <w:rsid w:val="0063059D"/>
    <w:rsid w:val="006355B3"/>
    <w:rsid w:val="006526D0"/>
    <w:rsid w:val="006527B3"/>
    <w:rsid w:val="006627C5"/>
    <w:rsid w:val="006755A4"/>
    <w:rsid w:val="006767E5"/>
    <w:rsid w:val="00680BB7"/>
    <w:rsid w:val="00697C1A"/>
    <w:rsid w:val="006A114D"/>
    <w:rsid w:val="006B333B"/>
    <w:rsid w:val="006B7E6B"/>
    <w:rsid w:val="006C27F1"/>
    <w:rsid w:val="006D7330"/>
    <w:rsid w:val="006E1D64"/>
    <w:rsid w:val="007206D3"/>
    <w:rsid w:val="0073335F"/>
    <w:rsid w:val="00740FA3"/>
    <w:rsid w:val="007B4902"/>
    <w:rsid w:val="007B4FBC"/>
    <w:rsid w:val="007C242B"/>
    <w:rsid w:val="007C42DF"/>
    <w:rsid w:val="007C5B9F"/>
    <w:rsid w:val="007E64BB"/>
    <w:rsid w:val="007E68AD"/>
    <w:rsid w:val="007E6ECD"/>
    <w:rsid w:val="007F3F1F"/>
    <w:rsid w:val="008222A0"/>
    <w:rsid w:val="00822C0B"/>
    <w:rsid w:val="00825A4F"/>
    <w:rsid w:val="00831494"/>
    <w:rsid w:val="008452C9"/>
    <w:rsid w:val="0085073D"/>
    <w:rsid w:val="008509BE"/>
    <w:rsid w:val="00877D5C"/>
    <w:rsid w:val="008A5565"/>
    <w:rsid w:val="008E7FCB"/>
    <w:rsid w:val="008F5CC2"/>
    <w:rsid w:val="0090160C"/>
    <w:rsid w:val="009219DD"/>
    <w:rsid w:val="00941E99"/>
    <w:rsid w:val="00944CD6"/>
    <w:rsid w:val="0096161A"/>
    <w:rsid w:val="009736C4"/>
    <w:rsid w:val="00980FBE"/>
    <w:rsid w:val="00986C63"/>
    <w:rsid w:val="00992E4C"/>
    <w:rsid w:val="00997AB6"/>
    <w:rsid w:val="009B72AA"/>
    <w:rsid w:val="009D0746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97F6E"/>
    <w:rsid w:val="00AA35DC"/>
    <w:rsid w:val="00AA73C4"/>
    <w:rsid w:val="00AB2245"/>
    <w:rsid w:val="00AB71CA"/>
    <w:rsid w:val="00AD4C0B"/>
    <w:rsid w:val="00AD6E9A"/>
    <w:rsid w:val="00AD7FE1"/>
    <w:rsid w:val="00B101AA"/>
    <w:rsid w:val="00B1207E"/>
    <w:rsid w:val="00B21F76"/>
    <w:rsid w:val="00B26896"/>
    <w:rsid w:val="00B27AA3"/>
    <w:rsid w:val="00B526EF"/>
    <w:rsid w:val="00B60D54"/>
    <w:rsid w:val="00BC0A05"/>
    <w:rsid w:val="00BF4767"/>
    <w:rsid w:val="00C00D23"/>
    <w:rsid w:val="00C16CCB"/>
    <w:rsid w:val="00C20F99"/>
    <w:rsid w:val="00C215DD"/>
    <w:rsid w:val="00C315FE"/>
    <w:rsid w:val="00C61B63"/>
    <w:rsid w:val="00C6593F"/>
    <w:rsid w:val="00C85DF9"/>
    <w:rsid w:val="00CA47C0"/>
    <w:rsid w:val="00CA4ECF"/>
    <w:rsid w:val="00CA5D36"/>
    <w:rsid w:val="00CA7FB5"/>
    <w:rsid w:val="00CB40AF"/>
    <w:rsid w:val="00CB5D92"/>
    <w:rsid w:val="00CC23EE"/>
    <w:rsid w:val="00D042FE"/>
    <w:rsid w:val="00D1315C"/>
    <w:rsid w:val="00D64413"/>
    <w:rsid w:val="00D91518"/>
    <w:rsid w:val="00DA2FA2"/>
    <w:rsid w:val="00DA2FDB"/>
    <w:rsid w:val="00DB7216"/>
    <w:rsid w:val="00DB77C9"/>
    <w:rsid w:val="00DD0923"/>
    <w:rsid w:val="00DD1BE1"/>
    <w:rsid w:val="00DE0DDE"/>
    <w:rsid w:val="00E04FC4"/>
    <w:rsid w:val="00E34950"/>
    <w:rsid w:val="00E4479C"/>
    <w:rsid w:val="00E611FB"/>
    <w:rsid w:val="00E84D35"/>
    <w:rsid w:val="00E92F49"/>
    <w:rsid w:val="00EA4F64"/>
    <w:rsid w:val="00EB0FA6"/>
    <w:rsid w:val="00EC659B"/>
    <w:rsid w:val="00EC6CDD"/>
    <w:rsid w:val="00EE0A17"/>
    <w:rsid w:val="00F066F5"/>
    <w:rsid w:val="00F109A4"/>
    <w:rsid w:val="00F17D26"/>
    <w:rsid w:val="00F26B34"/>
    <w:rsid w:val="00F27731"/>
    <w:rsid w:val="00F4267A"/>
    <w:rsid w:val="00F44815"/>
    <w:rsid w:val="00F46D29"/>
    <w:rsid w:val="00F67792"/>
    <w:rsid w:val="00F70914"/>
    <w:rsid w:val="00F72E1A"/>
    <w:rsid w:val="00F746E1"/>
    <w:rsid w:val="00F81AF3"/>
    <w:rsid w:val="00F86F8A"/>
    <w:rsid w:val="00F90806"/>
    <w:rsid w:val="00F92EF2"/>
    <w:rsid w:val="00FB7398"/>
    <w:rsid w:val="00FC56E5"/>
    <w:rsid w:val="00FE4C09"/>
    <w:rsid w:val="00FF15E7"/>
    <w:rsid w:val="00FF1FE6"/>
    <w:rsid w:val="00FF4ECE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56</cp:revision>
  <cp:lastPrinted>2018-01-12T06:36:00Z</cp:lastPrinted>
  <dcterms:created xsi:type="dcterms:W3CDTF">2017-09-27T05:06:00Z</dcterms:created>
  <dcterms:modified xsi:type="dcterms:W3CDTF">2018-01-12T06:49:00Z</dcterms:modified>
</cp:coreProperties>
</file>