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2AC" w:rsidRPr="00226CAA" w:rsidRDefault="006E52AC" w:rsidP="006E52AC">
      <w:pPr>
        <w:spacing w:after="0" w:line="240" w:lineRule="auto"/>
        <w:jc w:val="center"/>
        <w:rPr>
          <w:rFonts w:ascii="Times New Roman" w:eastAsia="Times New Roman" w:hAnsi="Times New Roman" w:cs="Times New Roman"/>
          <w:b/>
          <w:bCs/>
          <w:sz w:val="24"/>
          <w:szCs w:val="24"/>
          <w:lang w:val="ro-RO" w:eastAsia="ru-RU"/>
        </w:rPr>
      </w:pPr>
      <w:r w:rsidRPr="00226CAA">
        <w:rPr>
          <w:rFonts w:ascii="Times New Roman" w:eastAsia="Times New Roman" w:hAnsi="Times New Roman" w:cs="Times New Roman"/>
          <w:b/>
          <w:bCs/>
          <w:sz w:val="24"/>
          <w:szCs w:val="24"/>
          <w:lang w:val="ro-RO" w:eastAsia="ru-RU"/>
        </w:rPr>
        <w:t>GUVERNUL REPUBLICII MOLDOVA</w:t>
      </w:r>
    </w:p>
    <w:p w:rsidR="006E52AC" w:rsidRPr="00226CAA" w:rsidRDefault="006E52AC" w:rsidP="006E52AC">
      <w:pPr>
        <w:spacing w:after="0" w:line="240" w:lineRule="auto"/>
        <w:jc w:val="center"/>
        <w:rPr>
          <w:rFonts w:ascii="Times New Roman" w:eastAsia="Times New Roman" w:hAnsi="Times New Roman" w:cs="Times New Roman"/>
          <w:b/>
          <w:bCs/>
          <w:sz w:val="24"/>
          <w:szCs w:val="24"/>
          <w:lang w:val="ro-RO" w:eastAsia="ru-RU"/>
        </w:rPr>
      </w:pPr>
      <w:r w:rsidRPr="00226CAA">
        <w:rPr>
          <w:rFonts w:ascii="Times New Roman" w:eastAsia="Times New Roman" w:hAnsi="Times New Roman" w:cs="Times New Roman"/>
          <w:b/>
          <w:bCs/>
          <w:sz w:val="24"/>
          <w:szCs w:val="24"/>
          <w:lang w:val="ro-RO" w:eastAsia="ru-RU"/>
        </w:rPr>
        <w:t>H O T Ă R Î R E nr. ______</w:t>
      </w:r>
    </w:p>
    <w:p w:rsidR="006E52AC" w:rsidRPr="00226CAA" w:rsidRDefault="006E52AC" w:rsidP="006E52AC">
      <w:pPr>
        <w:spacing w:after="0" w:line="240" w:lineRule="auto"/>
        <w:jc w:val="center"/>
        <w:rPr>
          <w:rFonts w:ascii="Times New Roman" w:eastAsia="Times New Roman" w:hAnsi="Times New Roman" w:cs="Times New Roman"/>
          <w:b/>
          <w:bCs/>
          <w:sz w:val="24"/>
          <w:szCs w:val="24"/>
          <w:lang w:val="ro-RO" w:eastAsia="ru-RU"/>
        </w:rPr>
      </w:pPr>
      <w:r w:rsidRPr="00226CAA">
        <w:rPr>
          <w:rFonts w:ascii="Times New Roman" w:eastAsia="Times New Roman" w:hAnsi="Times New Roman" w:cs="Times New Roman"/>
          <w:b/>
          <w:bCs/>
          <w:sz w:val="24"/>
          <w:szCs w:val="24"/>
          <w:lang w:val="ro-RO" w:eastAsia="ru-RU"/>
        </w:rPr>
        <w:t>din ______________________</w:t>
      </w:r>
    </w:p>
    <w:p w:rsidR="006E52AC" w:rsidRPr="00226CAA" w:rsidRDefault="006E52AC" w:rsidP="006E52AC">
      <w:pPr>
        <w:spacing w:after="0" w:line="240" w:lineRule="auto"/>
        <w:jc w:val="center"/>
        <w:rPr>
          <w:rFonts w:ascii="Times New Roman" w:eastAsia="Times New Roman" w:hAnsi="Times New Roman" w:cs="Times New Roman"/>
          <w:b/>
          <w:bCs/>
          <w:sz w:val="24"/>
          <w:szCs w:val="24"/>
          <w:lang w:val="ro-RO" w:eastAsia="ru-RU"/>
        </w:rPr>
      </w:pPr>
      <w:r w:rsidRPr="00226CAA">
        <w:rPr>
          <w:rFonts w:ascii="Times New Roman" w:eastAsia="Times New Roman" w:hAnsi="Times New Roman" w:cs="Times New Roman"/>
          <w:b/>
          <w:bCs/>
          <w:sz w:val="24"/>
          <w:szCs w:val="24"/>
          <w:lang w:val="ro-RO" w:eastAsia="ru-RU"/>
        </w:rPr>
        <w:t>Chişinău</w:t>
      </w:r>
    </w:p>
    <w:p w:rsidR="006E52AC" w:rsidRPr="00226CAA" w:rsidRDefault="006E52AC" w:rsidP="006E52AC">
      <w:pPr>
        <w:spacing w:after="0" w:line="240" w:lineRule="auto"/>
        <w:jc w:val="center"/>
        <w:rPr>
          <w:rFonts w:ascii="Times New Roman" w:eastAsia="Times New Roman" w:hAnsi="Times New Roman" w:cs="Times New Roman"/>
          <w:b/>
          <w:bCs/>
          <w:sz w:val="24"/>
          <w:szCs w:val="24"/>
          <w:lang w:val="ro-RO" w:eastAsia="ru-RU"/>
        </w:rPr>
      </w:pPr>
      <w:r w:rsidRPr="00226CAA">
        <w:rPr>
          <w:rFonts w:ascii="Times New Roman" w:eastAsia="Times New Roman" w:hAnsi="Times New Roman" w:cs="Times New Roman"/>
          <w:b/>
          <w:bCs/>
          <w:sz w:val="24"/>
          <w:szCs w:val="24"/>
          <w:lang w:val="ro-RO" w:eastAsia="ru-RU"/>
        </w:rPr>
        <w:t xml:space="preserve">cu privire la modificarea şi completarea </w:t>
      </w:r>
    </w:p>
    <w:p w:rsidR="006E52AC" w:rsidRPr="00226CAA" w:rsidRDefault="006E52AC" w:rsidP="006E52AC">
      <w:pPr>
        <w:spacing w:after="0" w:line="240" w:lineRule="auto"/>
        <w:jc w:val="center"/>
        <w:rPr>
          <w:rFonts w:ascii="Times New Roman" w:eastAsia="Times New Roman" w:hAnsi="Times New Roman" w:cs="Times New Roman"/>
          <w:b/>
          <w:bCs/>
          <w:sz w:val="24"/>
          <w:szCs w:val="24"/>
          <w:lang w:val="ro-RO" w:eastAsia="ru-RU"/>
        </w:rPr>
      </w:pPr>
      <w:r w:rsidRPr="00226CAA">
        <w:rPr>
          <w:rFonts w:ascii="Times New Roman" w:eastAsia="Times New Roman" w:hAnsi="Times New Roman" w:cs="Times New Roman"/>
          <w:b/>
          <w:bCs/>
          <w:sz w:val="24"/>
          <w:szCs w:val="24"/>
          <w:lang w:val="ro-RO" w:eastAsia="ru-RU"/>
        </w:rPr>
        <w:t xml:space="preserve">Strategiei de dezvoltare a serviciilor de extensiune rurală pentru anii 2012-2022  </w:t>
      </w:r>
    </w:p>
    <w:p w:rsidR="006E52AC" w:rsidRPr="00226CAA" w:rsidRDefault="006E52AC" w:rsidP="006E52AC">
      <w:pPr>
        <w:spacing w:after="0" w:line="240" w:lineRule="auto"/>
        <w:jc w:val="center"/>
        <w:rPr>
          <w:rFonts w:ascii="Times New Roman" w:eastAsia="Times New Roman" w:hAnsi="Times New Roman" w:cs="Times New Roman"/>
          <w:b/>
          <w:bCs/>
          <w:sz w:val="24"/>
          <w:szCs w:val="24"/>
          <w:lang w:val="ro-RO" w:eastAsia="ru-RU"/>
        </w:rPr>
      </w:pPr>
      <w:r w:rsidRPr="00226CAA">
        <w:rPr>
          <w:rFonts w:ascii="Times New Roman" w:eastAsia="Times New Roman" w:hAnsi="Times New Roman" w:cs="Times New Roman"/>
          <w:b/>
          <w:bCs/>
          <w:sz w:val="24"/>
          <w:szCs w:val="24"/>
          <w:lang w:val="ro-RO" w:eastAsia="ru-RU"/>
        </w:rPr>
        <w:t> </w:t>
      </w:r>
    </w:p>
    <w:p w:rsidR="006E52AC" w:rsidRPr="00226CAA" w:rsidRDefault="006E52AC" w:rsidP="006E52AC">
      <w:pPr>
        <w:spacing w:after="0" w:line="240" w:lineRule="auto"/>
        <w:ind w:firstLine="567"/>
        <w:jc w:val="both"/>
        <w:rPr>
          <w:rFonts w:ascii="Times New Roman" w:eastAsia="Times New Roman" w:hAnsi="Times New Roman" w:cs="Times New Roman"/>
          <w:color w:val="FF0000"/>
          <w:sz w:val="24"/>
          <w:szCs w:val="24"/>
          <w:lang w:val="ro-RO" w:eastAsia="ru-RU"/>
        </w:rPr>
      </w:pPr>
    </w:p>
    <w:p w:rsidR="006E52AC" w:rsidRPr="00226CAA" w:rsidRDefault="006E52AC" w:rsidP="006E52AC">
      <w:pPr>
        <w:spacing w:after="0" w:line="240" w:lineRule="auto"/>
        <w:ind w:firstLine="567"/>
        <w:jc w:val="both"/>
        <w:rPr>
          <w:rFonts w:ascii="Times New Roman" w:eastAsia="Times New Roman" w:hAnsi="Times New Roman" w:cs="Times New Roman"/>
          <w:b/>
          <w:bCs/>
          <w:sz w:val="24"/>
          <w:szCs w:val="24"/>
          <w:lang w:val="ro-RO" w:eastAsia="ru-RU"/>
        </w:rPr>
      </w:pPr>
      <w:r w:rsidRPr="00226CAA">
        <w:rPr>
          <w:rFonts w:ascii="Times New Roman" w:eastAsia="Times New Roman" w:hAnsi="Times New Roman" w:cs="Times New Roman"/>
          <w:b/>
          <w:bCs/>
          <w:sz w:val="24"/>
          <w:szCs w:val="24"/>
          <w:lang w:val="ro-RO" w:eastAsia="ru-RU"/>
        </w:rPr>
        <w:t>Guvernul HOTĂRĂŞTE:</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 xml:space="preserve">Strategia de dezvoltare a serviciilor de extensiune rurală pentru anii 2012-2020, aprobată prin </w:t>
      </w:r>
      <w:hyperlink r:id="rId6" w:history="1">
        <w:r w:rsidRPr="00226CAA">
          <w:rPr>
            <w:rFonts w:ascii="Times New Roman" w:eastAsia="Times New Roman" w:hAnsi="Times New Roman" w:cs="Times New Roman"/>
            <w:sz w:val="24"/>
            <w:szCs w:val="24"/>
            <w:lang w:val="ro-RO" w:eastAsia="ru-RU"/>
          </w:rPr>
          <w:t>Hotărârea Guvernului nr.486 din 5 iulie 2012 27 noiembrie 2013</w:t>
        </w:r>
      </w:hyperlink>
      <w:r w:rsidRPr="00226CAA">
        <w:rPr>
          <w:rFonts w:ascii="Times New Roman" w:eastAsia="Times New Roman" w:hAnsi="Times New Roman" w:cs="Times New Roman"/>
          <w:sz w:val="24"/>
          <w:szCs w:val="24"/>
          <w:lang w:val="ro-RO" w:eastAsia="ru-RU"/>
        </w:rPr>
        <w:t xml:space="preserve"> (Monitorul Oficial al Republicii Moldova, 2012, nr. 143 – 148, art. 537), se modifică şi se completează după cum urmează:</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1. Capitolul IV:</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1) </w:t>
      </w:r>
      <w:r w:rsidRPr="00226CAA">
        <w:rPr>
          <w:rFonts w:ascii="Times New Roman" w:eastAsia="Times New Roman" w:hAnsi="Times New Roman" w:cs="Times New Roman"/>
          <w:sz w:val="24"/>
          <w:szCs w:val="24"/>
          <w:lang w:val="ro-RO" w:eastAsia="ru-RU"/>
        </w:rPr>
        <w:t>Obiectivele generale:</w:t>
      </w:r>
    </w:p>
    <w:p w:rsidR="006E52AC" w:rsidRPr="00226CAA" w:rsidRDefault="006E52AC" w:rsidP="006E52AC">
      <w:pPr>
        <w:spacing w:after="0" w:line="240" w:lineRule="auto"/>
        <w:ind w:left="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litera b), după sintagma ”sporirea competitivității” se complet</w:t>
      </w:r>
      <w:r>
        <w:rPr>
          <w:rFonts w:ascii="Times New Roman" w:eastAsia="Times New Roman" w:hAnsi="Times New Roman" w:cs="Times New Roman"/>
          <w:sz w:val="24"/>
          <w:szCs w:val="24"/>
          <w:lang w:val="ro-RO" w:eastAsia="ru-RU"/>
        </w:rPr>
        <w:t>ează</w:t>
      </w:r>
      <w:r w:rsidRPr="00226CAA">
        <w:rPr>
          <w:rFonts w:ascii="Times New Roman" w:eastAsia="Times New Roman" w:hAnsi="Times New Roman" w:cs="Times New Roman"/>
          <w:sz w:val="24"/>
          <w:szCs w:val="24"/>
          <w:lang w:val="ro-RO" w:eastAsia="ru-RU"/>
        </w:rPr>
        <w:t xml:space="preserve"> cu sintagma ”și profitabilității”</w:t>
      </w:r>
      <w:r>
        <w:rPr>
          <w:rFonts w:ascii="Times New Roman" w:eastAsia="Times New Roman" w:hAnsi="Times New Roman" w:cs="Times New Roman"/>
          <w:sz w:val="24"/>
          <w:szCs w:val="24"/>
          <w:lang w:val="ro-RO" w:eastAsia="ru-RU"/>
        </w:rPr>
        <w:t>;</w:t>
      </w:r>
      <w:r w:rsidRPr="00226CAA">
        <w:rPr>
          <w:rFonts w:ascii="Times New Roman" w:eastAsia="Times New Roman" w:hAnsi="Times New Roman" w:cs="Times New Roman"/>
          <w:sz w:val="24"/>
          <w:szCs w:val="24"/>
          <w:lang w:val="ro-RO" w:eastAsia="ru-RU"/>
        </w:rPr>
        <w:t xml:space="preserve"> </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se complete</w:t>
      </w:r>
      <w:r>
        <w:rPr>
          <w:rFonts w:ascii="Times New Roman" w:eastAsia="Times New Roman" w:hAnsi="Times New Roman" w:cs="Times New Roman"/>
          <w:sz w:val="24"/>
          <w:szCs w:val="24"/>
          <w:lang w:val="ro-RO" w:eastAsia="ru-RU"/>
        </w:rPr>
        <w:t>ază</w:t>
      </w:r>
      <w:r w:rsidRPr="00226CAA">
        <w:rPr>
          <w:rFonts w:ascii="Times New Roman" w:eastAsia="Times New Roman" w:hAnsi="Times New Roman" w:cs="Times New Roman"/>
          <w:sz w:val="24"/>
          <w:szCs w:val="24"/>
          <w:lang w:val="ro-RO" w:eastAsia="ru-RU"/>
        </w:rPr>
        <w:t xml:space="preserve"> cu literele</w:t>
      </w:r>
      <w:r>
        <w:rPr>
          <w:rFonts w:ascii="Times New Roman" w:eastAsia="Times New Roman" w:hAnsi="Times New Roman" w:cs="Times New Roman"/>
          <w:sz w:val="24"/>
          <w:szCs w:val="24"/>
          <w:lang w:val="ro-RO" w:eastAsia="ru-RU"/>
        </w:rPr>
        <w:t xml:space="preserve"> c) şi d) cu următorul cuprins</w:t>
      </w:r>
      <w:r w:rsidRPr="00226CAA">
        <w:rPr>
          <w:rFonts w:ascii="Times New Roman" w:eastAsia="Times New Roman" w:hAnsi="Times New Roman" w:cs="Times New Roman"/>
          <w:sz w:val="24"/>
          <w:szCs w:val="24"/>
          <w:lang w:val="ro-RO" w:eastAsia="ru-RU"/>
        </w:rPr>
        <w:t>:</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Pr="00226CAA">
        <w:rPr>
          <w:rFonts w:ascii="Times New Roman" w:eastAsia="Times New Roman" w:hAnsi="Times New Roman" w:cs="Times New Roman"/>
          <w:sz w:val="24"/>
          <w:szCs w:val="24"/>
          <w:lang w:val="ro-RO" w:eastAsia="ru-RU"/>
        </w:rPr>
        <w:t xml:space="preserve">c) îmbunătățirea nivelului de calitate a consultanței furnizate prin intermediul unei specializări mai aprofundate și orientate către sectoare; </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d) crearea unei coresponsabilități financiare a comunității agricole prin introducerea plăților pentru serviciile individuale.</w:t>
      </w:r>
      <w:r>
        <w:rPr>
          <w:rFonts w:ascii="Times New Roman" w:eastAsia="Times New Roman" w:hAnsi="Times New Roman" w:cs="Times New Roman"/>
          <w:sz w:val="24"/>
          <w:szCs w:val="24"/>
          <w:lang w:val="ro-RO" w:eastAsia="ru-RU"/>
        </w:rPr>
        <w:t>”</w:t>
      </w:r>
    </w:p>
    <w:p w:rsidR="006E52AC" w:rsidRDefault="006E52AC" w:rsidP="006E52AC">
      <w:pPr>
        <w:pStyle w:val="NormalWeb"/>
        <w:rPr>
          <w:lang w:val="ro-RO" w:eastAsia="ro-RO"/>
        </w:rPr>
      </w:pPr>
      <w:r>
        <w:rPr>
          <w:lang w:val="ro-RO"/>
        </w:rPr>
        <w:t xml:space="preserve">2) </w:t>
      </w:r>
      <w:r w:rsidRPr="00226CAA">
        <w:rPr>
          <w:bCs/>
          <w:iCs/>
          <w:lang w:val="ro-RO" w:eastAsia="ro-RO"/>
        </w:rPr>
        <w:t>Obiective</w:t>
      </w:r>
      <w:r>
        <w:rPr>
          <w:bCs/>
          <w:iCs/>
          <w:lang w:val="ro-RO" w:eastAsia="ro-RO"/>
        </w:rPr>
        <w:t>le</w:t>
      </w:r>
      <w:r w:rsidRPr="00226CAA">
        <w:rPr>
          <w:bCs/>
          <w:iCs/>
          <w:lang w:val="ro-RO" w:eastAsia="ro-RO"/>
        </w:rPr>
        <w:t xml:space="preserve"> specifice</w:t>
      </w:r>
      <w:r>
        <w:rPr>
          <w:bCs/>
          <w:iCs/>
          <w:lang w:val="ro-RO" w:eastAsia="ro-RO"/>
        </w:rPr>
        <w:t xml:space="preserve"> va avea următorul cuprins:</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Pr="00226CAA">
        <w:rPr>
          <w:rFonts w:ascii="Times New Roman" w:eastAsia="Times New Roman" w:hAnsi="Times New Roman" w:cs="Times New Roman"/>
          <w:b/>
          <w:i/>
          <w:sz w:val="24"/>
          <w:szCs w:val="24"/>
          <w:lang w:val="ro-RO" w:eastAsia="ru-RU"/>
        </w:rPr>
        <w:t>Obiectivele specifice</w:t>
      </w:r>
      <w:r w:rsidRPr="00226CAA">
        <w:rPr>
          <w:rFonts w:ascii="Times New Roman" w:eastAsia="Times New Roman" w:hAnsi="Times New Roman" w:cs="Times New Roman"/>
          <w:sz w:val="24"/>
          <w:szCs w:val="24"/>
          <w:lang w:val="ro-RO" w:eastAsia="ru-RU"/>
        </w:rPr>
        <w:t xml:space="preserve">: </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 xml:space="preserve">a) dezvoltarea unei rețele de extensiune concentrate pe sectoare specifice. Rețelele vor fi formate din specialiști în domeniile relevante. </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b) bugetul de stat pentru serviciile de extensiune se va cheltui exclusiv pentru programele de instruire în grup, pentru a evita orice impact negativ</w:t>
      </w:r>
      <w:r>
        <w:rPr>
          <w:rFonts w:ascii="Times New Roman" w:eastAsia="Times New Roman" w:hAnsi="Times New Roman" w:cs="Times New Roman"/>
          <w:sz w:val="24"/>
          <w:szCs w:val="24"/>
          <w:lang w:val="ro-RO" w:eastAsia="ru-RU"/>
        </w:rPr>
        <w:t xml:space="preserve"> ce ar putea fi</w:t>
      </w:r>
      <w:r w:rsidRPr="00226CAA">
        <w:rPr>
          <w:rFonts w:ascii="Times New Roman" w:eastAsia="Times New Roman" w:hAnsi="Times New Roman" w:cs="Times New Roman"/>
          <w:sz w:val="24"/>
          <w:szCs w:val="24"/>
          <w:lang w:val="ro-RO" w:eastAsia="ru-RU"/>
        </w:rPr>
        <w:t xml:space="preserve"> cauzat de consultanța individuală oferită gratuit și achitată în baza licitațiilor, asupra introducerii plăților pentru consultanța individuală oferite în pachetul minim al serviciilor de extensiune rurală</w:t>
      </w:r>
      <w:r>
        <w:rPr>
          <w:rFonts w:ascii="Times New Roman" w:eastAsia="Times New Roman" w:hAnsi="Times New Roman" w:cs="Times New Roman"/>
          <w:sz w:val="24"/>
          <w:szCs w:val="24"/>
          <w:lang w:val="ro-RO" w:eastAsia="ru-RU"/>
        </w:rPr>
        <w:t>;</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c) transferul treptat al capacității de extensiune, alocate consultanței individuale, de la gospodăriile de subzistență către gospodăriile comerciale în proces de dezvoltare, în scopul de a crea o valoare adăugată mai mare pentru activitățile de extensiune;</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d) creșterea veniturilor companiilor prestatoare de servicii de extensiune din plățile serviciilor prestate, pentru a-și recupera (parțial) costurile.</w:t>
      </w:r>
      <w:r>
        <w:rPr>
          <w:rFonts w:ascii="Times New Roman" w:eastAsia="Times New Roman" w:hAnsi="Times New Roman" w:cs="Times New Roman"/>
          <w:sz w:val="24"/>
          <w:szCs w:val="24"/>
          <w:lang w:val="ro-RO" w:eastAsia="ru-RU"/>
        </w:rPr>
        <w:t>”</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2. </w:t>
      </w:r>
      <w:r w:rsidRPr="00915619">
        <w:rPr>
          <w:rFonts w:ascii="Times New Roman" w:eastAsia="Times New Roman" w:hAnsi="Times New Roman" w:cs="Times New Roman"/>
          <w:sz w:val="24"/>
          <w:szCs w:val="24"/>
          <w:lang w:val="ro-RO" w:eastAsia="ru-RU"/>
        </w:rPr>
        <w:t>Capitolul V:</w:t>
      </w:r>
    </w:p>
    <w:p w:rsidR="006E52AC"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1) </w:t>
      </w:r>
      <w:r w:rsidRPr="00226CAA">
        <w:rPr>
          <w:rFonts w:ascii="Times New Roman" w:eastAsia="Times New Roman" w:hAnsi="Times New Roman" w:cs="Times New Roman"/>
          <w:sz w:val="24"/>
          <w:szCs w:val="24"/>
          <w:lang w:val="ro-RO" w:eastAsia="ru-RU"/>
        </w:rPr>
        <w:t xml:space="preserve">se completează </w:t>
      </w:r>
      <w:r>
        <w:rPr>
          <w:rFonts w:ascii="Times New Roman" w:eastAsia="Times New Roman" w:hAnsi="Times New Roman" w:cs="Times New Roman"/>
          <w:sz w:val="24"/>
          <w:szCs w:val="24"/>
          <w:lang w:val="ro-RO" w:eastAsia="ru-RU"/>
        </w:rPr>
        <w:t>cu sub</w:t>
      </w:r>
      <w:r w:rsidRPr="00226CAA">
        <w:rPr>
          <w:rFonts w:ascii="Times New Roman" w:eastAsia="Times New Roman" w:hAnsi="Times New Roman" w:cs="Times New Roman"/>
          <w:sz w:val="24"/>
          <w:szCs w:val="24"/>
          <w:lang w:val="ro-RO" w:eastAsia="ru-RU"/>
        </w:rPr>
        <w:t>punctul 5.1</w:t>
      </w:r>
      <w:r w:rsidRPr="00226CAA">
        <w:rPr>
          <w:rFonts w:ascii="Times New Roman" w:eastAsia="Times New Roman" w:hAnsi="Times New Roman" w:cs="Times New Roman"/>
          <w:sz w:val="24"/>
          <w:szCs w:val="24"/>
          <w:vertAlign w:val="superscript"/>
          <w:lang w:val="ro-RO" w:eastAsia="ru-RU"/>
        </w:rPr>
        <w:t>1</w:t>
      </w:r>
      <w:r>
        <w:rPr>
          <w:rFonts w:ascii="Times New Roman" w:eastAsia="Times New Roman" w:hAnsi="Times New Roman" w:cs="Times New Roman"/>
          <w:sz w:val="24"/>
          <w:szCs w:val="24"/>
          <w:lang w:val="ro-RO" w:eastAsia="ru-RU"/>
        </w:rPr>
        <w:t>.</w:t>
      </w:r>
      <w:r w:rsidRPr="00226CAA">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cu următorul cuprins:</w:t>
      </w:r>
    </w:p>
    <w:p w:rsidR="006E52AC"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„5.1</w:t>
      </w:r>
      <w:r w:rsidRPr="00226CAA">
        <w:rPr>
          <w:rFonts w:ascii="Times New Roman" w:eastAsia="Times New Roman" w:hAnsi="Times New Roman" w:cs="Times New Roman"/>
          <w:sz w:val="24"/>
          <w:szCs w:val="24"/>
          <w:vertAlign w:val="superscript"/>
          <w:lang w:val="ro-RO" w:eastAsia="ru-RU"/>
        </w:rPr>
        <w:t>1</w:t>
      </w:r>
      <w:r>
        <w:rPr>
          <w:rFonts w:ascii="Times New Roman" w:eastAsia="Times New Roman" w:hAnsi="Times New Roman" w:cs="Times New Roman"/>
          <w:sz w:val="24"/>
          <w:szCs w:val="24"/>
          <w:lang w:val="ro-RO" w:eastAsia="ru-RU"/>
        </w:rPr>
        <w:t xml:space="preserve">. </w:t>
      </w:r>
      <w:r w:rsidRPr="00226CAA">
        <w:rPr>
          <w:rFonts w:ascii="Times New Roman" w:eastAsia="Times New Roman" w:hAnsi="Times New Roman" w:cs="Times New Roman"/>
          <w:sz w:val="24"/>
          <w:szCs w:val="24"/>
          <w:lang w:val="ro-RO" w:eastAsia="ru-RU"/>
        </w:rPr>
        <w:t>Modelul de organizare a serviciilor de extensiune rurală după anul 2018</w:t>
      </w:r>
      <w:r>
        <w:rPr>
          <w:rFonts w:ascii="Times New Roman" w:eastAsia="Times New Roman" w:hAnsi="Times New Roman" w:cs="Times New Roman"/>
          <w:sz w:val="24"/>
          <w:szCs w:val="24"/>
          <w:lang w:val="ro-RO" w:eastAsia="ru-RU"/>
        </w:rPr>
        <w:t>.</w:t>
      </w:r>
    </w:p>
    <w:p w:rsidR="006E52AC" w:rsidRPr="00226CAA" w:rsidRDefault="006E52AC" w:rsidP="006E52AC">
      <w:pPr>
        <w:spacing w:after="0" w:line="240" w:lineRule="auto"/>
        <w:ind w:firstLine="567"/>
        <w:jc w:val="both"/>
        <w:rPr>
          <w:rFonts w:ascii="Times New Roman" w:eastAsia="Times New Roman" w:hAnsi="Times New Roman" w:cs="Times New Roman"/>
          <w:i/>
          <w:sz w:val="24"/>
          <w:szCs w:val="24"/>
          <w:lang w:val="ro-RO" w:eastAsia="ru-RU"/>
        </w:rPr>
      </w:pPr>
      <w:r w:rsidRPr="00226CAA">
        <w:rPr>
          <w:rFonts w:ascii="Times New Roman" w:eastAsia="Times New Roman" w:hAnsi="Times New Roman" w:cs="Times New Roman"/>
          <w:i/>
          <w:sz w:val="24"/>
          <w:szCs w:val="24"/>
          <w:lang w:val="ro-RO" w:eastAsia="ru-RU"/>
        </w:rPr>
        <w:t>(lipseşte text)</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a) Entitatea de implementare existentă, care include Organizații Terit</w:t>
      </w:r>
      <w:r>
        <w:rPr>
          <w:rFonts w:ascii="Times New Roman" w:eastAsia="Times New Roman" w:hAnsi="Times New Roman" w:cs="Times New Roman"/>
          <w:sz w:val="24"/>
          <w:szCs w:val="24"/>
          <w:lang w:val="ro-RO" w:eastAsia="ru-RU"/>
        </w:rPr>
        <w:t>o</w:t>
      </w:r>
      <w:r w:rsidRPr="00226CAA">
        <w:rPr>
          <w:rFonts w:ascii="Times New Roman" w:eastAsia="Times New Roman" w:hAnsi="Times New Roman" w:cs="Times New Roman"/>
          <w:sz w:val="24"/>
          <w:szCs w:val="24"/>
          <w:lang w:val="ro-RO" w:eastAsia="ru-RU"/>
        </w:rPr>
        <w:t>riale de Prestare a Serviciilor, va fi transferată în cadrul unei rețele de echipe de extensiune, bazate pe sectoare, pentru a presta fermierilor servicii specializate de consultanță. Pe termen lung, vor exista mai multe companii de consultanță</w:t>
      </w:r>
      <w:r>
        <w:rPr>
          <w:rFonts w:ascii="Times New Roman" w:eastAsia="Times New Roman" w:hAnsi="Times New Roman" w:cs="Times New Roman"/>
          <w:sz w:val="24"/>
          <w:szCs w:val="24"/>
          <w:lang w:val="ro-RO" w:eastAsia="ru-RU"/>
        </w:rPr>
        <w:t>,</w:t>
      </w:r>
      <w:r w:rsidRPr="00226CAA">
        <w:rPr>
          <w:rFonts w:ascii="Times New Roman" w:eastAsia="Times New Roman" w:hAnsi="Times New Roman" w:cs="Times New Roman"/>
          <w:sz w:val="24"/>
          <w:szCs w:val="24"/>
          <w:lang w:val="ro-RO" w:eastAsia="ru-RU"/>
        </w:rPr>
        <w:t xml:space="preserve"> inclusiv sectorul privat va putea furniza mai multe servicii de consultanță cu caracter imparțial;</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b) în scopul de a susține diversificarea rurală, spre activități non-agricole, ministerul sau alte părți interesate/donatori vor organiza licitații specifice;</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 xml:space="preserve">c) companiile prestatoare de servicii de extensiune pot să participe la licitații conform prevederilor lit. b), precum și să-și dezvolte propriile activități în acest domeniu; </w:t>
      </w:r>
    </w:p>
    <w:p w:rsidR="00C83E59"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lastRenderedPageBreak/>
        <w:t>d) companiile prestatoare de servicii de extensiune agricolă vor fi încurajate să încheie contracte cu companii private, care fac parte din lanțul agroindustrial integrat, pentru a efectua transferuri specifice de cunoștințe</w:t>
      </w:r>
      <w:r w:rsidR="00C83E59">
        <w:rPr>
          <w:rFonts w:ascii="Times New Roman" w:eastAsia="Times New Roman" w:hAnsi="Times New Roman" w:cs="Times New Roman"/>
          <w:sz w:val="24"/>
          <w:szCs w:val="24"/>
          <w:lang w:val="ro-RO" w:eastAsia="ru-RU"/>
        </w:rPr>
        <w:t>.</w:t>
      </w:r>
      <w:r w:rsidRPr="00226CAA">
        <w:rPr>
          <w:rFonts w:ascii="Times New Roman" w:eastAsia="Times New Roman" w:hAnsi="Times New Roman" w:cs="Times New Roman"/>
          <w:sz w:val="24"/>
          <w:szCs w:val="24"/>
          <w:lang w:val="ro-RO" w:eastAsia="ru-RU"/>
        </w:rPr>
        <w:t xml:space="preserve"> </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e) companiile prestatoare de servicii de extensiune agricolă vor fi încurajate să diversifice serviciile și produsele lor, pentru a-și reduce vulnerabilitatea în raport cu veniturile provenite de la fermieri;</w:t>
      </w:r>
    </w:p>
    <w:p w:rsidR="006E52AC" w:rsidRPr="00226CAA" w:rsidRDefault="006E52AC" w:rsidP="006E52AC">
      <w:pPr>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226CAA">
        <w:rPr>
          <w:rFonts w:ascii="Times New Roman" w:eastAsia="Times New Roman" w:hAnsi="Times New Roman" w:cs="Times New Roman"/>
          <w:color w:val="000000" w:themeColor="text1"/>
          <w:sz w:val="24"/>
          <w:szCs w:val="24"/>
          <w:lang w:val="ro-RO" w:eastAsia="ru-RU"/>
        </w:rPr>
        <w:t xml:space="preserve">f) odată cu </w:t>
      </w:r>
      <w:r>
        <w:rPr>
          <w:rFonts w:ascii="Times New Roman" w:eastAsia="Times New Roman" w:hAnsi="Times New Roman" w:cs="Times New Roman"/>
          <w:color w:val="000000" w:themeColor="text1"/>
          <w:sz w:val="24"/>
          <w:szCs w:val="24"/>
          <w:lang w:val="ro-RO" w:eastAsia="ru-RU"/>
        </w:rPr>
        <w:t>i</w:t>
      </w:r>
      <w:r w:rsidRPr="00226CAA">
        <w:rPr>
          <w:rFonts w:ascii="Times New Roman" w:eastAsia="Times New Roman" w:hAnsi="Times New Roman" w:cs="Times New Roman"/>
          <w:color w:val="000000" w:themeColor="text1"/>
          <w:sz w:val="24"/>
          <w:szCs w:val="24"/>
          <w:lang w:val="ro-RO" w:eastAsia="ru-RU"/>
        </w:rPr>
        <w:t>ntroducerea serviciilor cu plată bugetul poate fi redus doar gradual. Reducerea acestuia se va efectua în concordanță cu capacitatea fermier</w:t>
      </w:r>
      <w:r>
        <w:rPr>
          <w:rFonts w:ascii="Times New Roman" w:eastAsia="Times New Roman" w:hAnsi="Times New Roman" w:cs="Times New Roman"/>
          <w:color w:val="000000" w:themeColor="text1"/>
          <w:sz w:val="24"/>
          <w:szCs w:val="24"/>
          <w:lang w:val="ro-RO" w:eastAsia="ru-RU"/>
        </w:rPr>
        <w:t>u</w:t>
      </w:r>
      <w:r w:rsidRPr="00226CAA">
        <w:rPr>
          <w:rFonts w:ascii="Times New Roman" w:eastAsia="Times New Roman" w:hAnsi="Times New Roman" w:cs="Times New Roman"/>
          <w:color w:val="000000" w:themeColor="text1"/>
          <w:sz w:val="24"/>
          <w:szCs w:val="24"/>
          <w:lang w:val="ro-RO" w:eastAsia="ru-RU"/>
        </w:rPr>
        <w:t xml:space="preserve">lui de a achita serviciile și sursele financiare acumulate de prestatorii de servicii. </w:t>
      </w:r>
    </w:p>
    <w:p w:rsidR="006E52AC" w:rsidRPr="00226CAA" w:rsidRDefault="006E52AC" w:rsidP="006E52AC">
      <w:pPr>
        <w:spacing w:after="0" w:line="240" w:lineRule="auto"/>
        <w:ind w:firstLine="567"/>
        <w:jc w:val="both"/>
        <w:rPr>
          <w:rFonts w:ascii="Times New Roman" w:eastAsia="Times New Roman" w:hAnsi="Times New Roman" w:cs="Times New Roman"/>
          <w:color w:val="000000" w:themeColor="text1"/>
          <w:sz w:val="24"/>
          <w:szCs w:val="24"/>
          <w:lang w:val="ro-RO" w:eastAsia="ru-RU"/>
        </w:rPr>
      </w:pPr>
      <w:r w:rsidRPr="00226CAA">
        <w:rPr>
          <w:rFonts w:ascii="Times New Roman" w:eastAsia="Times New Roman" w:hAnsi="Times New Roman" w:cs="Times New Roman"/>
          <w:color w:val="000000" w:themeColor="text1"/>
          <w:sz w:val="24"/>
          <w:szCs w:val="24"/>
          <w:lang w:val="ro-RO" w:eastAsia="ru-RU"/>
        </w:rPr>
        <w:t>g) pentru a reduce povara fermierilor la plata serviciilor de consultanță individuală se propune un mecanism de compensare a 50% din costul facturii achitate din bugetul de stat sau de alți donator străini, cu titlu tranzitoriu.</w:t>
      </w:r>
      <w:r>
        <w:rPr>
          <w:rFonts w:ascii="Times New Roman" w:eastAsia="Times New Roman" w:hAnsi="Times New Roman" w:cs="Times New Roman"/>
          <w:color w:val="000000" w:themeColor="text1"/>
          <w:sz w:val="24"/>
          <w:szCs w:val="24"/>
          <w:lang w:val="ro-RO" w:eastAsia="ru-RU"/>
        </w:rPr>
        <w:t>”</w:t>
      </w:r>
    </w:p>
    <w:p w:rsidR="006E52AC" w:rsidRPr="00226CAA" w:rsidRDefault="006E52AC" w:rsidP="006E52AC">
      <w:pPr>
        <w:spacing w:after="0" w:line="240" w:lineRule="auto"/>
        <w:ind w:firstLine="567"/>
        <w:jc w:val="both"/>
        <w:rPr>
          <w:rFonts w:ascii="Times New Roman" w:eastAsia="Times New Roman" w:hAnsi="Times New Roman" w:cs="Times New Roman"/>
          <w:color w:val="000000" w:themeColor="text1"/>
          <w:sz w:val="24"/>
          <w:szCs w:val="24"/>
          <w:lang w:val="ro-RO" w:eastAsia="ru-RU"/>
        </w:rPr>
      </w:pPr>
    </w:p>
    <w:p w:rsidR="006E52AC"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2</w:t>
      </w:r>
      <w:r>
        <w:rPr>
          <w:rFonts w:ascii="Times New Roman" w:eastAsia="Times New Roman" w:hAnsi="Times New Roman" w:cs="Times New Roman"/>
          <w:sz w:val="24"/>
          <w:szCs w:val="24"/>
          <w:lang w:val="ro-RO" w:eastAsia="ru-RU"/>
        </w:rPr>
        <w:t>)</w:t>
      </w:r>
      <w:r w:rsidRPr="00226CAA">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se completează cu sub</w:t>
      </w:r>
      <w:r w:rsidRPr="00226CAA">
        <w:rPr>
          <w:rFonts w:ascii="Times New Roman" w:eastAsia="Times New Roman" w:hAnsi="Times New Roman" w:cs="Times New Roman"/>
          <w:sz w:val="24"/>
          <w:szCs w:val="24"/>
          <w:lang w:val="ro-RO" w:eastAsia="ru-RU"/>
        </w:rPr>
        <w:t>punctul 5.2</w:t>
      </w:r>
      <w:r w:rsidRPr="00226CAA">
        <w:rPr>
          <w:rFonts w:ascii="Times New Roman" w:eastAsia="Times New Roman" w:hAnsi="Times New Roman" w:cs="Times New Roman"/>
          <w:sz w:val="24"/>
          <w:szCs w:val="24"/>
          <w:vertAlign w:val="superscript"/>
          <w:lang w:val="ro-RO" w:eastAsia="ru-RU"/>
        </w:rPr>
        <w:t>1</w:t>
      </w:r>
      <w:r>
        <w:rPr>
          <w:rFonts w:ascii="Times New Roman" w:eastAsia="Times New Roman" w:hAnsi="Times New Roman" w:cs="Times New Roman"/>
          <w:sz w:val="24"/>
          <w:szCs w:val="24"/>
          <w:lang w:val="ro-RO" w:eastAsia="ru-RU"/>
        </w:rPr>
        <w:t>.</w:t>
      </w:r>
      <w:r w:rsidRPr="00226CAA">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cu următorul cuprins:</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Pr="00226CAA">
        <w:rPr>
          <w:rFonts w:ascii="Times New Roman" w:eastAsia="Times New Roman" w:hAnsi="Times New Roman" w:cs="Times New Roman"/>
          <w:sz w:val="24"/>
          <w:szCs w:val="24"/>
          <w:lang w:val="ro-RO" w:eastAsia="ru-RU"/>
        </w:rPr>
        <w:t>5.2</w:t>
      </w:r>
      <w:r w:rsidRPr="00226CAA">
        <w:rPr>
          <w:rFonts w:ascii="Times New Roman" w:eastAsia="Times New Roman" w:hAnsi="Times New Roman" w:cs="Times New Roman"/>
          <w:sz w:val="24"/>
          <w:szCs w:val="24"/>
          <w:vertAlign w:val="superscript"/>
          <w:lang w:val="ro-RO" w:eastAsia="ru-RU"/>
        </w:rPr>
        <w:t>1</w:t>
      </w:r>
      <w:r w:rsidRPr="00226CAA">
        <w:rPr>
          <w:rFonts w:ascii="Times New Roman" w:eastAsia="Times New Roman" w:hAnsi="Times New Roman" w:cs="Times New Roman"/>
          <w:sz w:val="24"/>
          <w:szCs w:val="24"/>
          <w:lang w:val="ro-RO" w:eastAsia="ru-RU"/>
        </w:rPr>
        <w:t>. Organizarea rețelei de extensiune rurală după 2018</w:t>
      </w:r>
      <w:r>
        <w:rPr>
          <w:rFonts w:ascii="Times New Roman" w:eastAsia="Times New Roman" w:hAnsi="Times New Roman" w:cs="Times New Roman"/>
          <w:sz w:val="24"/>
          <w:szCs w:val="24"/>
          <w:lang w:val="ro-RO" w:eastAsia="ru-RU"/>
        </w:rPr>
        <w:t>.</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Pentru a face față provocărilor viitoare, este necesar de a efectua schimbări, precum și de a lua în considerare următoarele:</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a) </w:t>
      </w:r>
      <w:r w:rsidRPr="00226CAA">
        <w:rPr>
          <w:rFonts w:ascii="Times New Roman" w:eastAsia="Times New Roman" w:hAnsi="Times New Roman" w:cs="Times New Roman"/>
          <w:sz w:val="24"/>
          <w:szCs w:val="24"/>
          <w:lang w:val="ro-RO" w:eastAsia="ru-RU"/>
        </w:rPr>
        <w:t xml:space="preserve">situația actuală este un punct logic de început pentru modelul organizațional al rețelei pentru viitorul apropiat (2018-2022); </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b) </w:t>
      </w:r>
      <w:r w:rsidRPr="00226CAA">
        <w:rPr>
          <w:rFonts w:ascii="Times New Roman" w:eastAsia="Times New Roman" w:hAnsi="Times New Roman" w:cs="Times New Roman"/>
          <w:sz w:val="24"/>
          <w:szCs w:val="24"/>
          <w:lang w:val="ro-RO" w:eastAsia="ru-RU"/>
        </w:rPr>
        <w:t xml:space="preserve">se va lua în considerare ideea că, doar în timp, componentele </w:t>
      </w:r>
      <w:r>
        <w:rPr>
          <w:rFonts w:ascii="Times New Roman" w:eastAsia="Times New Roman" w:hAnsi="Times New Roman" w:cs="Times New Roman"/>
          <w:sz w:val="24"/>
          <w:szCs w:val="24"/>
          <w:lang w:val="ro-RO" w:eastAsia="ru-RU"/>
        </w:rPr>
        <w:t xml:space="preserve">din </w:t>
      </w:r>
      <w:r w:rsidRPr="00915619">
        <w:rPr>
          <w:rFonts w:ascii="Times New Roman" w:eastAsia="Times New Roman" w:hAnsi="Times New Roman" w:cs="Times New Roman"/>
          <w:sz w:val="24"/>
          <w:szCs w:val="24"/>
          <w:lang w:val="ro-RO" w:eastAsia="ru-RU"/>
        </w:rPr>
        <w:t xml:space="preserve">domeniul tehnico-economic </w:t>
      </w:r>
      <w:r>
        <w:rPr>
          <w:rFonts w:ascii="Times New Roman" w:eastAsia="Times New Roman" w:hAnsi="Times New Roman" w:cs="Times New Roman"/>
          <w:sz w:val="24"/>
          <w:szCs w:val="24"/>
          <w:lang w:val="ro-RO" w:eastAsia="ru-RU"/>
        </w:rPr>
        <w:t>expuse</w:t>
      </w:r>
      <w:r w:rsidRPr="00226CAA">
        <w:rPr>
          <w:rFonts w:ascii="Times New Roman" w:eastAsia="Times New Roman" w:hAnsi="Times New Roman" w:cs="Times New Roman"/>
          <w:sz w:val="24"/>
          <w:szCs w:val="24"/>
          <w:lang w:val="ro-RO" w:eastAsia="ru-RU"/>
        </w:rPr>
        <w:t xml:space="preserve"> în creștere graduală </w:t>
      </w:r>
      <w:r>
        <w:rPr>
          <w:rFonts w:ascii="Times New Roman" w:eastAsia="Times New Roman" w:hAnsi="Times New Roman" w:cs="Times New Roman"/>
          <w:sz w:val="24"/>
          <w:szCs w:val="24"/>
          <w:lang w:val="ro-RO" w:eastAsia="ru-RU"/>
        </w:rPr>
        <w:t>la</w:t>
      </w:r>
      <w:r w:rsidRPr="00226CAA">
        <w:rPr>
          <w:rFonts w:ascii="Times New Roman" w:eastAsia="Times New Roman" w:hAnsi="Times New Roman" w:cs="Times New Roman"/>
          <w:sz w:val="24"/>
          <w:szCs w:val="24"/>
          <w:lang w:val="ro-RO" w:eastAsia="ru-RU"/>
        </w:rPr>
        <w:t xml:space="preserve"> licitații specifice vor fi de asemenea deschise pentru competiție, în scopul de a asigura licitații complet deschise în viitorul pe termen lung. Deschiderea graduală va permite entității de implementare existente să-și dezvolte în continuare nivelul de calitate și de specializare</w:t>
      </w:r>
      <w:r>
        <w:rPr>
          <w:rFonts w:ascii="Times New Roman" w:eastAsia="Times New Roman" w:hAnsi="Times New Roman" w:cs="Times New Roman"/>
          <w:sz w:val="24"/>
          <w:szCs w:val="24"/>
          <w:lang w:val="ro-RO" w:eastAsia="ru-RU"/>
        </w:rPr>
        <w:t>,</w:t>
      </w:r>
      <w:r w:rsidRPr="00226CAA">
        <w:rPr>
          <w:rFonts w:ascii="Times New Roman" w:eastAsia="Times New Roman" w:hAnsi="Times New Roman" w:cs="Times New Roman"/>
          <w:sz w:val="24"/>
          <w:szCs w:val="24"/>
          <w:lang w:val="ro-RO" w:eastAsia="ru-RU"/>
        </w:rPr>
        <w:t xml:space="preserve"> să pregătească și gestioneze introducerea cu succes a plăților pentru servicii. Este preconizat că, pentru licitațiile în domeniul tehnico-economic, se va efectua o deschidere pentru competiție de circa 10% pe an, începând cu anul următor introducerii plăților </w:t>
      </w:r>
      <w:r w:rsidRPr="00C83E59">
        <w:rPr>
          <w:rFonts w:ascii="Times New Roman" w:eastAsia="Times New Roman" w:hAnsi="Times New Roman" w:cs="Times New Roman"/>
          <w:sz w:val="24"/>
          <w:szCs w:val="24"/>
          <w:lang w:val="ro-RO" w:eastAsia="ru-RU"/>
        </w:rPr>
        <w:t>(estimativ</w:t>
      </w:r>
      <w:r w:rsidRPr="00226CAA">
        <w:rPr>
          <w:rFonts w:ascii="Times New Roman" w:eastAsia="Times New Roman" w:hAnsi="Times New Roman" w:cs="Times New Roman"/>
          <w:sz w:val="24"/>
          <w:szCs w:val="24"/>
          <w:lang w:val="ro-RO" w:eastAsia="ru-RU"/>
        </w:rPr>
        <w:t xml:space="preserve"> 2019/2020</w:t>
      </w:r>
      <w:r>
        <w:rPr>
          <w:rFonts w:ascii="Times New Roman" w:eastAsia="Times New Roman" w:hAnsi="Times New Roman" w:cs="Times New Roman"/>
          <w:sz w:val="24"/>
          <w:szCs w:val="24"/>
          <w:lang w:val="ro-RO" w:eastAsia="ru-RU"/>
        </w:rPr>
        <w:t>);</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c) </w:t>
      </w:r>
      <w:r w:rsidRPr="00226CAA">
        <w:rPr>
          <w:rFonts w:ascii="Times New Roman" w:eastAsia="Times New Roman" w:hAnsi="Times New Roman" w:cs="Times New Roman"/>
          <w:sz w:val="24"/>
          <w:szCs w:val="24"/>
          <w:lang w:val="ro-RO" w:eastAsia="ru-RU"/>
        </w:rPr>
        <w:t xml:space="preserve">în prezent, nu există nici o alternativă reală pentru organizația existentă, care să furnizeze serviciile de extensiune în domeniul tehno-economic, și în același timp organizația existentă este necesară în calitate de actor principal care să demareze introducerea plăților pentru servicii în țară, în scopul de a asigura o consultanță individuală mai eficientă; </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d) </w:t>
      </w:r>
      <w:r w:rsidRPr="00226CAA">
        <w:rPr>
          <w:rFonts w:ascii="Times New Roman" w:eastAsia="Times New Roman" w:hAnsi="Times New Roman" w:cs="Times New Roman"/>
          <w:sz w:val="24"/>
          <w:szCs w:val="24"/>
          <w:lang w:val="ro-RO" w:eastAsia="ru-RU"/>
        </w:rPr>
        <w:t>în concordanță cu introducerea reușită a plăților, se va efectua o reducere treptată a bugetului destinat serviciilor de extensiune;</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e) i</w:t>
      </w:r>
      <w:r w:rsidRPr="00226CAA">
        <w:rPr>
          <w:rFonts w:ascii="Times New Roman" w:eastAsia="Times New Roman" w:hAnsi="Times New Roman" w:cs="Times New Roman"/>
          <w:sz w:val="24"/>
          <w:szCs w:val="24"/>
          <w:lang w:val="ro-RO" w:eastAsia="ru-RU"/>
        </w:rPr>
        <w:t xml:space="preserve">ntroducerea plăților și, în consecință, reducerea bugetului pentru serviciile de extensiune rurală, va spori vulnerabilitatea entității de implementare la fluctuațiile veniturilor viitoare. Din acest motiv, este necesar de a permite entității să-și acumuleze rezerve, pentru a gestiona aceste fluctuații; </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f) </w:t>
      </w:r>
      <w:r w:rsidRPr="00226CAA">
        <w:rPr>
          <w:rFonts w:ascii="Times New Roman" w:eastAsia="Times New Roman" w:hAnsi="Times New Roman" w:cs="Times New Roman"/>
          <w:sz w:val="24"/>
          <w:szCs w:val="24"/>
          <w:lang w:val="ro-RO" w:eastAsia="ru-RU"/>
        </w:rPr>
        <w:t>licitațiile viitoare organizate  se vor concentra pe comunicarea în grup, și doar din motive specifice - pe consultanța individuală, în scopul de a nu afecta caracterul comercial al consultanței individuale contra plată</w:t>
      </w:r>
      <w:r>
        <w:rPr>
          <w:rFonts w:ascii="Times New Roman" w:eastAsia="Times New Roman" w:hAnsi="Times New Roman" w:cs="Times New Roman"/>
          <w:sz w:val="24"/>
          <w:szCs w:val="24"/>
          <w:lang w:val="ro-RO" w:eastAsia="ru-RU"/>
        </w:rPr>
        <w:t>;</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g) </w:t>
      </w:r>
      <w:r w:rsidRPr="00226CAA">
        <w:rPr>
          <w:rFonts w:ascii="Times New Roman" w:eastAsia="Times New Roman" w:hAnsi="Times New Roman" w:cs="Times New Roman"/>
          <w:sz w:val="24"/>
          <w:szCs w:val="24"/>
          <w:lang w:val="ro-RO" w:eastAsia="ru-RU"/>
        </w:rPr>
        <w:t>serviciile furnizate gospodăriilor de subzistență se vor concentra pentru prestarea serviciilor</w:t>
      </w:r>
      <w:r>
        <w:rPr>
          <w:rFonts w:ascii="Times New Roman" w:eastAsia="Times New Roman" w:hAnsi="Times New Roman" w:cs="Times New Roman"/>
          <w:sz w:val="24"/>
          <w:szCs w:val="24"/>
          <w:lang w:val="ro-RO" w:eastAsia="ru-RU"/>
        </w:rPr>
        <w:t xml:space="preserve"> </w:t>
      </w:r>
      <w:r w:rsidRPr="00226CAA">
        <w:rPr>
          <w:rFonts w:ascii="Times New Roman" w:eastAsia="Times New Roman" w:hAnsi="Times New Roman" w:cs="Times New Roman"/>
          <w:sz w:val="24"/>
          <w:szCs w:val="24"/>
          <w:lang w:val="ro-RO" w:eastAsia="ru-RU"/>
        </w:rPr>
        <w:t>în grup. Luând în considerare numărul de gospodării de acest tip și impactul economic al bugetului cheltuit pentru acestea, activitățile de grup sunt prea costisitoare, iar consultanța individuală depășește orice buget disponibil. În cadrul licitațiilor, se va pune un accent mai puternic pe gospodăriile în proces de dezvoltare și gospodăriile comerciale</w:t>
      </w:r>
      <w:r>
        <w:rPr>
          <w:rFonts w:ascii="Times New Roman" w:eastAsia="Times New Roman" w:hAnsi="Times New Roman" w:cs="Times New Roman"/>
          <w:sz w:val="24"/>
          <w:szCs w:val="24"/>
          <w:lang w:val="ro-RO" w:eastAsia="ru-RU"/>
        </w:rPr>
        <w:t>.”</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 xml:space="preserve">3) </w:t>
      </w:r>
      <w:r>
        <w:rPr>
          <w:rFonts w:ascii="Times New Roman" w:eastAsia="Times New Roman" w:hAnsi="Times New Roman" w:cs="Times New Roman"/>
          <w:sz w:val="24"/>
          <w:szCs w:val="24"/>
          <w:lang w:val="ro-RO" w:eastAsia="ru-RU"/>
        </w:rPr>
        <w:t>subpunctul</w:t>
      </w:r>
      <w:r w:rsidRPr="00226CAA">
        <w:rPr>
          <w:rFonts w:ascii="Times New Roman" w:eastAsia="Times New Roman" w:hAnsi="Times New Roman" w:cs="Times New Roman"/>
          <w:sz w:val="24"/>
          <w:szCs w:val="24"/>
          <w:lang w:val="ro-RO" w:eastAsia="ru-RU"/>
        </w:rPr>
        <w:t xml:space="preserve"> 5.3. </w:t>
      </w:r>
      <w:r>
        <w:rPr>
          <w:rFonts w:ascii="Times New Roman" w:eastAsia="Times New Roman" w:hAnsi="Times New Roman" w:cs="Times New Roman"/>
          <w:sz w:val="24"/>
          <w:szCs w:val="24"/>
          <w:lang w:val="ro-RO" w:eastAsia="ru-RU"/>
        </w:rPr>
        <w:t xml:space="preserve">va avea </w:t>
      </w:r>
      <w:r w:rsidRPr="00226CAA">
        <w:rPr>
          <w:rFonts w:ascii="Times New Roman" w:eastAsia="Times New Roman" w:hAnsi="Times New Roman" w:cs="Times New Roman"/>
          <w:sz w:val="24"/>
          <w:szCs w:val="24"/>
          <w:lang w:val="ro-RO" w:eastAsia="ru-RU"/>
        </w:rPr>
        <w:t>următorul conținut:</w:t>
      </w:r>
    </w:p>
    <w:p w:rsidR="006E52AC"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„5.3. Serviciile prestate</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 xml:space="preserve">În scop de informare, se vor indica serviciile care vor fi gratuite pentru fermieri și serviciile pentru care aceștia trebuie să achite plăți. </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lastRenderedPageBreak/>
        <w:t xml:space="preserve">În viitor, serviciile stipulate în pct.2.6 vor fi gratuite, în cazul în care acestea vor fi furnizate de organizații care au câștigat licitații din partea statului în domeniul său de competență. </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 xml:space="preserve">În afară de serviciile furnizate în baza licitațiilor </w:t>
      </w:r>
      <w:r>
        <w:rPr>
          <w:rFonts w:ascii="Times New Roman" w:eastAsia="Times New Roman" w:hAnsi="Times New Roman" w:cs="Times New Roman"/>
          <w:sz w:val="24"/>
          <w:szCs w:val="24"/>
          <w:lang w:val="ro-RO" w:eastAsia="ru-RU"/>
        </w:rPr>
        <w:t>publice</w:t>
      </w:r>
      <w:r w:rsidRPr="00226CAA">
        <w:rPr>
          <w:rFonts w:ascii="Times New Roman" w:eastAsia="Times New Roman" w:hAnsi="Times New Roman" w:cs="Times New Roman"/>
          <w:sz w:val="24"/>
          <w:szCs w:val="24"/>
          <w:lang w:val="ro-RO" w:eastAsia="ru-RU"/>
        </w:rPr>
        <w:t xml:space="preserve">, pot exista oportunități pentru servicii gratuite, în cazul în care donatorii vor decide să presteze servicii gratuite în cadrul acelorași domenii. </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Se preconizează că serviciile de consultanță individual din pachetul minim al serviciilor de extensiune rurală vor fi cu plăți achitate de fermieri către entitatea prestatoare. Aceste plăți vor fi introduse gradual pentru domenii specifice.</w:t>
      </w:r>
      <w:r>
        <w:rPr>
          <w:rFonts w:ascii="Times New Roman" w:eastAsia="Times New Roman" w:hAnsi="Times New Roman" w:cs="Times New Roman"/>
          <w:sz w:val="24"/>
          <w:szCs w:val="24"/>
          <w:lang w:val="ro-RO" w:eastAsia="ru-RU"/>
        </w:rPr>
        <w:t>”</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4) subpunctul</w:t>
      </w:r>
      <w:r w:rsidRPr="00226CAA">
        <w:rPr>
          <w:rFonts w:ascii="Times New Roman" w:eastAsia="Times New Roman" w:hAnsi="Times New Roman" w:cs="Times New Roman"/>
          <w:sz w:val="24"/>
          <w:szCs w:val="24"/>
          <w:lang w:val="ro-RO" w:eastAsia="ru-RU"/>
        </w:rPr>
        <w:t xml:space="preserve"> 5.4. se exclude</w:t>
      </w:r>
      <w:r>
        <w:rPr>
          <w:rFonts w:ascii="Times New Roman" w:eastAsia="Times New Roman" w:hAnsi="Times New Roman" w:cs="Times New Roman"/>
          <w:sz w:val="24"/>
          <w:szCs w:val="24"/>
          <w:lang w:val="ro-RO" w:eastAsia="ru-RU"/>
        </w:rPr>
        <w:t>.</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5</w:t>
      </w:r>
      <w:r>
        <w:rPr>
          <w:rFonts w:ascii="Times New Roman" w:eastAsia="Times New Roman" w:hAnsi="Times New Roman" w:cs="Times New Roman"/>
          <w:sz w:val="24"/>
          <w:szCs w:val="24"/>
          <w:lang w:val="ro-RO" w:eastAsia="ru-RU"/>
        </w:rPr>
        <w:t>)</w:t>
      </w:r>
      <w:r w:rsidRPr="00226CAA">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 xml:space="preserve">subpunctul </w:t>
      </w:r>
      <w:r w:rsidRPr="00226CAA">
        <w:rPr>
          <w:rFonts w:ascii="Times New Roman" w:eastAsia="Times New Roman" w:hAnsi="Times New Roman" w:cs="Times New Roman"/>
          <w:sz w:val="24"/>
          <w:szCs w:val="24"/>
          <w:lang w:val="ro-RO" w:eastAsia="ru-RU"/>
        </w:rPr>
        <w:t>5.5</w:t>
      </w:r>
      <w:r>
        <w:rPr>
          <w:rFonts w:ascii="Times New Roman" w:eastAsia="Times New Roman" w:hAnsi="Times New Roman" w:cs="Times New Roman"/>
          <w:sz w:val="24"/>
          <w:szCs w:val="24"/>
          <w:lang w:val="ro-RO" w:eastAsia="ru-RU"/>
        </w:rPr>
        <w:t>.</w:t>
      </w:r>
      <w:r w:rsidRPr="00226CAA">
        <w:rPr>
          <w:rFonts w:ascii="Times New Roman" w:eastAsia="Times New Roman" w:hAnsi="Times New Roman" w:cs="Times New Roman"/>
          <w:sz w:val="24"/>
          <w:szCs w:val="24"/>
          <w:lang w:val="ro-RO" w:eastAsia="ru-RU"/>
        </w:rPr>
        <w:t xml:space="preserve"> va </w:t>
      </w:r>
      <w:r>
        <w:rPr>
          <w:rFonts w:ascii="Times New Roman" w:eastAsia="Times New Roman" w:hAnsi="Times New Roman" w:cs="Times New Roman"/>
          <w:sz w:val="24"/>
          <w:szCs w:val="24"/>
          <w:lang w:val="ro-RO" w:eastAsia="ru-RU"/>
        </w:rPr>
        <w:t>avea următorul cuprind:</w:t>
      </w:r>
    </w:p>
    <w:p w:rsidR="006E52AC"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„5.5. Sursele de finanţare a reţelei de extensiune rurală</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Fina</w:t>
      </w:r>
      <w:r>
        <w:rPr>
          <w:rFonts w:ascii="Times New Roman" w:eastAsia="Times New Roman" w:hAnsi="Times New Roman" w:cs="Times New Roman"/>
          <w:sz w:val="24"/>
          <w:szCs w:val="24"/>
          <w:lang w:val="ro-RO" w:eastAsia="ru-RU"/>
        </w:rPr>
        <w:t>n</w:t>
      </w:r>
      <w:r w:rsidRPr="00226CAA">
        <w:rPr>
          <w:rFonts w:ascii="Times New Roman" w:eastAsia="Times New Roman" w:hAnsi="Times New Roman" w:cs="Times New Roman"/>
          <w:sz w:val="24"/>
          <w:szCs w:val="24"/>
          <w:lang w:val="ro-RO" w:eastAsia="ru-RU"/>
        </w:rPr>
        <w:t>țarea rețelei de extensiune rurală va fi realizată prin combinarea mai multor surse.</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Principala sursa de finanțare va fi bugetul de stat cu introducerea plă</w:t>
      </w:r>
      <w:r>
        <w:rPr>
          <w:rFonts w:ascii="Times New Roman" w:eastAsia="Times New Roman" w:hAnsi="Times New Roman" w:cs="Times New Roman"/>
          <w:sz w:val="24"/>
          <w:szCs w:val="24"/>
          <w:lang w:val="ro-RO" w:eastAsia="ru-RU"/>
        </w:rPr>
        <w:t>ţ</w:t>
      </w:r>
      <w:r w:rsidRPr="00226CAA">
        <w:rPr>
          <w:rFonts w:ascii="Times New Roman" w:eastAsia="Times New Roman" w:hAnsi="Times New Roman" w:cs="Times New Roman"/>
          <w:sz w:val="24"/>
          <w:szCs w:val="24"/>
          <w:lang w:val="ro-RO" w:eastAsia="ru-RU"/>
        </w:rPr>
        <w:t>ilor pentru servicii individuale contra plată în special pentru consultațiile individuale din pachetul minim al serviciilor de extensiune rurală.</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Donatorii pot de asemenea fi o sursă semnificativă de finanțare a activităților de extensiune, dar este important ca activitățile lor să fie armonizate cu strategia statului. Politicile statului trebuie respectate și susținute pentru a preveni activitățile contradictorii.</w:t>
      </w:r>
      <w:r>
        <w:rPr>
          <w:rFonts w:ascii="Times New Roman" w:eastAsia="Times New Roman" w:hAnsi="Times New Roman" w:cs="Times New Roman"/>
          <w:sz w:val="24"/>
          <w:szCs w:val="24"/>
          <w:lang w:val="ro-RO" w:eastAsia="ru-RU"/>
        </w:rPr>
        <w:t>”</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6</w:t>
      </w:r>
      <w:r>
        <w:rPr>
          <w:rFonts w:ascii="Times New Roman" w:eastAsia="Times New Roman" w:hAnsi="Times New Roman" w:cs="Times New Roman"/>
          <w:sz w:val="24"/>
          <w:szCs w:val="24"/>
          <w:lang w:val="ro-RO" w:eastAsia="ru-RU"/>
        </w:rPr>
        <w:t>)</w:t>
      </w:r>
      <w:r w:rsidRPr="00226CAA">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 xml:space="preserve">subpunctul </w:t>
      </w:r>
      <w:r w:rsidRPr="00226CAA">
        <w:rPr>
          <w:rFonts w:ascii="Times New Roman" w:eastAsia="Times New Roman" w:hAnsi="Times New Roman" w:cs="Times New Roman"/>
          <w:sz w:val="24"/>
          <w:szCs w:val="24"/>
          <w:lang w:val="ro-RO" w:eastAsia="ru-RU"/>
        </w:rPr>
        <w:t>5.6</w:t>
      </w:r>
      <w:r>
        <w:rPr>
          <w:rFonts w:ascii="Times New Roman" w:eastAsia="Times New Roman" w:hAnsi="Times New Roman" w:cs="Times New Roman"/>
          <w:sz w:val="24"/>
          <w:szCs w:val="24"/>
          <w:lang w:val="ro-RO" w:eastAsia="ru-RU"/>
        </w:rPr>
        <w:t>.</w:t>
      </w:r>
      <w:r w:rsidRPr="00226CAA">
        <w:rPr>
          <w:rFonts w:ascii="Times New Roman" w:eastAsia="Times New Roman" w:hAnsi="Times New Roman" w:cs="Times New Roman"/>
          <w:sz w:val="24"/>
          <w:szCs w:val="24"/>
          <w:lang w:val="ro-RO" w:eastAsia="ru-RU"/>
        </w:rPr>
        <w:t xml:space="preserve"> se exclude. </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3. Capitolul VI:</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 xml:space="preserve">1) </w:t>
      </w:r>
      <w:r>
        <w:rPr>
          <w:rFonts w:ascii="Times New Roman" w:eastAsia="Times New Roman" w:hAnsi="Times New Roman" w:cs="Times New Roman"/>
          <w:sz w:val="24"/>
          <w:szCs w:val="24"/>
          <w:lang w:val="ro-RO" w:eastAsia="ru-RU"/>
        </w:rPr>
        <w:t>subpunctul</w:t>
      </w:r>
      <w:r w:rsidRPr="00226CAA">
        <w:rPr>
          <w:rFonts w:ascii="Times New Roman" w:eastAsia="Times New Roman" w:hAnsi="Times New Roman" w:cs="Times New Roman"/>
          <w:sz w:val="24"/>
          <w:szCs w:val="24"/>
          <w:lang w:val="ro-RO" w:eastAsia="ru-RU"/>
        </w:rPr>
        <w:t xml:space="preserve"> 6.4. </w:t>
      </w:r>
      <w:r>
        <w:rPr>
          <w:rFonts w:ascii="Times New Roman" w:eastAsia="Times New Roman" w:hAnsi="Times New Roman" w:cs="Times New Roman"/>
          <w:sz w:val="24"/>
          <w:szCs w:val="24"/>
          <w:lang w:val="ro-RO" w:eastAsia="ru-RU"/>
        </w:rPr>
        <w:t xml:space="preserve">va avea </w:t>
      </w:r>
      <w:r w:rsidRPr="00226CAA">
        <w:rPr>
          <w:rFonts w:ascii="Times New Roman" w:eastAsia="Times New Roman" w:hAnsi="Times New Roman" w:cs="Times New Roman"/>
          <w:sz w:val="24"/>
          <w:szCs w:val="24"/>
          <w:lang w:val="ro-RO" w:eastAsia="ru-RU"/>
        </w:rPr>
        <w:t xml:space="preserve">următorul </w:t>
      </w:r>
      <w:r>
        <w:rPr>
          <w:rFonts w:ascii="Times New Roman" w:eastAsia="Times New Roman" w:hAnsi="Times New Roman" w:cs="Times New Roman"/>
          <w:sz w:val="24"/>
          <w:szCs w:val="24"/>
          <w:lang w:val="ro-RO" w:eastAsia="ru-RU"/>
        </w:rPr>
        <w:t>cuprins:</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 xml:space="preserve">Rețeaua actuală de extensiune rurală este 100% finanțată din bugetul de stat și nu mai beneficiază de cofinanțare din partea altor donatori. Unica sursă de venit pentru rețeaua de extensiune rurală sunt fondurile publice. </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 xml:space="preserve">În viitor, plățile pentru serviciile de extensiune rurală vor fi o sursă de venit în creștere cu obiectivul de a fi dezvoltate ca principala sursă de finanțare. Potrivit unei evaluări a impactului serviciilor de consultanță, efectuată în cadrul unui studiu independent, disponibilitatea producătorilor de a achita plăți a fost evaluată din perspectiva posibilității fermierilor de a achita plata serviciilor și a prețului. Conform acestei evaluări, producătorii au considerat prețul acceptabil pentru fiecare tip de serviciu. Prețul mediu pe oră pentru angajații entității de implementare este estimat la circa 100 lei cu transportul inclus. </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 xml:space="preserve">Inițial, în strategie s-a planificat pentru 2017 un buget de 20 mil. lei, ca și în anii precedenți. Dar, din cauza constrângerilor bugetare, această sumă a fost redusă la 10 mil. lei, forțând entitatea de implementare să-și reducă numărul angajaților cu 50%. Prin implementarea plăților pentru servicii, în afara alocărilor din buget, s-ar putea obține o reducere de 50% a bugetului planificat inițial până în 2022, și o reducere mai mare în anii următori. Dacă totuși bugetul actual va fi menținut, se va înregistra o reducere de 0% în 2022 comparativ cu nivelul din 2017, și de circa 10% în 2023. În final, repartizarea financiară a fondurilor publice și altor surse de venit va fi în raport de 40-60 în 2022. </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Aceste ipoteze se bazează pe următoarele date referitoare la entitatea de implementare:</w:t>
      </w:r>
    </w:p>
    <w:p w:rsidR="006E52AC" w:rsidRPr="00226CAA" w:rsidRDefault="006E52AC" w:rsidP="006E52AC">
      <w:pPr>
        <w:pStyle w:val="ListParagraph"/>
        <w:numPr>
          <w:ilvl w:val="0"/>
          <w:numId w:val="1"/>
        </w:numPr>
        <w:spacing w:after="0" w:line="240" w:lineRule="auto"/>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200 consultanți;</w:t>
      </w:r>
    </w:p>
    <w:p w:rsidR="006E52AC" w:rsidRPr="00226CAA" w:rsidRDefault="006E52AC" w:rsidP="006E52AC">
      <w:pPr>
        <w:pStyle w:val="ListParagraph"/>
        <w:numPr>
          <w:ilvl w:val="0"/>
          <w:numId w:val="1"/>
        </w:numPr>
        <w:spacing w:after="0" w:line="240" w:lineRule="auto"/>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Contracte de muncă cu program deplin în 2018 (în loc de cele cu program parțial de 50% care există în prezent);</w:t>
      </w:r>
    </w:p>
    <w:p w:rsidR="006E52AC" w:rsidRPr="00226CAA" w:rsidRDefault="006E52AC" w:rsidP="006E52AC">
      <w:pPr>
        <w:pStyle w:val="ListParagraph"/>
        <w:numPr>
          <w:ilvl w:val="0"/>
          <w:numId w:val="1"/>
        </w:numPr>
        <w:spacing w:after="0" w:line="240" w:lineRule="auto"/>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Costuri de transport mai ridicate în mod gradual;</w:t>
      </w:r>
    </w:p>
    <w:p w:rsidR="006E52AC" w:rsidRPr="00226CAA" w:rsidRDefault="006E52AC" w:rsidP="006E52AC">
      <w:pPr>
        <w:pStyle w:val="ListParagraph"/>
        <w:numPr>
          <w:ilvl w:val="0"/>
          <w:numId w:val="1"/>
        </w:numPr>
        <w:spacing w:after="0" w:line="240" w:lineRule="auto"/>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Ajustări graduale ale salariilor angajaților din teren.</w:t>
      </w:r>
      <w:r>
        <w:rPr>
          <w:rFonts w:ascii="Times New Roman" w:eastAsia="Times New Roman" w:hAnsi="Times New Roman" w:cs="Times New Roman"/>
          <w:sz w:val="24"/>
          <w:szCs w:val="24"/>
          <w:lang w:val="ro-RO" w:eastAsia="ru-RU"/>
        </w:rPr>
        <w:t>”</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 xml:space="preserve">Fondurile publice necesare pentru perioada 2012-2022 sunt estimate la circa 230.5 mil. lei, ceea ce reprezintă o </w:t>
      </w:r>
      <w:r w:rsidR="00C83E59">
        <w:rPr>
          <w:rFonts w:ascii="Times New Roman" w:eastAsia="Times New Roman" w:hAnsi="Times New Roman" w:cs="Times New Roman"/>
          <w:sz w:val="24"/>
          <w:szCs w:val="24"/>
          <w:lang w:val="ro-RO" w:eastAsia="ru-RU"/>
        </w:rPr>
        <w:t>finanțare anuală de 23 mil. lei</w:t>
      </w:r>
      <w:r w:rsidRPr="00226CAA">
        <w:rPr>
          <w:rFonts w:ascii="Times New Roman" w:eastAsia="Times New Roman" w:hAnsi="Times New Roman" w:cs="Times New Roman"/>
          <w:sz w:val="24"/>
          <w:szCs w:val="24"/>
          <w:lang w:val="ro-RO" w:eastAsia="ru-RU"/>
        </w:rPr>
        <w:t xml:space="preserve">. Dacă factorul productivitate în acest sector va crește cu un punct, datorită funcționării rețelei de extensiune rurală, ceea ce este realist și previzibil, luând în considerare experiența fermierilor care utilizează serviciile de consultanță, rambursarea investiției publice va fi de 9 ori mai mare în fiecare an. </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lastRenderedPageBreak/>
        <w:t>Pentru a acumula rezerve de 50% din costurile anuale, în scopul de a gestiona fluctuațiile viitoare ale veniturilor din plăți, se preconizează de a iniția reducerea bugetului în concordanță cu crearea acestor rezerve. În scopul de a asigura aceste rezerve, primele reduceri graduale la bugetul pentr</w:t>
      </w:r>
      <w:r>
        <w:rPr>
          <w:rFonts w:ascii="Times New Roman" w:eastAsia="Times New Roman" w:hAnsi="Times New Roman" w:cs="Times New Roman"/>
          <w:sz w:val="24"/>
          <w:szCs w:val="24"/>
          <w:lang w:val="ro-RO" w:eastAsia="ru-RU"/>
        </w:rPr>
        <w:t>u</w:t>
      </w:r>
      <w:r w:rsidRPr="00226CAA">
        <w:rPr>
          <w:rFonts w:ascii="Times New Roman" w:eastAsia="Times New Roman" w:hAnsi="Times New Roman" w:cs="Times New Roman"/>
          <w:sz w:val="24"/>
          <w:szCs w:val="24"/>
          <w:lang w:val="ro-RO" w:eastAsia="ru-RU"/>
        </w:rPr>
        <w:t xml:space="preserve"> servicii de extensiune ar putea fi inițiate în 2021.   </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În cazul în care deschiderea graduală preconizată a licitației pentru domeniul tehno-economic va avea un impact dramatic asupra datelor financiare planificate pentru entitatea de implementare, va fi necesar de identificat alternative.</w:t>
      </w:r>
      <w:r>
        <w:rPr>
          <w:rFonts w:ascii="Times New Roman" w:eastAsia="Times New Roman" w:hAnsi="Times New Roman" w:cs="Times New Roman"/>
          <w:sz w:val="24"/>
          <w:szCs w:val="24"/>
          <w:lang w:val="ro-RO" w:eastAsia="ru-RU"/>
        </w:rPr>
        <w:t>”</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4. </w:t>
      </w:r>
      <w:r w:rsidRPr="00226CAA">
        <w:rPr>
          <w:rFonts w:ascii="Times New Roman" w:eastAsia="Times New Roman" w:hAnsi="Times New Roman" w:cs="Times New Roman"/>
          <w:sz w:val="24"/>
          <w:szCs w:val="24"/>
          <w:lang w:val="ro-RO" w:eastAsia="ru-RU"/>
        </w:rPr>
        <w:t>Capitolul VII va avea următorul cuprins:</w:t>
      </w:r>
    </w:p>
    <w:p w:rsidR="006E52AC" w:rsidRPr="00226CAA" w:rsidRDefault="006E52AC" w:rsidP="006E52AC">
      <w:pPr>
        <w:spacing w:after="0" w:line="240" w:lineRule="auto"/>
        <w:jc w:val="both"/>
        <w:rPr>
          <w:rFonts w:ascii="Times New Roman" w:eastAsia="Times New Roman" w:hAnsi="Times New Roman" w:cs="Times New Roman"/>
          <w:sz w:val="24"/>
          <w:szCs w:val="24"/>
          <w:lang w:val="ro-RO" w:eastAsia="ru-RU"/>
        </w:rPr>
      </w:pPr>
    </w:p>
    <w:p w:rsidR="006E52AC" w:rsidRDefault="006E52AC" w:rsidP="006E52AC">
      <w:pPr>
        <w:spacing w:after="0" w:line="240" w:lineRule="auto"/>
        <w:ind w:firstLine="567"/>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Pr="00226CAA">
        <w:rPr>
          <w:rFonts w:ascii="Times New Roman" w:eastAsia="Times New Roman" w:hAnsi="Times New Roman" w:cs="Times New Roman"/>
          <w:b/>
          <w:sz w:val="24"/>
          <w:szCs w:val="24"/>
          <w:lang w:val="ro-RO" w:eastAsia="ru-RU"/>
        </w:rPr>
        <w:t>VII. REZULTATELE SCONTATE ŞI INDICATORII DE PROGRES</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226CAA">
        <w:rPr>
          <w:rFonts w:ascii="Times New Roman" w:eastAsia="Times New Roman" w:hAnsi="Times New Roman" w:cs="Times New Roman"/>
          <w:sz w:val="24"/>
          <w:szCs w:val="24"/>
          <w:lang w:val="ro-RO" w:eastAsia="ru-RU"/>
        </w:rPr>
        <w:t xml:space="preserve">mplementarea </w:t>
      </w:r>
      <w:r>
        <w:rPr>
          <w:rFonts w:ascii="Times New Roman" w:eastAsia="Times New Roman" w:hAnsi="Times New Roman" w:cs="Times New Roman"/>
          <w:sz w:val="24"/>
          <w:szCs w:val="24"/>
          <w:lang w:val="ro-RO" w:eastAsia="ru-RU"/>
        </w:rPr>
        <w:t>prezentei Strategii se va aprecia prin aplicarea următorilor indicatori de progres:</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a) </w:t>
      </w:r>
      <w:r w:rsidRPr="00226CAA">
        <w:rPr>
          <w:rFonts w:ascii="Times New Roman" w:eastAsia="Times New Roman" w:hAnsi="Times New Roman" w:cs="Times New Roman"/>
          <w:sz w:val="24"/>
          <w:szCs w:val="24"/>
          <w:lang w:val="ro-RO" w:eastAsia="ru-RU"/>
        </w:rPr>
        <w:t>creșterea volumului de producție agricole cu 4 %;</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b) creșterea profitabilității fermierilor;</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c) creșterea investițiilor fermierilor;</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d) creșterea veniturilor generate de plăți;</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 xml:space="preserve">e) reducerea graduală a bugetului </w:t>
      </w:r>
      <w:r>
        <w:rPr>
          <w:rFonts w:ascii="Times New Roman" w:eastAsia="Times New Roman" w:hAnsi="Times New Roman" w:cs="Times New Roman"/>
          <w:sz w:val="24"/>
          <w:szCs w:val="24"/>
          <w:lang w:val="ro-RO" w:eastAsia="ru-RU"/>
        </w:rPr>
        <w:t>MADRM</w:t>
      </w:r>
      <w:r w:rsidRPr="00226CAA">
        <w:rPr>
          <w:rFonts w:ascii="Times New Roman" w:eastAsia="Times New Roman" w:hAnsi="Times New Roman" w:cs="Times New Roman"/>
          <w:sz w:val="24"/>
          <w:szCs w:val="24"/>
          <w:lang w:val="ro-RO" w:eastAsia="ru-RU"/>
        </w:rPr>
        <w:t xml:space="preserve"> destinat extensiunii comparativ cu anul 2016;</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f) repartizarea fondurilor publice și altor surse de venit;</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g) sporirea exporturilor de produse ag</w:t>
      </w:r>
      <w:r w:rsidR="00C83E59">
        <w:rPr>
          <w:rFonts w:ascii="Times New Roman" w:eastAsia="Times New Roman" w:hAnsi="Times New Roman" w:cs="Times New Roman"/>
          <w:sz w:val="24"/>
          <w:szCs w:val="24"/>
          <w:lang w:val="ro-RO" w:eastAsia="ru-RU"/>
        </w:rPr>
        <w:t>r</w:t>
      </w:r>
      <w:r w:rsidRPr="00226CAA">
        <w:rPr>
          <w:rFonts w:ascii="Times New Roman" w:eastAsia="Times New Roman" w:hAnsi="Times New Roman" w:cs="Times New Roman"/>
          <w:sz w:val="24"/>
          <w:szCs w:val="24"/>
          <w:lang w:val="ro-RO" w:eastAsia="ru-RU"/>
        </w:rPr>
        <w:t>oalimentare</w:t>
      </w:r>
      <w:r>
        <w:rPr>
          <w:rFonts w:ascii="Times New Roman" w:eastAsia="Times New Roman" w:hAnsi="Times New Roman" w:cs="Times New Roman"/>
          <w:sz w:val="24"/>
          <w:szCs w:val="24"/>
          <w:lang w:val="ro-RO" w:eastAsia="ru-RU"/>
        </w:rPr>
        <w:t>;</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h) satisfacția fermierilor de serviciile furnizate (pe o scară 1-10, măsurată pe un eșantion selectat);</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r w:rsidRPr="00226CAA">
        <w:rPr>
          <w:rFonts w:ascii="Times New Roman" w:eastAsia="Times New Roman" w:hAnsi="Times New Roman" w:cs="Times New Roman"/>
          <w:sz w:val="24"/>
          <w:szCs w:val="24"/>
          <w:lang w:val="ro-RO" w:eastAsia="ru-RU"/>
        </w:rPr>
        <w:t>i) realizarea structurii bazate pe sectoare pentru serviciile în domeniul tehno-economic.”</w:t>
      </w: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bookmarkStart w:id="0" w:name="_GoBack"/>
      <w:bookmarkEnd w:id="0"/>
    </w:p>
    <w:p w:rsidR="006E52AC" w:rsidRPr="00226CAA" w:rsidRDefault="006E52AC" w:rsidP="006E52AC">
      <w:pPr>
        <w:spacing w:after="0" w:line="240" w:lineRule="auto"/>
        <w:ind w:firstLine="567"/>
        <w:jc w:val="both"/>
        <w:rPr>
          <w:rFonts w:ascii="Times New Roman" w:eastAsia="Times New Roman" w:hAnsi="Times New Roman" w:cs="Times New Roman"/>
          <w:sz w:val="24"/>
          <w:szCs w:val="24"/>
          <w:lang w:val="ro-RO" w:eastAsia="ru-RU"/>
        </w:rPr>
      </w:pPr>
    </w:p>
    <w:tbl>
      <w:tblPr>
        <w:tblStyle w:val="TableGrid"/>
        <w:tblW w:w="8472" w:type="dxa"/>
        <w:tblLook w:val="04A0" w:firstRow="1" w:lastRow="0" w:firstColumn="1" w:lastColumn="0" w:noHBand="0" w:noVBand="1"/>
      </w:tblPr>
      <w:tblGrid>
        <w:gridCol w:w="5353"/>
        <w:gridCol w:w="3119"/>
      </w:tblGrid>
      <w:tr w:rsidR="006E52AC" w:rsidTr="00226CAA">
        <w:tc>
          <w:tcPr>
            <w:tcW w:w="5353" w:type="dxa"/>
          </w:tcPr>
          <w:p w:rsidR="006E52AC" w:rsidRDefault="006E52AC" w:rsidP="00226CAA">
            <w:pPr>
              <w:jc w:val="both"/>
              <w:rPr>
                <w:rFonts w:ascii="Times New Roman" w:eastAsia="Times New Roman" w:hAnsi="Times New Roman" w:cs="Times New Roman"/>
                <w:sz w:val="24"/>
                <w:szCs w:val="24"/>
                <w:lang w:val="ro-RO" w:eastAsia="ru-RU"/>
              </w:rPr>
            </w:pPr>
            <w:r w:rsidRPr="00915619">
              <w:rPr>
                <w:rFonts w:ascii="Times New Roman" w:eastAsia="Times New Roman" w:hAnsi="Times New Roman" w:cs="Times New Roman"/>
                <w:b/>
                <w:bCs/>
                <w:sz w:val="20"/>
                <w:szCs w:val="20"/>
                <w:lang w:val="ro-RO" w:eastAsia="ru-RU"/>
              </w:rPr>
              <w:t>PRIM-MINISTRU</w:t>
            </w:r>
          </w:p>
        </w:tc>
        <w:tc>
          <w:tcPr>
            <w:tcW w:w="3119" w:type="dxa"/>
          </w:tcPr>
          <w:p w:rsidR="006E52AC" w:rsidRDefault="006E52AC" w:rsidP="00226CAA">
            <w:pPr>
              <w:jc w:val="both"/>
              <w:rPr>
                <w:rFonts w:ascii="Times New Roman" w:eastAsia="Times New Roman" w:hAnsi="Times New Roman" w:cs="Times New Roman"/>
                <w:sz w:val="24"/>
                <w:szCs w:val="24"/>
                <w:lang w:val="ro-RO" w:eastAsia="ru-RU"/>
              </w:rPr>
            </w:pPr>
            <w:r w:rsidRPr="00915619">
              <w:rPr>
                <w:rFonts w:ascii="Times New Roman" w:eastAsia="Times New Roman" w:hAnsi="Times New Roman" w:cs="Times New Roman"/>
                <w:b/>
                <w:bCs/>
                <w:sz w:val="20"/>
                <w:szCs w:val="20"/>
                <w:lang w:val="ro-RO" w:eastAsia="ru-RU"/>
              </w:rPr>
              <w:t>Pavel FILIP</w:t>
            </w:r>
          </w:p>
        </w:tc>
      </w:tr>
      <w:tr w:rsidR="006E52AC" w:rsidTr="00226CAA">
        <w:tc>
          <w:tcPr>
            <w:tcW w:w="5353" w:type="dxa"/>
          </w:tcPr>
          <w:p w:rsidR="006E52AC" w:rsidRPr="00915619" w:rsidRDefault="006E52AC" w:rsidP="00226CAA">
            <w:pPr>
              <w:jc w:val="both"/>
              <w:rPr>
                <w:rFonts w:ascii="Times New Roman" w:eastAsia="Times New Roman" w:hAnsi="Times New Roman" w:cs="Times New Roman"/>
                <w:b/>
                <w:bCs/>
                <w:sz w:val="20"/>
                <w:szCs w:val="20"/>
                <w:lang w:val="ro-RO" w:eastAsia="ru-RU"/>
              </w:rPr>
            </w:pPr>
          </w:p>
        </w:tc>
        <w:tc>
          <w:tcPr>
            <w:tcW w:w="3119" w:type="dxa"/>
          </w:tcPr>
          <w:p w:rsidR="006E52AC" w:rsidRPr="00915619" w:rsidRDefault="006E52AC" w:rsidP="00226CAA">
            <w:pPr>
              <w:jc w:val="both"/>
              <w:rPr>
                <w:rFonts w:ascii="Times New Roman" w:eastAsia="Times New Roman" w:hAnsi="Times New Roman" w:cs="Times New Roman"/>
                <w:b/>
                <w:bCs/>
                <w:sz w:val="20"/>
                <w:szCs w:val="20"/>
                <w:lang w:val="ro-RO" w:eastAsia="ru-RU"/>
              </w:rPr>
            </w:pPr>
          </w:p>
        </w:tc>
      </w:tr>
      <w:tr w:rsidR="006E52AC" w:rsidTr="00226CAA">
        <w:tc>
          <w:tcPr>
            <w:tcW w:w="5353" w:type="dxa"/>
          </w:tcPr>
          <w:p w:rsidR="006E52AC" w:rsidRPr="00915619" w:rsidRDefault="006E52AC" w:rsidP="00226CAA">
            <w:pPr>
              <w:jc w:val="both"/>
              <w:rPr>
                <w:rFonts w:ascii="Times New Roman" w:eastAsia="Times New Roman" w:hAnsi="Times New Roman" w:cs="Times New Roman"/>
                <w:b/>
                <w:bCs/>
                <w:sz w:val="20"/>
                <w:szCs w:val="20"/>
                <w:lang w:val="ro-RO" w:eastAsia="ru-RU"/>
              </w:rPr>
            </w:pPr>
            <w:r w:rsidRPr="00915619">
              <w:rPr>
                <w:rFonts w:ascii="Times New Roman" w:eastAsia="Times New Roman" w:hAnsi="Times New Roman" w:cs="Times New Roman"/>
                <w:b/>
                <w:bCs/>
                <w:sz w:val="20"/>
                <w:szCs w:val="20"/>
                <w:lang w:val="ro-RO" w:eastAsia="ru-RU"/>
              </w:rPr>
              <w:t>Contrasemnează:</w:t>
            </w:r>
          </w:p>
        </w:tc>
        <w:tc>
          <w:tcPr>
            <w:tcW w:w="3119" w:type="dxa"/>
          </w:tcPr>
          <w:p w:rsidR="006E52AC" w:rsidRPr="00915619" w:rsidRDefault="006E52AC" w:rsidP="00226CAA">
            <w:pPr>
              <w:jc w:val="both"/>
              <w:rPr>
                <w:rFonts w:ascii="Times New Roman" w:eastAsia="Times New Roman" w:hAnsi="Times New Roman" w:cs="Times New Roman"/>
                <w:b/>
                <w:bCs/>
                <w:sz w:val="20"/>
                <w:szCs w:val="20"/>
                <w:lang w:val="ro-RO" w:eastAsia="ru-RU"/>
              </w:rPr>
            </w:pPr>
          </w:p>
        </w:tc>
      </w:tr>
      <w:tr w:rsidR="006E52AC" w:rsidTr="00226CAA">
        <w:tc>
          <w:tcPr>
            <w:tcW w:w="5353" w:type="dxa"/>
          </w:tcPr>
          <w:p w:rsidR="006E52AC" w:rsidRPr="00915619" w:rsidRDefault="006E52AC" w:rsidP="00226CAA">
            <w:pPr>
              <w:jc w:val="both"/>
              <w:rPr>
                <w:rFonts w:ascii="Times New Roman" w:eastAsia="Times New Roman" w:hAnsi="Times New Roman" w:cs="Times New Roman"/>
                <w:b/>
                <w:bCs/>
                <w:sz w:val="20"/>
                <w:szCs w:val="20"/>
                <w:lang w:val="ro-RO" w:eastAsia="ru-RU"/>
              </w:rPr>
            </w:pPr>
          </w:p>
        </w:tc>
        <w:tc>
          <w:tcPr>
            <w:tcW w:w="3119" w:type="dxa"/>
          </w:tcPr>
          <w:p w:rsidR="006E52AC" w:rsidRPr="00915619" w:rsidRDefault="006E52AC" w:rsidP="00226CAA">
            <w:pPr>
              <w:jc w:val="both"/>
              <w:rPr>
                <w:rFonts w:ascii="Times New Roman" w:eastAsia="Times New Roman" w:hAnsi="Times New Roman" w:cs="Times New Roman"/>
                <w:b/>
                <w:bCs/>
                <w:sz w:val="20"/>
                <w:szCs w:val="20"/>
                <w:lang w:val="ro-RO" w:eastAsia="ru-RU"/>
              </w:rPr>
            </w:pPr>
          </w:p>
        </w:tc>
      </w:tr>
      <w:tr w:rsidR="006E52AC" w:rsidTr="00226CAA">
        <w:tc>
          <w:tcPr>
            <w:tcW w:w="5353" w:type="dxa"/>
          </w:tcPr>
          <w:p w:rsidR="006E52AC" w:rsidRPr="00915619" w:rsidRDefault="006E52AC" w:rsidP="00226CAA">
            <w:pPr>
              <w:jc w:val="both"/>
              <w:rPr>
                <w:rFonts w:ascii="Times New Roman" w:eastAsia="Times New Roman" w:hAnsi="Times New Roman" w:cs="Times New Roman"/>
                <w:b/>
                <w:bCs/>
                <w:sz w:val="20"/>
                <w:szCs w:val="20"/>
                <w:lang w:val="ro-RO" w:eastAsia="ru-RU"/>
              </w:rPr>
            </w:pPr>
            <w:r w:rsidRPr="00915619">
              <w:rPr>
                <w:rFonts w:ascii="Times New Roman" w:eastAsia="Times New Roman" w:hAnsi="Times New Roman" w:cs="Times New Roman"/>
                <w:b/>
                <w:bCs/>
                <w:sz w:val="20"/>
                <w:szCs w:val="20"/>
                <w:lang w:val="ro-RO" w:eastAsia="ru-RU"/>
              </w:rPr>
              <w:t>Viceprim-ministru, ministrul economiei</w:t>
            </w:r>
          </w:p>
        </w:tc>
        <w:tc>
          <w:tcPr>
            <w:tcW w:w="3119" w:type="dxa"/>
          </w:tcPr>
          <w:p w:rsidR="006E52AC" w:rsidRPr="00915619" w:rsidRDefault="006E52AC" w:rsidP="00226CAA">
            <w:pPr>
              <w:jc w:val="both"/>
              <w:rPr>
                <w:rFonts w:ascii="Times New Roman" w:eastAsia="Times New Roman" w:hAnsi="Times New Roman" w:cs="Times New Roman"/>
                <w:b/>
                <w:bCs/>
                <w:sz w:val="20"/>
                <w:szCs w:val="20"/>
                <w:lang w:val="ro-RO" w:eastAsia="ru-RU"/>
              </w:rPr>
            </w:pPr>
            <w:r w:rsidRPr="00915619">
              <w:rPr>
                <w:rFonts w:ascii="Times New Roman" w:eastAsia="Times New Roman" w:hAnsi="Times New Roman" w:cs="Times New Roman"/>
                <w:b/>
                <w:bCs/>
                <w:sz w:val="20"/>
                <w:szCs w:val="20"/>
                <w:lang w:val="ro-RO" w:eastAsia="ru-RU"/>
              </w:rPr>
              <w:t xml:space="preserve">Octavian </w:t>
            </w:r>
            <w:proofErr w:type="spellStart"/>
            <w:r w:rsidRPr="00915619">
              <w:rPr>
                <w:rFonts w:ascii="Times New Roman" w:eastAsia="Times New Roman" w:hAnsi="Times New Roman" w:cs="Times New Roman"/>
                <w:b/>
                <w:bCs/>
                <w:sz w:val="20"/>
                <w:szCs w:val="20"/>
                <w:lang w:val="ro-RO" w:eastAsia="ru-RU"/>
              </w:rPr>
              <w:t>Calmîc</w:t>
            </w:r>
            <w:proofErr w:type="spellEnd"/>
          </w:p>
        </w:tc>
      </w:tr>
      <w:tr w:rsidR="006E52AC" w:rsidTr="00226CAA">
        <w:tc>
          <w:tcPr>
            <w:tcW w:w="5353" w:type="dxa"/>
          </w:tcPr>
          <w:p w:rsidR="006E52AC" w:rsidRPr="00915619" w:rsidRDefault="006E52AC" w:rsidP="00226CAA">
            <w:pPr>
              <w:jc w:val="both"/>
              <w:rPr>
                <w:rFonts w:ascii="Times New Roman" w:eastAsia="Times New Roman" w:hAnsi="Times New Roman" w:cs="Times New Roman"/>
                <w:b/>
                <w:bCs/>
                <w:sz w:val="20"/>
                <w:szCs w:val="20"/>
                <w:lang w:val="ro-RO" w:eastAsia="ru-RU"/>
              </w:rPr>
            </w:pPr>
          </w:p>
        </w:tc>
        <w:tc>
          <w:tcPr>
            <w:tcW w:w="3119" w:type="dxa"/>
          </w:tcPr>
          <w:p w:rsidR="006E52AC" w:rsidRPr="00915619" w:rsidRDefault="006E52AC" w:rsidP="00226CAA">
            <w:pPr>
              <w:jc w:val="both"/>
              <w:rPr>
                <w:rFonts w:ascii="Times New Roman" w:eastAsia="Times New Roman" w:hAnsi="Times New Roman" w:cs="Times New Roman"/>
                <w:b/>
                <w:bCs/>
                <w:sz w:val="20"/>
                <w:szCs w:val="20"/>
                <w:lang w:val="ro-RO" w:eastAsia="ru-RU"/>
              </w:rPr>
            </w:pPr>
          </w:p>
        </w:tc>
      </w:tr>
      <w:tr w:rsidR="006E52AC" w:rsidTr="00226CAA">
        <w:tc>
          <w:tcPr>
            <w:tcW w:w="5353" w:type="dxa"/>
          </w:tcPr>
          <w:p w:rsidR="006E52AC" w:rsidRPr="00915619" w:rsidRDefault="006E52AC" w:rsidP="00226CAA">
            <w:pPr>
              <w:jc w:val="both"/>
              <w:rPr>
                <w:rFonts w:ascii="Times New Roman" w:eastAsia="Times New Roman" w:hAnsi="Times New Roman" w:cs="Times New Roman"/>
                <w:b/>
                <w:bCs/>
                <w:sz w:val="20"/>
                <w:szCs w:val="20"/>
                <w:lang w:val="ro-RO" w:eastAsia="ru-RU"/>
              </w:rPr>
            </w:pPr>
            <w:r>
              <w:rPr>
                <w:rFonts w:ascii="Times New Roman" w:eastAsia="Times New Roman" w:hAnsi="Times New Roman" w:cs="Times New Roman"/>
                <w:b/>
                <w:bCs/>
                <w:sz w:val="20"/>
                <w:szCs w:val="20"/>
                <w:lang w:val="ro-RO" w:eastAsia="ru-RU"/>
              </w:rPr>
              <w:t>Ministrul educaţie, culturii şi cercetării</w:t>
            </w:r>
          </w:p>
        </w:tc>
        <w:tc>
          <w:tcPr>
            <w:tcW w:w="3119" w:type="dxa"/>
          </w:tcPr>
          <w:p w:rsidR="006E52AC" w:rsidRPr="00915619" w:rsidRDefault="006E52AC" w:rsidP="00226CAA">
            <w:pPr>
              <w:jc w:val="both"/>
              <w:rPr>
                <w:rFonts w:ascii="Times New Roman" w:eastAsia="Times New Roman" w:hAnsi="Times New Roman" w:cs="Times New Roman"/>
                <w:b/>
                <w:bCs/>
                <w:sz w:val="20"/>
                <w:szCs w:val="20"/>
                <w:lang w:val="ro-RO" w:eastAsia="ru-RU"/>
              </w:rPr>
            </w:pPr>
            <w:r>
              <w:rPr>
                <w:rFonts w:ascii="Times New Roman" w:eastAsia="Times New Roman" w:hAnsi="Times New Roman" w:cs="Times New Roman"/>
                <w:b/>
                <w:bCs/>
                <w:sz w:val="20"/>
                <w:szCs w:val="20"/>
                <w:lang w:val="ro-RO" w:eastAsia="ru-RU"/>
              </w:rPr>
              <w:t xml:space="preserve">Monica </w:t>
            </w:r>
            <w:proofErr w:type="spellStart"/>
            <w:r>
              <w:rPr>
                <w:rFonts w:ascii="Times New Roman" w:eastAsia="Times New Roman" w:hAnsi="Times New Roman" w:cs="Times New Roman"/>
                <w:b/>
                <w:bCs/>
                <w:sz w:val="20"/>
                <w:szCs w:val="20"/>
                <w:lang w:val="ro-RO" w:eastAsia="ru-RU"/>
              </w:rPr>
              <w:t>Babuc</w:t>
            </w:r>
            <w:proofErr w:type="spellEnd"/>
          </w:p>
        </w:tc>
      </w:tr>
      <w:tr w:rsidR="006E52AC" w:rsidTr="00226CAA">
        <w:tc>
          <w:tcPr>
            <w:tcW w:w="5353" w:type="dxa"/>
          </w:tcPr>
          <w:p w:rsidR="006E52AC" w:rsidRDefault="006E52AC" w:rsidP="00226CAA">
            <w:pPr>
              <w:jc w:val="both"/>
              <w:rPr>
                <w:rFonts w:ascii="Times New Roman" w:eastAsia="Times New Roman" w:hAnsi="Times New Roman" w:cs="Times New Roman"/>
                <w:b/>
                <w:bCs/>
                <w:sz w:val="20"/>
                <w:szCs w:val="20"/>
                <w:lang w:val="ro-RO" w:eastAsia="ru-RU"/>
              </w:rPr>
            </w:pPr>
          </w:p>
        </w:tc>
        <w:tc>
          <w:tcPr>
            <w:tcW w:w="3119" w:type="dxa"/>
          </w:tcPr>
          <w:p w:rsidR="006E52AC" w:rsidRDefault="006E52AC" w:rsidP="00226CAA">
            <w:pPr>
              <w:jc w:val="both"/>
              <w:rPr>
                <w:rFonts w:ascii="Times New Roman" w:eastAsia="Times New Roman" w:hAnsi="Times New Roman" w:cs="Times New Roman"/>
                <w:b/>
                <w:bCs/>
                <w:sz w:val="20"/>
                <w:szCs w:val="20"/>
                <w:lang w:val="ro-RO" w:eastAsia="ru-RU"/>
              </w:rPr>
            </w:pPr>
          </w:p>
        </w:tc>
      </w:tr>
      <w:tr w:rsidR="006E52AC" w:rsidTr="00226CAA">
        <w:tc>
          <w:tcPr>
            <w:tcW w:w="5353" w:type="dxa"/>
          </w:tcPr>
          <w:p w:rsidR="006E52AC" w:rsidRDefault="006E52AC" w:rsidP="00226CAA">
            <w:pPr>
              <w:jc w:val="both"/>
              <w:rPr>
                <w:rFonts w:ascii="Times New Roman" w:eastAsia="Times New Roman" w:hAnsi="Times New Roman" w:cs="Times New Roman"/>
                <w:b/>
                <w:bCs/>
                <w:sz w:val="20"/>
                <w:szCs w:val="20"/>
                <w:lang w:val="ro-RO" w:eastAsia="ru-RU"/>
              </w:rPr>
            </w:pPr>
            <w:r>
              <w:rPr>
                <w:rFonts w:ascii="Times New Roman" w:eastAsia="Times New Roman" w:hAnsi="Times New Roman" w:cs="Times New Roman"/>
                <w:b/>
                <w:bCs/>
                <w:sz w:val="20"/>
                <w:szCs w:val="20"/>
                <w:lang w:val="ro-RO" w:eastAsia="ru-RU"/>
              </w:rPr>
              <w:t xml:space="preserve">Ministrul agriculturii, </w:t>
            </w:r>
          </w:p>
          <w:p w:rsidR="006E52AC" w:rsidRDefault="006E52AC" w:rsidP="00226CAA">
            <w:pPr>
              <w:jc w:val="both"/>
              <w:rPr>
                <w:rFonts w:ascii="Times New Roman" w:eastAsia="Times New Roman" w:hAnsi="Times New Roman" w:cs="Times New Roman"/>
                <w:b/>
                <w:bCs/>
                <w:sz w:val="20"/>
                <w:szCs w:val="20"/>
                <w:lang w:val="ro-RO" w:eastAsia="ru-RU"/>
              </w:rPr>
            </w:pPr>
            <w:r>
              <w:rPr>
                <w:rFonts w:ascii="Times New Roman" w:eastAsia="Times New Roman" w:hAnsi="Times New Roman" w:cs="Times New Roman"/>
                <w:b/>
                <w:bCs/>
                <w:sz w:val="20"/>
                <w:szCs w:val="20"/>
                <w:lang w:val="ro-RO" w:eastAsia="ru-RU"/>
              </w:rPr>
              <w:t>dezvoltării regionale şi mediului</w:t>
            </w:r>
          </w:p>
        </w:tc>
        <w:tc>
          <w:tcPr>
            <w:tcW w:w="3119" w:type="dxa"/>
          </w:tcPr>
          <w:p w:rsidR="006E52AC" w:rsidRDefault="006E52AC" w:rsidP="00226CAA">
            <w:pPr>
              <w:jc w:val="both"/>
              <w:rPr>
                <w:rFonts w:ascii="Times New Roman" w:eastAsia="Times New Roman" w:hAnsi="Times New Roman" w:cs="Times New Roman"/>
                <w:b/>
                <w:bCs/>
                <w:sz w:val="20"/>
                <w:szCs w:val="20"/>
                <w:lang w:val="ro-RO" w:eastAsia="ru-RU"/>
              </w:rPr>
            </w:pPr>
            <w:r>
              <w:rPr>
                <w:rFonts w:ascii="Times New Roman" w:eastAsia="Times New Roman" w:hAnsi="Times New Roman" w:cs="Times New Roman"/>
                <w:b/>
                <w:bCs/>
                <w:sz w:val="20"/>
                <w:szCs w:val="20"/>
                <w:lang w:val="ro-RO" w:eastAsia="ru-RU"/>
              </w:rPr>
              <w:t xml:space="preserve">Vasile </w:t>
            </w:r>
            <w:proofErr w:type="spellStart"/>
            <w:r>
              <w:rPr>
                <w:rFonts w:ascii="Times New Roman" w:eastAsia="Times New Roman" w:hAnsi="Times New Roman" w:cs="Times New Roman"/>
                <w:b/>
                <w:bCs/>
                <w:sz w:val="20"/>
                <w:szCs w:val="20"/>
                <w:lang w:val="ro-RO" w:eastAsia="ru-RU"/>
              </w:rPr>
              <w:t>Bîtca</w:t>
            </w:r>
            <w:proofErr w:type="spellEnd"/>
          </w:p>
        </w:tc>
      </w:tr>
      <w:tr w:rsidR="006E52AC" w:rsidTr="00226CAA">
        <w:tc>
          <w:tcPr>
            <w:tcW w:w="5353" w:type="dxa"/>
          </w:tcPr>
          <w:p w:rsidR="006E52AC" w:rsidRDefault="006E52AC" w:rsidP="00226CAA">
            <w:pPr>
              <w:jc w:val="both"/>
              <w:rPr>
                <w:rFonts w:ascii="Times New Roman" w:eastAsia="Times New Roman" w:hAnsi="Times New Roman" w:cs="Times New Roman"/>
                <w:b/>
                <w:bCs/>
                <w:sz w:val="20"/>
                <w:szCs w:val="20"/>
                <w:lang w:val="ro-RO" w:eastAsia="ru-RU"/>
              </w:rPr>
            </w:pPr>
          </w:p>
        </w:tc>
        <w:tc>
          <w:tcPr>
            <w:tcW w:w="3119" w:type="dxa"/>
          </w:tcPr>
          <w:p w:rsidR="006E52AC" w:rsidRDefault="006E52AC" w:rsidP="00226CAA">
            <w:pPr>
              <w:jc w:val="both"/>
              <w:rPr>
                <w:rFonts w:ascii="Times New Roman" w:eastAsia="Times New Roman" w:hAnsi="Times New Roman" w:cs="Times New Roman"/>
                <w:b/>
                <w:bCs/>
                <w:sz w:val="20"/>
                <w:szCs w:val="20"/>
                <w:lang w:val="ro-RO" w:eastAsia="ru-RU"/>
              </w:rPr>
            </w:pPr>
          </w:p>
        </w:tc>
      </w:tr>
      <w:tr w:rsidR="006E52AC" w:rsidTr="00226CAA">
        <w:tc>
          <w:tcPr>
            <w:tcW w:w="5353" w:type="dxa"/>
          </w:tcPr>
          <w:p w:rsidR="006E52AC" w:rsidRDefault="006E52AC" w:rsidP="00226CAA">
            <w:pPr>
              <w:jc w:val="both"/>
              <w:rPr>
                <w:rFonts w:ascii="Times New Roman" w:eastAsia="Times New Roman" w:hAnsi="Times New Roman" w:cs="Times New Roman"/>
                <w:b/>
                <w:bCs/>
                <w:sz w:val="20"/>
                <w:szCs w:val="20"/>
                <w:lang w:val="ro-RO" w:eastAsia="ru-RU"/>
              </w:rPr>
            </w:pPr>
            <w:r>
              <w:rPr>
                <w:rFonts w:ascii="Times New Roman" w:eastAsia="Times New Roman" w:hAnsi="Times New Roman" w:cs="Times New Roman"/>
                <w:b/>
                <w:bCs/>
                <w:sz w:val="20"/>
                <w:szCs w:val="20"/>
                <w:lang w:val="ro-RO" w:eastAsia="ru-RU"/>
              </w:rPr>
              <w:t>Ministrul finanţelor</w:t>
            </w:r>
          </w:p>
        </w:tc>
        <w:tc>
          <w:tcPr>
            <w:tcW w:w="3119" w:type="dxa"/>
          </w:tcPr>
          <w:p w:rsidR="006E52AC" w:rsidRDefault="006E52AC" w:rsidP="00226CAA">
            <w:pPr>
              <w:jc w:val="both"/>
              <w:rPr>
                <w:rFonts w:ascii="Times New Roman" w:eastAsia="Times New Roman" w:hAnsi="Times New Roman" w:cs="Times New Roman"/>
                <w:b/>
                <w:bCs/>
                <w:sz w:val="20"/>
                <w:szCs w:val="20"/>
                <w:lang w:val="ro-RO" w:eastAsia="ru-RU"/>
              </w:rPr>
            </w:pPr>
            <w:proofErr w:type="spellStart"/>
            <w:r>
              <w:rPr>
                <w:rFonts w:ascii="Times New Roman" w:eastAsia="Times New Roman" w:hAnsi="Times New Roman" w:cs="Times New Roman"/>
                <w:b/>
                <w:bCs/>
                <w:sz w:val="20"/>
                <w:szCs w:val="20"/>
                <w:lang w:val="ro-RO" w:eastAsia="ru-RU"/>
              </w:rPr>
              <w:t>Veaceslav</w:t>
            </w:r>
            <w:proofErr w:type="spellEnd"/>
            <w:r>
              <w:rPr>
                <w:rFonts w:ascii="Times New Roman" w:eastAsia="Times New Roman" w:hAnsi="Times New Roman" w:cs="Times New Roman"/>
                <w:b/>
                <w:bCs/>
                <w:sz w:val="20"/>
                <w:szCs w:val="20"/>
                <w:lang w:val="ro-RO" w:eastAsia="ru-RU"/>
              </w:rPr>
              <w:t xml:space="preserve"> Negruţa</w:t>
            </w:r>
          </w:p>
        </w:tc>
      </w:tr>
    </w:tbl>
    <w:p w:rsidR="00725026" w:rsidRDefault="00725026"/>
    <w:sectPr w:rsidR="0072502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44404"/>
    <w:multiLevelType w:val="hybridMultilevel"/>
    <w:tmpl w:val="442A94DA"/>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
    <w:nsid w:val="796F7CBF"/>
    <w:multiLevelType w:val="hybridMultilevel"/>
    <w:tmpl w:val="4F525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AB8"/>
    <w:rsid w:val="006E52AC"/>
    <w:rsid w:val="00722AB8"/>
    <w:rsid w:val="00725026"/>
    <w:rsid w:val="008C2B0F"/>
    <w:rsid w:val="00C83E59"/>
    <w:rsid w:val="00CD4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2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52AC"/>
    <w:pPr>
      <w:spacing w:after="0" w:line="240" w:lineRule="auto"/>
      <w:ind w:firstLine="567"/>
      <w:jc w:val="both"/>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6E52AC"/>
    <w:pPr>
      <w:ind w:left="720"/>
      <w:contextualSpacing/>
    </w:pPr>
  </w:style>
  <w:style w:type="character" w:styleId="CommentReference">
    <w:name w:val="annotation reference"/>
    <w:basedOn w:val="DefaultParagraphFont"/>
    <w:uiPriority w:val="99"/>
    <w:semiHidden/>
    <w:unhideWhenUsed/>
    <w:rsid w:val="006E52AC"/>
    <w:rPr>
      <w:sz w:val="16"/>
      <w:szCs w:val="16"/>
    </w:rPr>
  </w:style>
  <w:style w:type="paragraph" w:styleId="CommentText">
    <w:name w:val="annotation text"/>
    <w:basedOn w:val="Normal"/>
    <w:link w:val="CommentTextChar"/>
    <w:uiPriority w:val="99"/>
    <w:semiHidden/>
    <w:unhideWhenUsed/>
    <w:rsid w:val="006E52AC"/>
    <w:pPr>
      <w:spacing w:line="240" w:lineRule="auto"/>
    </w:pPr>
    <w:rPr>
      <w:sz w:val="20"/>
      <w:szCs w:val="20"/>
    </w:rPr>
  </w:style>
  <w:style w:type="character" w:customStyle="1" w:styleId="CommentTextChar">
    <w:name w:val="Comment Text Char"/>
    <w:basedOn w:val="DefaultParagraphFont"/>
    <w:link w:val="CommentText"/>
    <w:uiPriority w:val="99"/>
    <w:semiHidden/>
    <w:rsid w:val="006E52AC"/>
    <w:rPr>
      <w:sz w:val="20"/>
      <w:szCs w:val="20"/>
    </w:rPr>
  </w:style>
  <w:style w:type="table" w:styleId="TableGrid">
    <w:name w:val="Table Grid"/>
    <w:basedOn w:val="TableNormal"/>
    <w:uiPriority w:val="59"/>
    <w:rsid w:val="006E52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52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2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2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52AC"/>
    <w:pPr>
      <w:spacing w:after="0" w:line="240" w:lineRule="auto"/>
      <w:ind w:firstLine="567"/>
      <w:jc w:val="both"/>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6E52AC"/>
    <w:pPr>
      <w:ind w:left="720"/>
      <w:contextualSpacing/>
    </w:pPr>
  </w:style>
  <w:style w:type="character" w:styleId="CommentReference">
    <w:name w:val="annotation reference"/>
    <w:basedOn w:val="DefaultParagraphFont"/>
    <w:uiPriority w:val="99"/>
    <w:semiHidden/>
    <w:unhideWhenUsed/>
    <w:rsid w:val="006E52AC"/>
    <w:rPr>
      <w:sz w:val="16"/>
      <w:szCs w:val="16"/>
    </w:rPr>
  </w:style>
  <w:style w:type="paragraph" w:styleId="CommentText">
    <w:name w:val="annotation text"/>
    <w:basedOn w:val="Normal"/>
    <w:link w:val="CommentTextChar"/>
    <w:uiPriority w:val="99"/>
    <w:semiHidden/>
    <w:unhideWhenUsed/>
    <w:rsid w:val="006E52AC"/>
    <w:pPr>
      <w:spacing w:line="240" w:lineRule="auto"/>
    </w:pPr>
    <w:rPr>
      <w:sz w:val="20"/>
      <w:szCs w:val="20"/>
    </w:rPr>
  </w:style>
  <w:style w:type="character" w:customStyle="1" w:styleId="CommentTextChar">
    <w:name w:val="Comment Text Char"/>
    <w:basedOn w:val="DefaultParagraphFont"/>
    <w:link w:val="CommentText"/>
    <w:uiPriority w:val="99"/>
    <w:semiHidden/>
    <w:rsid w:val="006E52AC"/>
    <w:rPr>
      <w:sz w:val="20"/>
      <w:szCs w:val="20"/>
    </w:rPr>
  </w:style>
  <w:style w:type="table" w:styleId="TableGrid">
    <w:name w:val="Table Grid"/>
    <w:basedOn w:val="TableNormal"/>
    <w:uiPriority w:val="59"/>
    <w:rsid w:val="006E52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52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2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HGHG2013112795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1810</Words>
  <Characters>10318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Rusnac</dc:creator>
  <cp:lastModifiedBy>Magdalena Rusnac</cp:lastModifiedBy>
  <cp:revision>3</cp:revision>
  <dcterms:created xsi:type="dcterms:W3CDTF">2017-12-07T07:36:00Z</dcterms:created>
  <dcterms:modified xsi:type="dcterms:W3CDTF">2017-12-07T08:01:00Z</dcterms:modified>
</cp:coreProperties>
</file>