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41" w:rsidRPr="00C313C7" w:rsidRDefault="00207541" w:rsidP="00207541">
      <w:pPr>
        <w:autoSpaceDE w:val="0"/>
        <w:autoSpaceDN w:val="0"/>
        <w:adjustRightInd w:val="0"/>
        <w:ind w:firstLine="720"/>
        <w:jc w:val="right"/>
        <w:rPr>
          <w:bCs/>
          <w:i/>
          <w:iCs/>
          <w:sz w:val="28"/>
          <w:szCs w:val="28"/>
        </w:rPr>
      </w:pPr>
    </w:p>
    <w:p w:rsidR="00207541" w:rsidRPr="00C313C7" w:rsidRDefault="00207541" w:rsidP="00207541">
      <w:pPr>
        <w:autoSpaceDE w:val="0"/>
        <w:autoSpaceDN w:val="0"/>
        <w:adjustRightInd w:val="0"/>
        <w:spacing w:line="360" w:lineRule="auto"/>
        <w:ind w:firstLine="720"/>
        <w:jc w:val="center"/>
        <w:rPr>
          <w:b/>
          <w:bCs/>
          <w:iCs/>
          <w:sz w:val="28"/>
          <w:szCs w:val="28"/>
        </w:rPr>
      </w:pPr>
      <w:r w:rsidRPr="00C313C7">
        <w:rPr>
          <w:b/>
          <w:bCs/>
          <w:iCs/>
          <w:sz w:val="28"/>
          <w:szCs w:val="28"/>
        </w:rPr>
        <w:t>Nota informativă</w:t>
      </w:r>
    </w:p>
    <w:p w:rsidR="00207541" w:rsidRPr="00C313C7" w:rsidRDefault="00207541" w:rsidP="00207541">
      <w:pPr>
        <w:autoSpaceDE w:val="0"/>
        <w:autoSpaceDN w:val="0"/>
        <w:adjustRightInd w:val="0"/>
        <w:spacing w:line="360" w:lineRule="auto"/>
        <w:jc w:val="center"/>
        <w:rPr>
          <w:bCs/>
          <w:i/>
          <w:iCs/>
          <w:sz w:val="28"/>
          <w:szCs w:val="28"/>
        </w:rPr>
      </w:pPr>
      <w:r w:rsidRPr="00C313C7">
        <w:rPr>
          <w:b/>
          <w:bCs/>
          <w:iCs/>
          <w:sz w:val="28"/>
          <w:szCs w:val="28"/>
        </w:rPr>
        <w:t>la proiectul de lege pentru modificarea şi completarea unor acte legislative</w:t>
      </w:r>
    </w:p>
    <w:p w:rsidR="00207541" w:rsidRPr="00C313C7" w:rsidRDefault="00207541" w:rsidP="00207541">
      <w:pPr>
        <w:tabs>
          <w:tab w:val="left" w:pos="851"/>
        </w:tabs>
        <w:spacing w:line="360" w:lineRule="auto"/>
        <w:ind w:firstLine="567"/>
        <w:jc w:val="both"/>
        <w:rPr>
          <w:sz w:val="28"/>
          <w:szCs w:val="28"/>
        </w:rPr>
      </w:pPr>
    </w:p>
    <w:p w:rsidR="00207541" w:rsidRPr="00C313C7" w:rsidRDefault="00207541" w:rsidP="00207541">
      <w:pPr>
        <w:tabs>
          <w:tab w:val="left" w:pos="1080"/>
        </w:tabs>
        <w:spacing w:line="360" w:lineRule="auto"/>
        <w:ind w:firstLine="720"/>
        <w:jc w:val="both"/>
        <w:rPr>
          <w:sz w:val="28"/>
          <w:szCs w:val="28"/>
        </w:rPr>
      </w:pPr>
      <w:r w:rsidRPr="00C313C7">
        <w:rPr>
          <w:sz w:val="28"/>
          <w:szCs w:val="28"/>
        </w:rPr>
        <w:t>Prezentul proiect de lege, în fond, conţine propuneri de modificare şi completare a unor acte legislative, care rezultă din politicile bugetar-fiscale şi vamale pe anul 2013, bazate pe prevederile Programului de activitate al Guvernului pe anii 2011-2014 „Integrarea Europeană: Libertate, Democraţie, Bunăstare”, Planului de acţiuni în vederea realizării Memorandumului privind Politicile Economice şi Financiare aferente misiunii Fondului Monetar Internaţional, Acordului de Liber Schimb Aprofundat şi Comprehensiv cu Uniunea Europeană, altor programe şi strategii naţionale, acestea urmărind scopul armonizării legislaţiei naţionale privind impozitarea la ACQUIS-ul comunitar, sporirii veniturilor la buget şi simplificării administrării fiscale, relaxării agenţilor economici în aspect de desfăşurare a activităţii, reducerea presiunii fiscale a contribuabililor, îmbunătăţirea nivelului de trai al populaţiei, cît şi diminuării proporţiilor de evaziune fiscală şi vamală</w:t>
      </w:r>
      <w:r w:rsidR="002D2B3D">
        <w:rPr>
          <w:sz w:val="28"/>
          <w:szCs w:val="28"/>
        </w:rPr>
        <w:t xml:space="preserve">, </w:t>
      </w:r>
      <w:r w:rsidR="002D2B3D" w:rsidRPr="002D2B3D">
        <w:rPr>
          <w:sz w:val="28"/>
          <w:szCs w:val="28"/>
        </w:rPr>
        <w:t>consolidării şi eficientizării utilizării resurselor financiare publice.</w:t>
      </w:r>
    </w:p>
    <w:p w:rsidR="00207541" w:rsidRPr="004A108D" w:rsidRDefault="004A108D" w:rsidP="004A108D">
      <w:pPr>
        <w:tabs>
          <w:tab w:val="left" w:pos="1080"/>
        </w:tabs>
        <w:spacing w:line="360" w:lineRule="auto"/>
        <w:ind w:firstLine="720"/>
        <w:jc w:val="both"/>
        <w:rPr>
          <w:sz w:val="28"/>
          <w:szCs w:val="28"/>
          <w:lang w:val="ro-MO"/>
        </w:rPr>
      </w:pPr>
      <w:r w:rsidRPr="00D438B2">
        <w:rPr>
          <w:sz w:val="28"/>
          <w:szCs w:val="28"/>
          <w:lang w:val="ro-MO"/>
        </w:rPr>
        <w:t>Proiectul de lege respectiv nu necesită efectuarea expertizei compatibilității cu legislația comunitară, deoarece nu are ca scop direct armonizarea cadrului normativ național la cel comunitar.</w:t>
      </w:r>
    </w:p>
    <w:p w:rsidR="009A699A" w:rsidRPr="00C313C7" w:rsidRDefault="009A699A" w:rsidP="009A699A">
      <w:pPr>
        <w:pStyle w:val="a3"/>
        <w:tabs>
          <w:tab w:val="left" w:pos="1080"/>
        </w:tabs>
        <w:spacing w:line="360" w:lineRule="auto"/>
        <w:ind w:firstLine="720"/>
        <w:rPr>
          <w:b/>
          <w:i/>
          <w:sz w:val="28"/>
          <w:szCs w:val="28"/>
        </w:rPr>
      </w:pPr>
      <w:r w:rsidRPr="00C313C7">
        <w:rPr>
          <w:b/>
          <w:i/>
          <w:sz w:val="28"/>
          <w:szCs w:val="28"/>
        </w:rPr>
        <w:t>Principalele amendamente de ordin fiscal ce se conţin în acest set sunt următoarele.</w:t>
      </w:r>
    </w:p>
    <w:p w:rsidR="009A699A" w:rsidRPr="00C313C7" w:rsidRDefault="009A699A" w:rsidP="009A699A">
      <w:pPr>
        <w:numPr>
          <w:ilvl w:val="0"/>
          <w:numId w:val="1"/>
        </w:numPr>
        <w:tabs>
          <w:tab w:val="left" w:pos="1080"/>
        </w:tabs>
        <w:spacing w:line="360" w:lineRule="auto"/>
        <w:ind w:left="0" w:firstLine="720"/>
        <w:jc w:val="both"/>
        <w:rPr>
          <w:b/>
          <w:sz w:val="28"/>
          <w:szCs w:val="28"/>
        </w:rPr>
      </w:pPr>
      <w:r w:rsidRPr="00C313C7">
        <w:rPr>
          <w:b/>
          <w:sz w:val="28"/>
          <w:szCs w:val="28"/>
        </w:rPr>
        <w:t>Codul fiscal nr.1163-XIII din 24 aprilie 1997</w:t>
      </w:r>
    </w:p>
    <w:p w:rsidR="009A699A" w:rsidRPr="00C313C7" w:rsidRDefault="009A699A" w:rsidP="009A699A">
      <w:pPr>
        <w:tabs>
          <w:tab w:val="left" w:pos="329"/>
          <w:tab w:val="left" w:pos="432"/>
          <w:tab w:val="left" w:pos="1080"/>
        </w:tabs>
        <w:spacing w:line="360" w:lineRule="auto"/>
        <w:ind w:firstLine="720"/>
        <w:jc w:val="both"/>
        <w:rPr>
          <w:sz w:val="28"/>
          <w:szCs w:val="28"/>
        </w:rPr>
      </w:pPr>
      <w:r w:rsidRPr="00C313C7">
        <w:rPr>
          <w:sz w:val="28"/>
          <w:szCs w:val="28"/>
        </w:rPr>
        <w:t xml:space="preserve">La capitolul impozitul pe venitul persoanelor fizice se prevede majorarea tranşelor de venit impozabile, precum şi a scutirii anuale personale, scutirii anuale personale majore şi scutirii anuale pentru persoanele întreţinute, prin ajustarea acestora la rata inflaţiei prognozată pentru anul 2013 (5%). Măsura dată are drept scop susţinerea persoanelor fizice cu venituri mici şi transpunerea treptată a presiunii fiscale asupra populaţiei cu venituri medii şi mai sus de medii (costul </w:t>
      </w:r>
      <w:r w:rsidRPr="00C313C7">
        <w:rPr>
          <w:sz w:val="28"/>
          <w:szCs w:val="28"/>
        </w:rPr>
        <w:lastRenderedPageBreak/>
        <w:t xml:space="preserve">acestei măsuri va constitui </w:t>
      </w:r>
      <w:r w:rsidRPr="00C313C7">
        <w:rPr>
          <w:color w:val="000000"/>
          <w:sz w:val="28"/>
          <w:szCs w:val="28"/>
        </w:rPr>
        <w:t>+263 mil. lei, aceasta este datorată majorării fondului de retribuire a muncii</w:t>
      </w:r>
      <w:r w:rsidRPr="00C313C7">
        <w:rPr>
          <w:sz w:val="28"/>
          <w:szCs w:val="28"/>
        </w:rPr>
        <w:t>).</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 xml:space="preserve">O altă măsură ţine de modificarea regimului de impozitare a venitului obţinut sub formă de royalty prin stabilirea unei cote unice a impozitului pe venit în mărime de 12% pentru toate categoriile de contribuabili care obţin venit sub formă de royalty: persoane fizice – cetăţeni şi agenţi economici rezidenţi şi nerezidenţi ai Republicii Moldova. </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 xml:space="preserve">Totodată, pentru persoanele fizice-cetăţeni rezidenţi ai Republicii Moldova se propune introducerea reţinerii finale a impozitului la sursa de plată a venitului sub formă de royalty, ceea ce va exclude necesitatea depunerii de către această categorie de contribuabili a declaraţiei cu privire la impozitul pe venit  în cazul obţinerii unor astfel de venituri. </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De asemenea, se prevede anularea reţinerii prealabile a impozitului la sursa de plată a venitului obţinut sub formă de royalty pentru agenţii economici rezidenţi, dat fiind faptul că acesta urmează a fi inclus în venitul brut al agentului economic şi impozitat conform normelor general stabilite, la cota de 12%.</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Modificările date  au drept scop simplificarea administrării fiscale şi prevenirea schemelor de evaziune fiscală.</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 xml:space="preserve">În partea ce ţine de TVA, se prevede anularea scutirii de TVA, de rînd cu taxa vamală, la mijloacele fixe depuse în capitalul social al agenţilor economici în contextul extinderii, începînd cu 01 ianuarie 2012, a mecanismului de restituire a TVA pentru investiţiile capitale efectuate în mun. Chişinău şi Bălţi, precum şi în scopul simplificării administrării fiscale şi vamale (costul acestei măsuri va constitui </w:t>
      </w:r>
      <w:r w:rsidRPr="00C313C7">
        <w:rPr>
          <w:color w:val="000000"/>
          <w:sz w:val="28"/>
          <w:szCs w:val="28"/>
        </w:rPr>
        <w:t>+200 mil. lei).</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De asemenea, se propune extinderea scutirii de TVA pentru operaţiile legate de circulaţia valutei, mijloacelor băneşti, bancnotelor, care constituie un mijloc legal de plată în cazul utilizării acestora în scopuri numismatice, cu scopul</w:t>
      </w:r>
      <w:r w:rsidRPr="00C313C7">
        <w:rPr>
          <w:sz w:val="28"/>
          <w:szCs w:val="28"/>
          <w:lang w:eastAsia="en-US"/>
        </w:rPr>
        <w:t xml:space="preserve"> evitării problemelor de administrare fiscală în partea ce ţine de delimitarea mijloacelor băneşti care constituie în acelaşi timp mijloc de plată legal şi totodată fiind utilizate şi în scopuri numismatice.</w:t>
      </w:r>
    </w:p>
    <w:p w:rsidR="004A108D" w:rsidRPr="00D438B2" w:rsidRDefault="009A699A" w:rsidP="004A108D">
      <w:pPr>
        <w:tabs>
          <w:tab w:val="left" w:pos="1080"/>
        </w:tabs>
        <w:spacing w:line="360" w:lineRule="auto"/>
        <w:ind w:firstLine="720"/>
        <w:jc w:val="both"/>
        <w:rPr>
          <w:sz w:val="28"/>
          <w:szCs w:val="28"/>
          <w:lang w:val="ro-MO"/>
        </w:rPr>
      </w:pPr>
      <w:r w:rsidRPr="00C313C7">
        <w:rPr>
          <w:i/>
          <w:sz w:val="28"/>
          <w:szCs w:val="28"/>
        </w:rPr>
        <w:lastRenderedPageBreak/>
        <w:t xml:space="preserve"> </w:t>
      </w:r>
      <w:r w:rsidR="004A108D" w:rsidRPr="00D438B2">
        <w:rPr>
          <w:sz w:val="28"/>
          <w:szCs w:val="28"/>
          <w:lang w:val="ro-MO"/>
        </w:rPr>
        <w:t>Totodată, se prevede introducerea cotei standard a TVA de 20% pentru producţia agricolă primară în schimbul cotei reduse a TVA de 8%, cu restituirea directă a diferenței dintre 20% și 8% din veniturile bugetului de stat în vederea evitării distorsionării sistemului general de impozitare, simplificării administrării fiscale şi susţinerii producătorilor agricoli. TVA urmează a fi restituit în modul stabilit de Guvern, într-un termen ce nu va depăşi 45 de zile.</w:t>
      </w:r>
    </w:p>
    <w:p w:rsidR="004A108D" w:rsidRPr="00616AE1" w:rsidRDefault="004A108D" w:rsidP="004A108D">
      <w:pPr>
        <w:tabs>
          <w:tab w:val="left" w:pos="1080"/>
        </w:tabs>
        <w:spacing w:line="360" w:lineRule="auto"/>
        <w:ind w:firstLine="720"/>
        <w:jc w:val="both"/>
        <w:rPr>
          <w:sz w:val="28"/>
          <w:szCs w:val="28"/>
          <w:lang w:val="ro-MO"/>
        </w:rPr>
      </w:pPr>
      <w:r w:rsidRPr="00D438B2">
        <w:rPr>
          <w:sz w:val="28"/>
          <w:szCs w:val="28"/>
          <w:lang w:val="ro-MO"/>
        </w:rPr>
        <w:t>În partea ce ține de aplicarea sancțiunilor pentru nerespectarea legislației fiscale și a termenelor de executare la achitarea și restituirea TVA, urmează a fi aplicate cele existente la moment.</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 xml:space="preserve">Concomitent, se prevede majorarea cotei reduse a TVA pentru gazele naturale şi gazele lichefiate de la 6% la 8%, în vederea acumulării veniturilor suplimentare la buget, precum şi aplicarea unei singure cote reduse a TVA, ceea ce ar simplifica şi administrarea fiscală (costul acestei măsuri va constitui </w:t>
      </w:r>
      <w:r w:rsidRPr="00C313C7">
        <w:rPr>
          <w:color w:val="000000"/>
          <w:sz w:val="28"/>
          <w:szCs w:val="28"/>
        </w:rPr>
        <w:t>+91 mil. lei</w:t>
      </w:r>
      <w:r w:rsidRPr="00C313C7">
        <w:rPr>
          <w:sz w:val="28"/>
          <w:szCs w:val="28"/>
        </w:rPr>
        <w:t>).</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În acest context, menţionăm că, la momentul actual se încalcă principiul echităţii fiscale pentru beneficiarii finali ce procură alte mărfuri şi servicii cu caracter social în comparaţie cu cei ce procură gazele naturale şi gazele lichefiate, şi anume, prin aplicarea cotei reduse a TVA de 6% doar pentru gazele naturale şi gazele lichefiate, pentru celelalte mărfuri şi servicii cu caracter social aplicîndu-se cota redusă a TVA de 8%.</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La capitolul accize se prevede</w:t>
      </w:r>
      <w:r w:rsidRPr="00C313C7">
        <w:rPr>
          <w:i/>
          <w:sz w:val="28"/>
          <w:szCs w:val="28"/>
        </w:rPr>
        <w:t xml:space="preserve"> </w:t>
      </w:r>
      <w:r w:rsidRPr="00C313C7">
        <w:rPr>
          <w:sz w:val="28"/>
          <w:szCs w:val="28"/>
        </w:rPr>
        <w:t xml:space="preserve">majorarea cotelor accizelor stabilite în sume fixe, prin ajustarea acestora la rata inflaţiei (5%) prognozată pentru anul 2013 (costul acestei măsuri va constitui </w:t>
      </w:r>
      <w:r w:rsidRPr="00C313C7">
        <w:rPr>
          <w:color w:val="000000"/>
          <w:sz w:val="28"/>
          <w:szCs w:val="28"/>
        </w:rPr>
        <w:t>+92,6 mil. lei</w:t>
      </w:r>
      <w:r w:rsidRPr="00C313C7">
        <w:rPr>
          <w:sz w:val="28"/>
          <w:szCs w:val="28"/>
        </w:rPr>
        <w:t>).</w:t>
      </w:r>
    </w:p>
    <w:p w:rsidR="009A699A" w:rsidRPr="00C313C7" w:rsidRDefault="009A699A" w:rsidP="009A699A">
      <w:pPr>
        <w:pStyle w:val="a3"/>
        <w:tabs>
          <w:tab w:val="left" w:pos="1080"/>
        </w:tabs>
        <w:spacing w:line="360" w:lineRule="auto"/>
        <w:ind w:firstLine="720"/>
        <w:rPr>
          <w:sz w:val="28"/>
          <w:szCs w:val="28"/>
        </w:rPr>
      </w:pPr>
      <w:r w:rsidRPr="00C313C7">
        <w:rPr>
          <w:sz w:val="28"/>
          <w:szCs w:val="28"/>
        </w:rPr>
        <w:t xml:space="preserve">Pe lîngă acestea, se prevede modificarea cotei accizului la articole din tutun, în vederea ajustării graduale a acestora la nivelul ţărilor din regiune, inclusiv a celor europene, fapt ce va permite acumularea de noi surse financiare la buget, precum şi diminuarea consumului articolelor din tutun, mărfuri ce au o influenţă negativă asupra sănătăţii populaţiei şi a dezvoltării societăţii în general (costul acestei măsuri va constitui </w:t>
      </w:r>
      <w:r w:rsidRPr="00C313C7">
        <w:rPr>
          <w:color w:val="000000"/>
          <w:sz w:val="28"/>
          <w:szCs w:val="28"/>
        </w:rPr>
        <w:t>+150 mil. lei)</w:t>
      </w:r>
      <w:r w:rsidRPr="00C313C7">
        <w:rPr>
          <w:sz w:val="28"/>
          <w:szCs w:val="28"/>
        </w:rPr>
        <w:t xml:space="preserve">. </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 xml:space="preserve">Paralel cu aceasta, se prevede </w:t>
      </w:r>
      <w:r w:rsidRPr="00C313C7">
        <w:rPr>
          <w:color w:val="000000"/>
          <w:sz w:val="28"/>
          <w:szCs w:val="28"/>
        </w:rPr>
        <w:t xml:space="preserve">modificarea mărimii şi structurii cotei accizului la </w:t>
      </w:r>
      <w:r w:rsidRPr="00C313C7">
        <w:rPr>
          <w:sz w:val="28"/>
          <w:szCs w:val="28"/>
        </w:rPr>
        <w:t xml:space="preserve">alcoolul etilic nedenaturat cu o concentraţie alcoolică de pînă la/mai </w:t>
      </w:r>
      <w:r w:rsidRPr="00C313C7">
        <w:rPr>
          <w:sz w:val="28"/>
          <w:szCs w:val="28"/>
        </w:rPr>
        <w:lastRenderedPageBreak/>
        <w:t>mult de 80% volum (poziţiile tarifare 2207, 2208), alte băuturi alcoolice (poziţiile tarifare 2205, 220600) avînd la bază sistemul european de impunere în vederea armonizării treptate a cotelor accizelor pentru producţia alcoolică la cele europene, precum şi asigurarea cu surse financiare a BPN, excluderea comerţului ilicit cu astfel de mărfuri.</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Tot la capitolul accize, în contextul majorării cenzului de vîrstă pentru autoturisme de la 7 la 10 ani, se propune pentru autoturismele cu termenul de exploatare mai mare de 7 ani majorarea cotelor accizului cu 5% pentru fiecare an de exploatare ce depăşeşte 7 ani. Această modificare va permite instituirea unui mecanism stimulator la importul autoturismelor noi sau a celor cu un impact mai puţin negativ asupra mediului ambiant.</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În acelaşi context, paralel se propune extinderea cotelor suplimentare ale accizului şi pentru autoturismele cu termenul de exploatare între 7 şi 10 ani.</w:t>
      </w:r>
    </w:p>
    <w:p w:rsidR="009A699A" w:rsidRPr="00C313C7" w:rsidRDefault="009A699A" w:rsidP="009A699A">
      <w:pPr>
        <w:pStyle w:val="a3"/>
        <w:tabs>
          <w:tab w:val="left" w:pos="1080"/>
        </w:tabs>
        <w:spacing w:line="360" w:lineRule="auto"/>
        <w:ind w:firstLine="720"/>
        <w:rPr>
          <w:sz w:val="28"/>
          <w:szCs w:val="28"/>
        </w:rPr>
      </w:pPr>
      <w:r w:rsidRPr="00C313C7">
        <w:rPr>
          <w:sz w:val="28"/>
          <w:szCs w:val="28"/>
        </w:rPr>
        <w:t>Întru executarea Art.XLII din Legea pentru modificarea şi completarea unor acte legislative nr.267 din 23 decembrie 2011, prin intermediul căreia Codul fiscal a fost completat cu capitolul 11</w:t>
      </w:r>
      <w:r w:rsidRPr="00C313C7">
        <w:rPr>
          <w:sz w:val="28"/>
          <w:szCs w:val="28"/>
          <w:vertAlign w:val="superscript"/>
        </w:rPr>
        <w:t xml:space="preserve">1 </w:t>
      </w:r>
      <w:r w:rsidRPr="00C313C7">
        <w:rPr>
          <w:sz w:val="28"/>
          <w:szCs w:val="28"/>
        </w:rPr>
        <w:t>„Metodele indirecte de estimare a venitului impozabil al persoanelor fizice”, Parlamentul a obligat Guvernul să prezinte mecanismul de aplicare a metodelor şi surselor indirecte de estimare a obligaţiei fiscale privind impozitul pe venit. Drept urmare, scopul prezentei propuneri ţine de completarea capitolul 11</w:t>
      </w:r>
      <w:r w:rsidRPr="00C313C7">
        <w:rPr>
          <w:sz w:val="28"/>
          <w:szCs w:val="28"/>
          <w:vertAlign w:val="superscript"/>
        </w:rPr>
        <w:t>1</w:t>
      </w:r>
      <w:r w:rsidRPr="00C313C7">
        <w:rPr>
          <w:sz w:val="28"/>
          <w:szCs w:val="28"/>
        </w:rPr>
        <w:t xml:space="preserve"> din Codul Fiscal cu mecanismul de aplicare a metodelor şi surselor indirecte de estimare a obligaţiei fiscale privind impozitul pe venit.</w:t>
      </w:r>
    </w:p>
    <w:p w:rsidR="009A699A" w:rsidRPr="00C313C7" w:rsidRDefault="00F10737" w:rsidP="009A699A">
      <w:pPr>
        <w:tabs>
          <w:tab w:val="left" w:pos="1080"/>
        </w:tabs>
        <w:spacing w:line="360" w:lineRule="auto"/>
        <w:ind w:firstLine="720"/>
        <w:jc w:val="both"/>
        <w:rPr>
          <w:sz w:val="28"/>
          <w:szCs w:val="28"/>
        </w:rPr>
      </w:pPr>
      <w:r>
        <w:rPr>
          <w:sz w:val="28"/>
          <w:szCs w:val="28"/>
        </w:rPr>
        <w:t>P</w:t>
      </w:r>
      <w:r w:rsidR="009A699A" w:rsidRPr="00C313C7">
        <w:rPr>
          <w:sz w:val="28"/>
          <w:szCs w:val="28"/>
        </w:rPr>
        <w:t>ropunerea dată completează normele existente, astfel creînd un mecanism clar şi funcţional de utilizare a metodelor şi surselor indirecte de estimare a veniturilor impozabile ale persoanelor fizice.</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 xml:space="preserve">Principalele principii care au stat la baza mecanismului propus ţin de legalitate, responsabilitate, semnificaţie, transparenţă şi integritate. </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Aplicarea mecanismului nu prevede surse financiare semnificative şi suplimentare celor alocate pentru administrarea fiscală în general.</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 xml:space="preserve">Concomitent, proiectul conţine completări la </w:t>
      </w:r>
      <w:r w:rsidRPr="00C313C7">
        <w:rPr>
          <w:b/>
          <w:sz w:val="28"/>
          <w:szCs w:val="28"/>
        </w:rPr>
        <w:t>Legea instituţiilor financiare</w:t>
      </w:r>
      <w:r w:rsidRPr="00C313C7">
        <w:rPr>
          <w:sz w:val="28"/>
          <w:szCs w:val="28"/>
        </w:rPr>
        <w:t xml:space="preserve">  </w:t>
      </w:r>
      <w:r w:rsidRPr="00C313C7">
        <w:rPr>
          <w:b/>
          <w:sz w:val="28"/>
          <w:szCs w:val="28"/>
        </w:rPr>
        <w:t>nr.550-XIII din 21 iulie 1995</w:t>
      </w:r>
      <w:r w:rsidRPr="00C313C7">
        <w:rPr>
          <w:sz w:val="28"/>
          <w:szCs w:val="28"/>
        </w:rPr>
        <w:t xml:space="preserve"> şi </w:t>
      </w:r>
      <w:r w:rsidRPr="00C313C7">
        <w:rPr>
          <w:b/>
          <w:sz w:val="28"/>
          <w:szCs w:val="28"/>
        </w:rPr>
        <w:t>Legea cu privire la notariat</w:t>
      </w:r>
      <w:r w:rsidRPr="00C313C7">
        <w:rPr>
          <w:sz w:val="28"/>
          <w:szCs w:val="28"/>
        </w:rPr>
        <w:t xml:space="preserve"> </w:t>
      </w:r>
      <w:r w:rsidRPr="00C313C7">
        <w:rPr>
          <w:b/>
          <w:sz w:val="28"/>
          <w:szCs w:val="28"/>
        </w:rPr>
        <w:t xml:space="preserve">nr.1453-XV din  08 noiembrie 2002, </w:t>
      </w:r>
      <w:r w:rsidRPr="00C313C7">
        <w:rPr>
          <w:sz w:val="28"/>
          <w:szCs w:val="28"/>
        </w:rPr>
        <w:t xml:space="preserve">care au ca scop aducerea în concordanţă a acestora cu Codul </w:t>
      </w:r>
      <w:r w:rsidRPr="00C313C7">
        <w:rPr>
          <w:sz w:val="28"/>
          <w:szCs w:val="28"/>
        </w:rPr>
        <w:lastRenderedPageBreak/>
        <w:t>fiscal în partea ce ţine de prezentarea informaţiei necesare aplicării metodelor şi surselor indirecte de estimare a obligaţiunilor privind impozitul pe venit.</w:t>
      </w:r>
    </w:p>
    <w:p w:rsidR="009A699A" w:rsidRPr="00C313C7" w:rsidRDefault="009A699A" w:rsidP="009A699A">
      <w:pPr>
        <w:numPr>
          <w:ilvl w:val="0"/>
          <w:numId w:val="1"/>
        </w:numPr>
        <w:tabs>
          <w:tab w:val="left" w:pos="1080"/>
          <w:tab w:val="left" w:pos="1170"/>
        </w:tabs>
        <w:spacing w:before="240" w:line="360" w:lineRule="auto"/>
        <w:ind w:left="0" w:firstLine="720"/>
        <w:jc w:val="both"/>
        <w:rPr>
          <w:b/>
          <w:sz w:val="28"/>
          <w:szCs w:val="28"/>
        </w:rPr>
      </w:pPr>
      <w:r w:rsidRPr="00C313C7">
        <w:rPr>
          <w:b/>
          <w:sz w:val="28"/>
          <w:szCs w:val="28"/>
        </w:rPr>
        <w:t>Legea</w:t>
      </w:r>
      <w:r w:rsidRPr="00C313C7">
        <w:rPr>
          <w:b/>
          <w:bCs/>
          <w:sz w:val="28"/>
          <w:szCs w:val="28"/>
        </w:rPr>
        <w:t xml:space="preserve"> pentru punerea în aplicare a titlului III al Codului fiscal nr.1417-XIII din 17 decembrie 1997</w:t>
      </w:r>
    </w:p>
    <w:p w:rsidR="009A699A" w:rsidRPr="00C313C7" w:rsidRDefault="009A699A" w:rsidP="009A699A">
      <w:pPr>
        <w:tabs>
          <w:tab w:val="left" w:pos="1170"/>
        </w:tabs>
        <w:spacing w:line="360" w:lineRule="auto"/>
        <w:ind w:firstLine="720"/>
        <w:jc w:val="both"/>
        <w:rPr>
          <w:sz w:val="28"/>
          <w:szCs w:val="28"/>
        </w:rPr>
      </w:pPr>
      <w:r w:rsidRPr="00C313C7">
        <w:rPr>
          <w:sz w:val="28"/>
          <w:szCs w:val="28"/>
        </w:rPr>
        <w:t>În vederea concretizării modului de aplicare a scutirii de vărsarea la buget a TVA pentru mărfurile produse şi serviciile prestate de întreprinderile penitenciarelor, organizaţiile şi întreprinderile societăţilor orbilor, societăţilor surzilor şi societăţilor invalizilor, se propune instituirea listei întreprinderilor/organizaţiilor ce vor cădea sub incidenţa scutirii menţionate şi care urmează a fi aprobată de Guvern.</w:t>
      </w:r>
    </w:p>
    <w:p w:rsidR="009A699A" w:rsidRPr="00C313C7" w:rsidRDefault="009A699A" w:rsidP="009A699A">
      <w:pPr>
        <w:tabs>
          <w:tab w:val="left" w:pos="1170"/>
        </w:tabs>
        <w:spacing w:line="360" w:lineRule="auto"/>
        <w:ind w:firstLine="720"/>
        <w:jc w:val="both"/>
        <w:rPr>
          <w:b/>
          <w:sz w:val="28"/>
          <w:szCs w:val="28"/>
        </w:rPr>
      </w:pPr>
      <w:r w:rsidRPr="00C313C7">
        <w:rPr>
          <w:sz w:val="28"/>
          <w:szCs w:val="28"/>
        </w:rPr>
        <w:t>Această modificare va permite o administrare mai eficientă a scutirii în cauză.</w:t>
      </w:r>
    </w:p>
    <w:p w:rsidR="009A699A" w:rsidRPr="00C313C7" w:rsidRDefault="009A699A" w:rsidP="009A699A">
      <w:pPr>
        <w:numPr>
          <w:ilvl w:val="0"/>
          <w:numId w:val="1"/>
        </w:numPr>
        <w:tabs>
          <w:tab w:val="left" w:pos="1080"/>
        </w:tabs>
        <w:spacing w:before="240" w:line="360" w:lineRule="auto"/>
        <w:ind w:left="0" w:firstLine="720"/>
        <w:jc w:val="both"/>
        <w:rPr>
          <w:b/>
          <w:i/>
          <w:sz w:val="28"/>
          <w:szCs w:val="28"/>
        </w:rPr>
      </w:pPr>
      <w:r w:rsidRPr="00C313C7">
        <w:rPr>
          <w:b/>
          <w:sz w:val="28"/>
          <w:szCs w:val="28"/>
        </w:rPr>
        <w:t>Legea pentru punerea în aplicare a titlului VI al Codului fiscal nr.1056-XIV din 16 iunie 2000</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Se prevede prelungirea termenului de implementare a următoarei etape a noului sistem de impozitare a bunurilor imobiliare la valoarea de piaţă reieşind din proiectul Obiectivele politicii fiscale şi vamale pe termenul mediu 2013-2015, şi anume, pentru bunurile imobiliare cu destinaţie locativă – apartamente şi case de locuit individuale din localităţile rurale; b</w:t>
      </w:r>
      <w:r w:rsidRPr="00C313C7">
        <w:rPr>
          <w:bCs/>
          <w:iCs/>
          <w:sz w:val="28"/>
          <w:szCs w:val="28"/>
        </w:rPr>
        <w:t>unurile imobiliare cu destinaţie agricolă</w:t>
      </w:r>
      <w:r w:rsidRPr="00C313C7">
        <w:rPr>
          <w:sz w:val="28"/>
          <w:szCs w:val="28"/>
        </w:rPr>
        <w:t xml:space="preserve"> – grădini din extravilan  şi bunurile imobiliare care nu au fost evaluate de către organele cadastrale teritoriale conform valorii estimate, în baza valorii de piaţă.</w:t>
      </w:r>
    </w:p>
    <w:p w:rsidR="009A699A" w:rsidRPr="00C313C7" w:rsidRDefault="009A699A" w:rsidP="009A699A">
      <w:pPr>
        <w:tabs>
          <w:tab w:val="left" w:pos="1080"/>
        </w:tabs>
        <w:spacing w:before="240" w:line="360" w:lineRule="auto"/>
        <w:ind w:firstLine="720"/>
        <w:jc w:val="both"/>
        <w:rPr>
          <w:b/>
          <w:i/>
          <w:sz w:val="28"/>
          <w:szCs w:val="28"/>
        </w:rPr>
      </w:pPr>
      <w:r w:rsidRPr="00C313C7">
        <w:rPr>
          <w:sz w:val="28"/>
          <w:szCs w:val="28"/>
        </w:rPr>
        <w:t xml:space="preserve"> </w:t>
      </w:r>
      <w:r w:rsidRPr="00C313C7">
        <w:rPr>
          <w:b/>
          <w:i/>
          <w:sz w:val="28"/>
          <w:szCs w:val="28"/>
        </w:rPr>
        <w:t>Principalele amendamente de ordin vamal ce se conţin în acest set sunt următoarele.</w:t>
      </w:r>
    </w:p>
    <w:p w:rsidR="009A699A" w:rsidRPr="00C313C7" w:rsidRDefault="009A699A" w:rsidP="009A699A">
      <w:pPr>
        <w:pStyle w:val="a3"/>
        <w:numPr>
          <w:ilvl w:val="0"/>
          <w:numId w:val="2"/>
        </w:numPr>
        <w:tabs>
          <w:tab w:val="left" w:pos="1080"/>
        </w:tabs>
        <w:spacing w:line="360" w:lineRule="auto"/>
        <w:ind w:left="0" w:firstLine="720"/>
        <w:rPr>
          <w:b/>
          <w:sz w:val="28"/>
          <w:szCs w:val="28"/>
        </w:rPr>
      </w:pPr>
      <w:r w:rsidRPr="00C313C7">
        <w:rPr>
          <w:b/>
          <w:sz w:val="28"/>
          <w:szCs w:val="28"/>
        </w:rPr>
        <w:t>Legea cu privire la tariful vamal nr.1380-XIII din 20 noiembrie 1997</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 xml:space="preserve">La capitolul taxa vamală se prevede anularea scutirii de taxa vamală, de rînd cu TVA, la importul mijloacelor fixe depuse în capitalul social al agentului economic, deoarece legislaţia vamală în vigoare stabileşte cota taxei vamale de 0% (zero) practic pentru toate mijloacele fixe importate, precum şi în contextul existenţei acordurilor internaţionale, cum ar fi Acordul referitor la condiţiile </w:t>
      </w:r>
      <w:r w:rsidRPr="00C313C7">
        <w:rPr>
          <w:sz w:val="28"/>
          <w:szCs w:val="28"/>
        </w:rPr>
        <w:lastRenderedPageBreak/>
        <w:t xml:space="preserve">generale şi mecanismul de susţinere a dezvoltării cooperaţiei de producţie a întreprinderilor şi ramurilor statelor membre ale Comunităţii Statelor Independente (CSI), Acordul de Comerţ Liber cu CSI şi Acordul Central European de Comerţ Liber (CEFTA), în baza cărora la importul mijloacelor fixe taxa vamală nu se percepe (costul acestei măsuri va constitui +13,3 mil.lei). </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Pe lîngă aceasta, se prevede majorarea cotei taxei vamale la importul unor produse din materiale plastice şi articole din acestea (capsule şi dopuri pentru astupare, foi, folii, benzi, panglici, pelicule şi lame din polimeri de propilenă), alte grăsimi şi uleiuri vegetale şi fracţiunile lor şi la unele produse ale industriei chimice în vederea racordării acestora la cerinţele OMC, adică la nivelul minim al cotei taxei vamale negociat</w:t>
      </w:r>
      <w:r w:rsidR="004A108D">
        <w:rPr>
          <w:sz w:val="28"/>
          <w:szCs w:val="28"/>
        </w:rPr>
        <w:t xml:space="preserve">, </w:t>
      </w:r>
      <w:r w:rsidR="004A108D" w:rsidRPr="00D438B2">
        <w:rPr>
          <w:sz w:val="28"/>
          <w:szCs w:val="28"/>
          <w:lang w:val="ro-MO"/>
        </w:rPr>
        <w:t xml:space="preserve">cît şi stabilirea cotei zero a taxei vamale la importul </w:t>
      </w:r>
      <w:r w:rsidR="00B85AC0">
        <w:rPr>
          <w:sz w:val="28"/>
          <w:szCs w:val="28"/>
          <w:lang w:val="ro-MO"/>
        </w:rPr>
        <w:t xml:space="preserve">hîrtiei și cartoanelor </w:t>
      </w:r>
      <w:r w:rsidR="004A108D" w:rsidRPr="00D438B2">
        <w:rPr>
          <w:sz w:val="28"/>
          <w:szCs w:val="28"/>
          <w:lang w:val="ro-MO"/>
        </w:rPr>
        <w:t>utilizate în procesul de producţie a mărfurilor autohtone.</w:t>
      </w:r>
    </w:p>
    <w:p w:rsidR="009A699A" w:rsidRPr="00C313C7" w:rsidRDefault="009A699A" w:rsidP="009A699A">
      <w:pPr>
        <w:numPr>
          <w:ilvl w:val="0"/>
          <w:numId w:val="2"/>
        </w:numPr>
        <w:tabs>
          <w:tab w:val="left" w:pos="1080"/>
        </w:tabs>
        <w:spacing w:before="240" w:line="360" w:lineRule="auto"/>
        <w:ind w:left="0" w:firstLine="720"/>
        <w:jc w:val="both"/>
        <w:rPr>
          <w:b/>
          <w:sz w:val="28"/>
          <w:szCs w:val="28"/>
        </w:rPr>
      </w:pPr>
      <w:r w:rsidRPr="00C313C7">
        <w:rPr>
          <w:b/>
          <w:sz w:val="28"/>
          <w:szCs w:val="28"/>
        </w:rPr>
        <w:t>Codul vamal al Republicii Moldova nr.1149-XIV din 20 iulie 2000</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La capitolul respectiv, se prevede majorarea cenzului de vîrstă de la 7 la 10 ani la importul autoturismelor de la poziţia tarifară 8703 şi a autovehiculelor concepute pentru transportul a maximum 20 de persoane clasificate la poziţia tarifară 8702, în vederea acumulării de resurse suplimentare la buget, oferirii posibilităţii persoanelor fizice de a procura autovehicule la un preţ mai accesibil, cît şi în vederea înlocuirii parcului de autovehicule mai vechi de 10 ani.</w:t>
      </w:r>
    </w:p>
    <w:p w:rsidR="009A699A" w:rsidRPr="00C313C7" w:rsidRDefault="009A699A" w:rsidP="009A699A">
      <w:pPr>
        <w:tabs>
          <w:tab w:val="left" w:pos="1080"/>
        </w:tabs>
        <w:spacing w:line="360" w:lineRule="auto"/>
        <w:ind w:firstLine="720"/>
        <w:jc w:val="both"/>
        <w:rPr>
          <w:sz w:val="28"/>
          <w:szCs w:val="28"/>
        </w:rPr>
      </w:pPr>
      <w:r w:rsidRPr="00C313C7">
        <w:rPr>
          <w:sz w:val="28"/>
          <w:szCs w:val="28"/>
        </w:rPr>
        <w:t>În partea ce ţine de termenul de aflare sub regimul vamal de admitere temporară a mărfurilor plasate în baza unui contract de leasing financiar şi operaţional, se prevede micşorarea acestuia în vederea întăririi competitivităţii agenţilor economici autohtoni în raport cu cei internaţionali ce desfăşoară activitate de leasing, creării condiţiilor juste şi echitabile între leasingul internaţional şi naţional precum şi acumulării de noi resurse băneşti la bugetul public naţional. Totodată, se permite majorarea termenului de aflare sub regim vamal de admitere temporară în cazul în care valoarea contractului va depăşi 2000000 euro, astfel încurajînd investiţiile în active cu o valoare mare, mai ales în cazul aeronavelor şi navelor maritime, obiecte care sunt foarte costisitoare şi care de regulă se procură în leasing internaţional direct din străinătate.</w:t>
      </w:r>
    </w:p>
    <w:p w:rsidR="009A699A" w:rsidRPr="00C313C7" w:rsidRDefault="009A699A" w:rsidP="009A699A">
      <w:pPr>
        <w:tabs>
          <w:tab w:val="left" w:pos="1080"/>
        </w:tabs>
        <w:autoSpaceDE w:val="0"/>
        <w:autoSpaceDN w:val="0"/>
        <w:spacing w:line="360" w:lineRule="auto"/>
        <w:ind w:firstLine="720"/>
        <w:jc w:val="both"/>
        <w:rPr>
          <w:sz w:val="28"/>
          <w:szCs w:val="28"/>
        </w:rPr>
      </w:pPr>
      <w:r w:rsidRPr="00C313C7">
        <w:rPr>
          <w:sz w:val="28"/>
          <w:szCs w:val="28"/>
        </w:rPr>
        <w:lastRenderedPageBreak/>
        <w:t>Pe lîngă aceasta, se prevede majorarea bazei de calcul a drepturilor de import la expirarea contractului de leasing în cazul punerii în liberă circulaţie a unui obiect al leasingului.</w:t>
      </w:r>
    </w:p>
    <w:p w:rsidR="009A699A" w:rsidRPr="00C313C7" w:rsidRDefault="009A699A" w:rsidP="009A699A">
      <w:pPr>
        <w:pStyle w:val="a3"/>
        <w:tabs>
          <w:tab w:val="left" w:pos="1080"/>
        </w:tabs>
        <w:spacing w:before="240" w:line="360" w:lineRule="auto"/>
        <w:ind w:firstLine="720"/>
        <w:rPr>
          <w:b/>
          <w:i/>
          <w:sz w:val="28"/>
          <w:szCs w:val="28"/>
        </w:rPr>
      </w:pPr>
      <w:r w:rsidRPr="00C313C7">
        <w:rPr>
          <w:b/>
          <w:i/>
          <w:sz w:val="28"/>
          <w:szCs w:val="28"/>
        </w:rPr>
        <w:t>Alte amendamente de ordin fiscal ale cadrului legal sunt următoarele.</w:t>
      </w:r>
    </w:p>
    <w:p w:rsidR="009A699A" w:rsidRPr="00C313C7" w:rsidRDefault="009A699A" w:rsidP="009A699A">
      <w:pPr>
        <w:pStyle w:val="a3"/>
        <w:numPr>
          <w:ilvl w:val="0"/>
          <w:numId w:val="3"/>
        </w:numPr>
        <w:tabs>
          <w:tab w:val="left" w:pos="1080"/>
        </w:tabs>
        <w:spacing w:line="360" w:lineRule="auto"/>
        <w:ind w:left="0" w:firstLine="720"/>
        <w:rPr>
          <w:b/>
          <w:sz w:val="28"/>
          <w:szCs w:val="28"/>
        </w:rPr>
      </w:pPr>
      <w:r w:rsidRPr="00C313C7">
        <w:rPr>
          <w:b/>
          <w:sz w:val="28"/>
          <w:szCs w:val="28"/>
        </w:rPr>
        <w:t>Legea cu privire la patenta de întreprinzător nr.93-XIV din 15 iulie 1998</w:t>
      </w:r>
    </w:p>
    <w:p w:rsidR="009A699A" w:rsidRPr="00C313C7" w:rsidRDefault="009A699A" w:rsidP="009A699A">
      <w:pPr>
        <w:tabs>
          <w:tab w:val="left" w:pos="1080"/>
        </w:tabs>
        <w:autoSpaceDE w:val="0"/>
        <w:autoSpaceDN w:val="0"/>
        <w:adjustRightInd w:val="0"/>
        <w:spacing w:line="360" w:lineRule="auto"/>
        <w:ind w:firstLine="720"/>
        <w:jc w:val="both"/>
        <w:rPr>
          <w:sz w:val="28"/>
          <w:szCs w:val="28"/>
        </w:rPr>
      </w:pPr>
      <w:r w:rsidRPr="00C313C7">
        <w:rPr>
          <w:sz w:val="28"/>
          <w:szCs w:val="28"/>
        </w:rPr>
        <w:t>În partea ce ţine de aplicarea patentei de întreprinzător, se prevede introducerea limitei veniturilor din vînzări ale titularului patentei de întreprinzător în mărimea de 100 mii lei într-o perioadă de 12 luni consecutive, în vederea contracarării schemelor de evaziune fiscală, precum şi, stimularea trecerii persoanelor fizice – deţinători de patente, odată cu dezvoltarea activităţii, la o anumită formă organizatorico-juridică stabilită de lege, prin stabilirea limitei veniturilor din vînzări în mărime de 100 mii lei, ce pot fi obţinuţi de aceştia într-o perioadă de 12 luni consecutive, mărime stabilită avînd drept bază plafonul de înregistrare benevolă în calitate de contribuabil al TVA de 100 mii lei.</w:t>
      </w:r>
    </w:p>
    <w:p w:rsidR="009A699A" w:rsidRPr="00C313C7" w:rsidRDefault="009A699A" w:rsidP="009A699A">
      <w:pPr>
        <w:tabs>
          <w:tab w:val="left" w:pos="1080"/>
        </w:tabs>
        <w:autoSpaceDE w:val="0"/>
        <w:autoSpaceDN w:val="0"/>
        <w:adjustRightInd w:val="0"/>
        <w:spacing w:line="360" w:lineRule="auto"/>
        <w:ind w:firstLine="720"/>
        <w:jc w:val="both"/>
        <w:rPr>
          <w:sz w:val="28"/>
          <w:szCs w:val="28"/>
        </w:rPr>
      </w:pPr>
      <w:r w:rsidRPr="00C313C7">
        <w:rPr>
          <w:sz w:val="28"/>
          <w:szCs w:val="28"/>
        </w:rPr>
        <w:t>Suplimentar menţionăm că, la momentul actual, plafonul veniturilor din vînzări pentru persoanele fizice – deţinători de patente ce se ocupă cu comerţul cu amănuntul este stabilit în mărime de 300 mii lei.</w:t>
      </w:r>
    </w:p>
    <w:p w:rsidR="009A699A" w:rsidRPr="00C313C7" w:rsidRDefault="009A699A" w:rsidP="009A699A">
      <w:pPr>
        <w:tabs>
          <w:tab w:val="left" w:pos="1080"/>
        </w:tabs>
        <w:autoSpaceDE w:val="0"/>
        <w:autoSpaceDN w:val="0"/>
        <w:adjustRightInd w:val="0"/>
        <w:spacing w:line="360" w:lineRule="auto"/>
        <w:ind w:firstLine="720"/>
        <w:jc w:val="both"/>
        <w:rPr>
          <w:sz w:val="28"/>
          <w:szCs w:val="28"/>
        </w:rPr>
      </w:pPr>
      <w:r w:rsidRPr="00C313C7">
        <w:rPr>
          <w:sz w:val="28"/>
          <w:szCs w:val="28"/>
        </w:rPr>
        <w:t>Totodată, se propune excluderea genului de activitate „Întocmirea dărilor de seamă contabile” din lista genurilor de activitate desfăşurate în baza patentei de întreprinzător, scopul acestei propuneri fiind reducerea treptată a genurilor de activităţi de întreprinzător ce pot fi desfăşurate în baza patentei de întreprinzător, şi respectiv, trecerea la o anumită formă organizatorico-juridică stabilită de lege.</w:t>
      </w:r>
    </w:p>
    <w:p w:rsidR="009A699A" w:rsidRPr="00C313C7" w:rsidRDefault="009A699A" w:rsidP="009A699A">
      <w:pPr>
        <w:tabs>
          <w:tab w:val="left" w:pos="1080"/>
        </w:tabs>
        <w:autoSpaceDE w:val="0"/>
        <w:autoSpaceDN w:val="0"/>
        <w:adjustRightInd w:val="0"/>
        <w:spacing w:line="360" w:lineRule="auto"/>
        <w:ind w:firstLine="720"/>
        <w:jc w:val="both"/>
        <w:rPr>
          <w:sz w:val="28"/>
          <w:szCs w:val="28"/>
        </w:rPr>
      </w:pPr>
      <w:r w:rsidRPr="00C313C7">
        <w:rPr>
          <w:sz w:val="28"/>
          <w:szCs w:val="28"/>
        </w:rPr>
        <w:t>Mai mult ca atît, persoanele respective dispun de cunoştinţe în domeniul evidenţei contabile, din care considerente, aceştia nu vor întimpina dificultăţi la crearea unui agent economic şi ţinerea evidenţei contabile.</w:t>
      </w:r>
    </w:p>
    <w:p w:rsidR="009A699A" w:rsidRPr="00C313C7" w:rsidRDefault="009A699A" w:rsidP="009A699A">
      <w:pPr>
        <w:pStyle w:val="a3"/>
        <w:tabs>
          <w:tab w:val="left" w:pos="1080"/>
        </w:tabs>
        <w:spacing w:before="240" w:line="360" w:lineRule="auto"/>
        <w:ind w:firstLine="720"/>
        <w:rPr>
          <w:b/>
          <w:sz w:val="28"/>
          <w:szCs w:val="28"/>
        </w:rPr>
      </w:pPr>
      <w:r w:rsidRPr="00C313C7">
        <w:rPr>
          <w:b/>
          <w:sz w:val="28"/>
          <w:szCs w:val="28"/>
        </w:rPr>
        <w:t xml:space="preserve">2. Legea cu privire la fabricarea şi circulaţia alcoolului etilic şi a producţiei alcoolice nr.1100-XIV din 30 iunie 2000 </w:t>
      </w:r>
    </w:p>
    <w:p w:rsidR="009A699A" w:rsidRPr="00C313C7" w:rsidRDefault="009A699A" w:rsidP="009A699A">
      <w:pPr>
        <w:tabs>
          <w:tab w:val="left" w:pos="1080"/>
        </w:tabs>
        <w:autoSpaceDE w:val="0"/>
        <w:autoSpaceDN w:val="0"/>
        <w:adjustRightInd w:val="0"/>
        <w:spacing w:line="360" w:lineRule="auto"/>
        <w:ind w:firstLine="720"/>
        <w:jc w:val="both"/>
        <w:rPr>
          <w:sz w:val="28"/>
          <w:szCs w:val="28"/>
        </w:rPr>
      </w:pPr>
      <w:r w:rsidRPr="00C313C7">
        <w:rPr>
          <w:sz w:val="28"/>
          <w:szCs w:val="28"/>
        </w:rPr>
        <w:t xml:space="preserve">În partea ce ţine de fabricarea şi circulaţia producţiei alcoolice tari, se propune ajustarea  mărimii preţurilor minime de comercializare cu amănuntul şi </w:t>
      </w:r>
      <w:r w:rsidRPr="00C313C7">
        <w:rPr>
          <w:sz w:val="28"/>
          <w:szCs w:val="28"/>
        </w:rPr>
        <w:lastRenderedPageBreak/>
        <w:t>ridicata a băuturilor alcoolice tari în vederea susţinerii şi protejării producătorului autohton, diminuării presiunii fiscale asupra  agenţilor economici care produc şi/sau comercializează oficial băuturi alcoolice tari originale faţă  de producătorii şi comercianţi de mărfuri contrafăcute.</w:t>
      </w:r>
    </w:p>
    <w:p w:rsidR="009A699A" w:rsidRPr="00C313C7" w:rsidRDefault="009A699A" w:rsidP="009A699A">
      <w:pPr>
        <w:tabs>
          <w:tab w:val="left" w:pos="1080"/>
        </w:tabs>
        <w:autoSpaceDE w:val="0"/>
        <w:autoSpaceDN w:val="0"/>
        <w:adjustRightInd w:val="0"/>
        <w:spacing w:line="360" w:lineRule="auto"/>
        <w:ind w:firstLine="720"/>
        <w:jc w:val="both"/>
        <w:rPr>
          <w:sz w:val="28"/>
          <w:szCs w:val="28"/>
        </w:rPr>
      </w:pPr>
    </w:p>
    <w:p w:rsidR="009A699A" w:rsidRPr="00C313C7" w:rsidRDefault="009A699A" w:rsidP="009A699A">
      <w:pPr>
        <w:tabs>
          <w:tab w:val="left" w:pos="1080"/>
        </w:tabs>
        <w:autoSpaceDE w:val="0"/>
        <w:autoSpaceDN w:val="0"/>
        <w:adjustRightInd w:val="0"/>
        <w:spacing w:line="360" w:lineRule="auto"/>
        <w:ind w:firstLine="720"/>
        <w:jc w:val="both"/>
        <w:rPr>
          <w:sz w:val="28"/>
          <w:szCs w:val="28"/>
        </w:rPr>
      </w:pPr>
      <w:r w:rsidRPr="00C313C7">
        <w:rPr>
          <w:sz w:val="28"/>
          <w:szCs w:val="28"/>
        </w:rPr>
        <w:t>Adiţional la cele menţionate mai sus, în scopul înlăturării lacunelor din redacţia curentă a legislaţiei fiscale şi vamale şi racordării la propunerile sus-formulate sunt efectuate modificări purtînd un caracter redacţional, de concretizare şi de corelare.</w:t>
      </w:r>
    </w:p>
    <w:p w:rsidR="00207541" w:rsidRPr="00C313C7" w:rsidRDefault="00207541" w:rsidP="00207541">
      <w:pPr>
        <w:tabs>
          <w:tab w:val="left" w:pos="1080"/>
        </w:tabs>
        <w:autoSpaceDE w:val="0"/>
        <w:autoSpaceDN w:val="0"/>
        <w:adjustRightInd w:val="0"/>
        <w:ind w:firstLine="720"/>
        <w:jc w:val="both"/>
        <w:rPr>
          <w:sz w:val="28"/>
          <w:szCs w:val="28"/>
        </w:rPr>
      </w:pPr>
    </w:p>
    <w:p w:rsidR="00207541" w:rsidRPr="00C313C7" w:rsidRDefault="00207541" w:rsidP="00207541">
      <w:pPr>
        <w:tabs>
          <w:tab w:val="left" w:pos="1080"/>
        </w:tabs>
        <w:autoSpaceDE w:val="0"/>
        <w:autoSpaceDN w:val="0"/>
        <w:adjustRightInd w:val="0"/>
        <w:spacing w:after="100" w:line="360" w:lineRule="auto"/>
        <w:ind w:left="-57" w:right="-107" w:firstLine="597"/>
        <w:jc w:val="both"/>
        <w:rPr>
          <w:b/>
          <w:sz w:val="28"/>
          <w:szCs w:val="28"/>
        </w:rPr>
      </w:pPr>
      <w:r w:rsidRPr="00C313C7">
        <w:rPr>
          <w:b/>
          <w:i/>
          <w:sz w:val="28"/>
          <w:szCs w:val="28"/>
        </w:rPr>
        <w:t xml:space="preserve">Setul de modificări şi completări conţine şi un şir de prevederi menite să consolideze şi să eficientizeze utilizarea resurselor financiare publice, </w:t>
      </w:r>
      <w:r w:rsidRPr="00C313C7">
        <w:rPr>
          <w:sz w:val="28"/>
          <w:szCs w:val="28"/>
        </w:rPr>
        <w:t>care se prezintă în continuare pe fiecare act legislativ în parte.</w:t>
      </w:r>
      <w:r w:rsidRPr="00C313C7">
        <w:rPr>
          <w:b/>
          <w:sz w:val="28"/>
          <w:szCs w:val="28"/>
        </w:rPr>
        <w:t xml:space="preserve"> </w:t>
      </w:r>
    </w:p>
    <w:p w:rsidR="00207541" w:rsidRPr="00C313C7" w:rsidRDefault="00207541" w:rsidP="00207541">
      <w:pPr>
        <w:ind w:firstLine="709"/>
        <w:jc w:val="both"/>
        <w:rPr>
          <w:sz w:val="16"/>
          <w:szCs w:val="16"/>
        </w:rPr>
      </w:pPr>
    </w:p>
    <w:p w:rsidR="00255ACA" w:rsidRPr="00C313C7" w:rsidRDefault="00255ACA" w:rsidP="00255ACA">
      <w:pPr>
        <w:spacing w:line="360" w:lineRule="auto"/>
        <w:ind w:firstLine="708"/>
        <w:jc w:val="both"/>
        <w:rPr>
          <w:sz w:val="28"/>
          <w:szCs w:val="28"/>
        </w:rPr>
      </w:pPr>
      <w:r w:rsidRPr="00E140E0">
        <w:rPr>
          <w:b/>
          <w:sz w:val="28"/>
          <w:szCs w:val="28"/>
        </w:rPr>
        <w:t>1.</w:t>
      </w:r>
      <w:r w:rsidRPr="00C313C7">
        <w:rPr>
          <w:sz w:val="28"/>
          <w:szCs w:val="28"/>
        </w:rPr>
        <w:t xml:space="preserve"> </w:t>
      </w:r>
      <w:r w:rsidRPr="00C313C7">
        <w:rPr>
          <w:b/>
          <w:sz w:val="28"/>
          <w:szCs w:val="28"/>
        </w:rPr>
        <w:t>Legea nr.845-XII din 03 ianuarie 1992 cu privire la antreprenoriat și întreprinderi</w:t>
      </w:r>
      <w:r w:rsidRPr="00C313C7">
        <w:rPr>
          <w:sz w:val="28"/>
          <w:szCs w:val="28"/>
        </w:rPr>
        <w:t xml:space="preserve"> prevede perceperea la buget a veniturilor ilicite obţinute de agenţii economici prin exagerarea costului producţiei, rentabilităţii, adaosului comercial, volumului de lucrări efectuate în construcţii şi tarifelor la serviciile prestate, precum și aplicarea amenzii în cuantum echivalent acestor venituri, însă nu mai puţin de 10000 de lei. Aceasta situație creează condiții neechitabile de aplicare a sancțiunilor, întrucît pentru paguba care variază pînă la 10 mii lei, mărimea sancțiunii este una și aceiași. În scopul excluderii acestor discrepanțe, se propune stabilirea mărimii sancțiunii în dependența de suma pagubei. </w:t>
      </w:r>
    </w:p>
    <w:p w:rsidR="00255ACA" w:rsidRPr="00C313C7" w:rsidRDefault="00255ACA" w:rsidP="00255ACA">
      <w:pPr>
        <w:spacing w:line="360" w:lineRule="auto"/>
        <w:ind w:firstLine="720"/>
        <w:jc w:val="both"/>
        <w:rPr>
          <w:sz w:val="28"/>
          <w:szCs w:val="28"/>
        </w:rPr>
      </w:pPr>
    </w:p>
    <w:p w:rsidR="00255ACA" w:rsidRPr="00C313C7" w:rsidRDefault="00255ACA" w:rsidP="00255ACA">
      <w:pPr>
        <w:spacing w:line="360" w:lineRule="auto"/>
        <w:ind w:firstLine="720"/>
        <w:jc w:val="both"/>
        <w:rPr>
          <w:sz w:val="28"/>
          <w:szCs w:val="28"/>
        </w:rPr>
      </w:pPr>
      <w:r w:rsidRPr="00E140E0">
        <w:rPr>
          <w:b/>
          <w:sz w:val="28"/>
          <w:szCs w:val="28"/>
        </w:rPr>
        <w:t>2.</w:t>
      </w:r>
      <w:r w:rsidRPr="00C313C7">
        <w:rPr>
          <w:sz w:val="28"/>
          <w:szCs w:val="28"/>
        </w:rPr>
        <w:t xml:space="preserve"> </w:t>
      </w:r>
      <w:r w:rsidRPr="00C313C7">
        <w:rPr>
          <w:b/>
          <w:sz w:val="28"/>
          <w:szCs w:val="28"/>
        </w:rPr>
        <w:t>Legea învățămîntului nr.547-XIII din 21 iulie 1995</w:t>
      </w:r>
      <w:r w:rsidRPr="00C313C7">
        <w:rPr>
          <w:sz w:val="28"/>
          <w:szCs w:val="28"/>
        </w:rPr>
        <w:t xml:space="preserve"> prevede că una din competențele autorităților publice este aprobarea planului (comandei de stat) de pregătire a cadrelor de specialitate în instituţiile de învăţămînt secundar profesional, mediu de specialitate şi în cele de învăţămînt superior. Practica ultimilor ani denotă, că astfel de prevederi stimulează o abordare ramurală și, ca rezultat, insuficiența specialiștilor pregătiți pentru unele domenii și exces pentru altele. Întru stabilirea la nivel național a necesităților de pregătire a cadrelor în instituţiile de învăţămînt de diferite trepte, asigurînd gradul de pregătire ce </w:t>
      </w:r>
      <w:r w:rsidRPr="00C313C7">
        <w:rPr>
          <w:sz w:val="28"/>
          <w:szCs w:val="28"/>
        </w:rPr>
        <w:lastRenderedPageBreak/>
        <w:t xml:space="preserve">corespunde cerințelor pieței muncii, precum și în scopul  planificării în buget a cheltuielilor de personal şi de întreţinere aferente, se propune modificarea legii în cauză, stabilind că Guvernul, la propunerea autorităților publice, va fi în drept de a aproba planul (comanda de stat) de pregătire a cadrelor de specialitate cu finanţare din bugetul de stat şi pe bază de contract. Mai mult ca atăt, Legea nr. 142-XVI din 7 iulie 2005 privind aprobarea Nomenclatorului domeniilor de formare profesională şi al specialităţilor pentru pregătirea cadrelor în instituţiile de învăţămînt superior, ciclul I, acordă Guvernului dreptul de a stabili modul de coordonare a cotei de pregătire a cadrelor în instituţiile de învăţămînt superior private şi în cele de stat pe bază de contract, cu achitarea taxei de studii. </w:t>
      </w:r>
    </w:p>
    <w:p w:rsidR="00255ACA" w:rsidRPr="00C313C7" w:rsidRDefault="00255ACA" w:rsidP="00255ACA">
      <w:pPr>
        <w:spacing w:line="360" w:lineRule="auto"/>
        <w:jc w:val="both"/>
        <w:rPr>
          <w:sz w:val="10"/>
          <w:szCs w:val="10"/>
        </w:rPr>
      </w:pPr>
    </w:p>
    <w:p w:rsidR="00E649F4" w:rsidRPr="00C313C7" w:rsidRDefault="00E649F4" w:rsidP="00E649F4">
      <w:pPr>
        <w:spacing w:line="360" w:lineRule="auto"/>
        <w:ind w:firstLine="708"/>
        <w:jc w:val="both"/>
        <w:rPr>
          <w:sz w:val="28"/>
          <w:szCs w:val="28"/>
        </w:rPr>
      </w:pPr>
      <w:r w:rsidRPr="00C313C7">
        <w:rPr>
          <w:sz w:val="28"/>
          <w:szCs w:val="28"/>
        </w:rPr>
        <w:t xml:space="preserve">Conform Legii învățămîntului, instituţiile de învăţămînt superior de stat pot obţine statut de autonomie universitară, în modul stabilit de Guvern. În realitate, astfel de prevedere nu permite instituțiilor să activeze independent în aspect financiar - să gestioneze conturi în bănci, să decidă asupra utilizării volumului de alocații, soldului de mijloace în conturi de la acordarea serviciilor cu plată, etc. Implementarea reformelor în domeniul educației necesită modificarea statutului actual al instituţiilor de învăţămînt superior de stat, transformîndu-le în unităţi cu autonomie financiară, care vor beneficia de transferuri din buget conform comenzii de stat, pentru numărul de locuri aprobat anual în planul de înmatriculare, avînd o autonomie mai mare în ce priveşte utilizarea soldurilor din mijloace de la acordarea serviciilor prin contract, stabilirea numărului de unităţi şi a cheltuielilor de personal, </w:t>
      </w:r>
      <w:r w:rsidRPr="00FE36C9">
        <w:rPr>
          <w:sz w:val="28"/>
          <w:szCs w:val="28"/>
        </w:rPr>
        <w:t>aprobarea taxelor pentru serviciile prestate contra plată</w:t>
      </w:r>
      <w:r>
        <w:rPr>
          <w:sz w:val="28"/>
          <w:szCs w:val="28"/>
        </w:rPr>
        <w:t xml:space="preserve">, </w:t>
      </w:r>
      <w:r w:rsidRPr="00C313C7">
        <w:rPr>
          <w:sz w:val="28"/>
          <w:szCs w:val="28"/>
        </w:rPr>
        <w:t>etc. În acest context, se propune stabilirea prin lege că instituţia de învăţămînt superior de stat este unitate cu autonomie financiară, precum și principiile în baza cărora se realizează autonomia în plan financiar.</w:t>
      </w:r>
    </w:p>
    <w:p w:rsidR="00255ACA" w:rsidRPr="00C313C7" w:rsidRDefault="00255ACA" w:rsidP="00255ACA">
      <w:pPr>
        <w:spacing w:line="360" w:lineRule="auto"/>
        <w:ind w:firstLine="708"/>
        <w:jc w:val="both"/>
      </w:pPr>
    </w:p>
    <w:p w:rsidR="00255ACA" w:rsidRPr="00C313C7" w:rsidRDefault="00255ACA" w:rsidP="00255ACA">
      <w:pPr>
        <w:spacing w:line="360" w:lineRule="auto"/>
        <w:ind w:firstLine="567"/>
        <w:jc w:val="both"/>
        <w:rPr>
          <w:sz w:val="28"/>
          <w:szCs w:val="28"/>
        </w:rPr>
      </w:pPr>
      <w:r w:rsidRPr="00E140E0">
        <w:rPr>
          <w:b/>
          <w:sz w:val="28"/>
          <w:szCs w:val="28"/>
        </w:rPr>
        <w:t>3.</w:t>
      </w:r>
      <w:r w:rsidRPr="00C313C7">
        <w:rPr>
          <w:sz w:val="28"/>
          <w:szCs w:val="28"/>
        </w:rPr>
        <w:t xml:space="preserve"> </w:t>
      </w:r>
      <w:r w:rsidRPr="00C313C7">
        <w:rPr>
          <w:b/>
          <w:sz w:val="28"/>
          <w:szCs w:val="28"/>
        </w:rPr>
        <w:t>Legea fondului rutier nr.720-XIII din 02 februarie 1996</w:t>
      </w:r>
      <w:r w:rsidRPr="00C313C7">
        <w:rPr>
          <w:sz w:val="28"/>
          <w:szCs w:val="28"/>
        </w:rPr>
        <w:t xml:space="preserve"> stipulează sursele de constituire a fondului respectiv. Una din sursele de constituire a fondului sînt defalcările în mărime nu mai puțin de 80% în anul 2012 și în anii următori din volumul total al accizelor la produsele petroliere supuse accizelor. Prin Legea nr.267 din 23 decembrie 2011 pentru modificarea și completarea unor acte </w:t>
      </w:r>
      <w:r w:rsidRPr="00C313C7">
        <w:rPr>
          <w:sz w:val="28"/>
          <w:szCs w:val="28"/>
        </w:rPr>
        <w:lastRenderedPageBreak/>
        <w:t xml:space="preserve">legislative a fost introdus accizul la gazul lichefiat în mărime de 1800 lei/tonă și Guvernul a fost obligat de a elabora modul de restituire a accizului pentru gazul lichefiat livrat consumatorilor casnici. Potrivit prevederilor Legii nr.461-XV din 30 iulie 2001 privind piața produselor petroliere, gazul lichefiat este produs petrolier. </w:t>
      </w:r>
    </w:p>
    <w:p w:rsidR="00255ACA" w:rsidRPr="00C313C7" w:rsidRDefault="00255ACA" w:rsidP="00255ACA">
      <w:pPr>
        <w:spacing w:line="360" w:lineRule="auto"/>
        <w:ind w:firstLine="567"/>
        <w:jc w:val="both"/>
        <w:rPr>
          <w:sz w:val="28"/>
          <w:szCs w:val="28"/>
        </w:rPr>
      </w:pPr>
      <w:r w:rsidRPr="00C313C7">
        <w:rPr>
          <w:sz w:val="28"/>
          <w:szCs w:val="28"/>
        </w:rPr>
        <w:t>În condițiile acestor legi bugetul de stat suportă cheltuieli dublu, și anume: defalcări în fondul rutier și restituirea accizului pentru gazul lichefiat livrat consumatorilor casnici. Mai mult ca atăt, staţiile de alimentare cu combustibil nu pot delimita consumul gazului lichefiat pentru  gospodăriile casnice sau pentru utilizarea în calitate de carburanţi pentru unităţile de transport auto.</w:t>
      </w:r>
    </w:p>
    <w:p w:rsidR="00255ACA" w:rsidRPr="00C313C7" w:rsidRDefault="00255ACA" w:rsidP="00255ACA">
      <w:pPr>
        <w:spacing w:line="360" w:lineRule="auto"/>
        <w:ind w:firstLine="567"/>
        <w:jc w:val="both"/>
        <w:rPr>
          <w:sz w:val="28"/>
          <w:szCs w:val="28"/>
        </w:rPr>
      </w:pPr>
      <w:r w:rsidRPr="00C313C7">
        <w:rPr>
          <w:sz w:val="28"/>
          <w:szCs w:val="28"/>
        </w:rPr>
        <w:t>În acest sens, se propune stabilirea prin lege că fondul rutier urmează să fie format din defalcările din volumul total al accizelor la produsele petroliere supuse accizelor, cu excepția  gazului lichefiat.</w:t>
      </w:r>
    </w:p>
    <w:p w:rsidR="00255ACA" w:rsidRPr="00C313C7" w:rsidRDefault="00255ACA" w:rsidP="00255ACA">
      <w:pPr>
        <w:spacing w:line="360" w:lineRule="auto"/>
        <w:ind w:firstLine="567"/>
        <w:jc w:val="both"/>
        <w:rPr>
          <w:sz w:val="28"/>
          <w:szCs w:val="28"/>
        </w:rPr>
      </w:pPr>
    </w:p>
    <w:p w:rsidR="00255ACA" w:rsidRPr="00C313C7" w:rsidRDefault="00255ACA" w:rsidP="00255ACA">
      <w:pPr>
        <w:spacing w:line="360" w:lineRule="auto"/>
        <w:jc w:val="both"/>
        <w:rPr>
          <w:sz w:val="28"/>
          <w:szCs w:val="28"/>
        </w:rPr>
      </w:pPr>
      <w:r w:rsidRPr="00C313C7">
        <w:rPr>
          <w:sz w:val="28"/>
          <w:szCs w:val="28"/>
        </w:rPr>
        <w:tab/>
      </w:r>
      <w:r w:rsidRPr="00E140E0">
        <w:rPr>
          <w:b/>
          <w:sz w:val="28"/>
          <w:szCs w:val="28"/>
        </w:rPr>
        <w:t>4.</w:t>
      </w:r>
      <w:r w:rsidRPr="00C313C7">
        <w:rPr>
          <w:sz w:val="28"/>
          <w:szCs w:val="28"/>
        </w:rPr>
        <w:t xml:space="preserve"> </w:t>
      </w:r>
      <w:r w:rsidRPr="00C313C7">
        <w:rPr>
          <w:b/>
          <w:sz w:val="28"/>
          <w:szCs w:val="28"/>
        </w:rPr>
        <w:t>Legea nr.847-XIII din 24 mai 1996 privind sistemul bugetar şi procesul bugetar</w:t>
      </w:r>
      <w:r w:rsidRPr="00C313C7">
        <w:rPr>
          <w:sz w:val="28"/>
          <w:szCs w:val="28"/>
        </w:rPr>
        <w:t xml:space="preserve"> prevede că, în cazul depășirii nivelului deficitului bugetar, Ministerul Finanțelor este în drept se blochează finanțarea cheltuielilor pentru menținerea acestora la nivelul aprobat prin legea bugetară anuală, cu excepția celor scutite de blocare prin legea bugetară anuală. În condițiile încasării neuniforme a mijloacelor băneşti la bugetul de stat, Ministerul Finanțelor, în baza actelor normative, stabilește gradele de prioritare ale cheltuielilor,  asigurîndu-se utilizarea eficientă a mijloacelor disponibile și prestarea serviciilor publice calitative. </w:t>
      </w:r>
    </w:p>
    <w:p w:rsidR="00255ACA" w:rsidRPr="00C313C7" w:rsidRDefault="00255ACA" w:rsidP="00255ACA">
      <w:pPr>
        <w:spacing w:line="360" w:lineRule="auto"/>
        <w:ind w:firstLine="540"/>
        <w:jc w:val="both"/>
        <w:rPr>
          <w:sz w:val="28"/>
          <w:szCs w:val="28"/>
        </w:rPr>
      </w:pPr>
      <w:r w:rsidRPr="00C313C7">
        <w:rPr>
          <w:sz w:val="28"/>
          <w:szCs w:val="28"/>
        </w:rPr>
        <w:t>Luînd în considerare, că Legea privind sistemul bugetar şi procesul bugetar este legea de bază în stabilirea principiilor, regulilor şi procedurilor generale privind elaborarea, aprobarea, executarea şi raportarea bugetelor, se propune completarea acestei legi cu prioritățile de alocare mijloacelor bugetare, și anume: (i) onorarea angajamentelor de deservire a datoriei de stat; (ii) cheltuielile de personal, de achitare a burselor, pensiilor, indemnizaţiilor, compensațiilor, alocațiilor și ajutoarelor sociale.</w:t>
      </w:r>
    </w:p>
    <w:p w:rsidR="00255ACA" w:rsidRPr="00C313C7" w:rsidRDefault="00255ACA" w:rsidP="00255ACA">
      <w:pPr>
        <w:spacing w:line="360" w:lineRule="auto"/>
        <w:ind w:firstLine="540"/>
        <w:jc w:val="both"/>
        <w:rPr>
          <w:sz w:val="28"/>
          <w:szCs w:val="28"/>
        </w:rPr>
      </w:pPr>
      <w:r w:rsidRPr="00C313C7">
        <w:rPr>
          <w:sz w:val="28"/>
          <w:szCs w:val="28"/>
        </w:rPr>
        <w:t xml:space="preserve">În scopul introducerii unor reguli unice în procesul efectuării altor cheltuieli decît cele prioritare, în condițiile constrîngerilor bugetare, se propune investirea </w:t>
      </w:r>
      <w:r w:rsidRPr="00C313C7">
        <w:rPr>
          <w:sz w:val="28"/>
          <w:szCs w:val="28"/>
        </w:rPr>
        <w:lastRenderedPageBreak/>
        <w:t xml:space="preserve">Ministerului Finanţelor cu dreptul  de a stabili, în baza actelor normative, grade de prioritate a cheltuielilor. </w:t>
      </w:r>
    </w:p>
    <w:p w:rsidR="00255ACA" w:rsidRPr="00C313C7" w:rsidRDefault="00255ACA" w:rsidP="00255ACA">
      <w:pPr>
        <w:spacing w:line="360" w:lineRule="auto"/>
        <w:jc w:val="both"/>
        <w:rPr>
          <w:sz w:val="10"/>
          <w:szCs w:val="10"/>
        </w:rPr>
      </w:pPr>
    </w:p>
    <w:p w:rsidR="00255ACA" w:rsidRPr="00C313C7" w:rsidRDefault="00255ACA" w:rsidP="00255ACA">
      <w:pPr>
        <w:spacing w:line="360" w:lineRule="auto"/>
        <w:ind w:firstLine="540"/>
        <w:jc w:val="both"/>
        <w:rPr>
          <w:sz w:val="28"/>
          <w:szCs w:val="28"/>
        </w:rPr>
      </w:pPr>
      <w:r w:rsidRPr="00C313C7">
        <w:rPr>
          <w:sz w:val="28"/>
          <w:szCs w:val="28"/>
        </w:rPr>
        <w:t>Potrivit sintezei executării bugetului de stat pe anul 2010, la situaţia din 31.12.2010, datoriile creditoare cu termenul de achitare expirat au constituit 137,4 mil.lei şi deţin o cotă semnificativă în totalul datoriilor creditoare admise de instituţiile publice – circa 30 la sută. La situația din 31.12.2011, datoriile creditoare cu termenul de achitare expirat pe bugetul de stat s-au micșorat pînă la 18,5 mil.lei, pe bugetele unităților administrativ-teritoriale s-au constituit 145,7 mil.lei față de 32,8 mil.lei la începutul anului.</w:t>
      </w:r>
    </w:p>
    <w:p w:rsidR="00255ACA" w:rsidRPr="00C313C7" w:rsidRDefault="00255ACA" w:rsidP="00255ACA">
      <w:pPr>
        <w:spacing w:line="360" w:lineRule="auto"/>
        <w:ind w:firstLine="540"/>
        <w:jc w:val="both"/>
        <w:rPr>
          <w:sz w:val="28"/>
          <w:szCs w:val="28"/>
        </w:rPr>
      </w:pPr>
      <w:r w:rsidRPr="00C313C7">
        <w:rPr>
          <w:sz w:val="28"/>
          <w:szCs w:val="28"/>
        </w:rPr>
        <w:t>Întru administrarea şi utilizarea mai eficientă a mijloacelor publice, se propune completarea Legii nr.847-XIII din 24 mai 1996 privind sistemul bugetar şi procesul bugetar cu norma, conform căreia datoriile creditoare ale instituțiilor bugetare din anii precedenți vor fi achitate din contul și în limitele mijloacelor ce le sînt aprobate pe anul bugetar curent. În cazul dat, achiziţionarea de mărfuri, lucrări şi servicii se va efectua numai în limita alocaţiilor repartizate instituţiilor respective, reduse cu suma datoriilor acestora existente la sfîrșitul anului bugetar precedent. Concomitent, în scopul fortificării responsabilității executorilor de buget asupra neadmiterii datoriilor creditoare cu termenul de achitare expirat, se propune aplicarea sancțiunii nemijlocit executorilor de buget - persoanelor cu funcţi</w:t>
      </w:r>
      <w:r w:rsidR="000B568F">
        <w:rPr>
          <w:sz w:val="28"/>
          <w:szCs w:val="28"/>
        </w:rPr>
        <w:t>i</w:t>
      </w:r>
      <w:r w:rsidRPr="00C313C7">
        <w:rPr>
          <w:sz w:val="28"/>
          <w:szCs w:val="28"/>
        </w:rPr>
        <w:t xml:space="preserve"> de răspundere, completîndu-se și Codul contravențional nr.218-XVI din 24 octombrie 2008.</w:t>
      </w:r>
    </w:p>
    <w:p w:rsidR="00255ACA" w:rsidRPr="00C313C7" w:rsidRDefault="00255ACA" w:rsidP="00255ACA">
      <w:pPr>
        <w:spacing w:line="360" w:lineRule="auto"/>
        <w:ind w:firstLine="540"/>
        <w:jc w:val="both"/>
        <w:rPr>
          <w:sz w:val="10"/>
          <w:szCs w:val="10"/>
        </w:rPr>
      </w:pPr>
    </w:p>
    <w:p w:rsidR="00255ACA" w:rsidRPr="00C313C7" w:rsidRDefault="00255ACA" w:rsidP="00255ACA">
      <w:pPr>
        <w:spacing w:line="360" w:lineRule="auto"/>
        <w:ind w:firstLine="708"/>
        <w:jc w:val="both"/>
        <w:rPr>
          <w:sz w:val="28"/>
          <w:szCs w:val="28"/>
        </w:rPr>
      </w:pPr>
      <w:r w:rsidRPr="00C313C7">
        <w:rPr>
          <w:sz w:val="28"/>
          <w:szCs w:val="28"/>
        </w:rPr>
        <w:t xml:space="preserve">Legea nr.146-XIII din 16 iunie 1994 cu privire la întreprinderea de stat și Legea nr.1134-XIII din 02 aprilie 1997 privind societăţile pe acţiuni prevăd, că întreprinderile de stat/societățile pe acțiuni determină profitul (pierderile) în modul prevăzut de legislaţie, formează profitul net după achitarea impozitelor şi a altor plăţi obligatorii şi efectuează defalcările/dividendele, a unei părți a profitului net obținut, la bugetul de stat în baza deciziei consiliului de administrație/hotărîrii adunării generale anuale. </w:t>
      </w:r>
    </w:p>
    <w:p w:rsidR="00255ACA" w:rsidRPr="00C313C7" w:rsidRDefault="00255ACA" w:rsidP="00255ACA">
      <w:pPr>
        <w:spacing w:line="360" w:lineRule="auto"/>
        <w:ind w:firstLine="720"/>
        <w:jc w:val="both"/>
        <w:rPr>
          <w:sz w:val="28"/>
          <w:szCs w:val="28"/>
        </w:rPr>
      </w:pPr>
      <w:r w:rsidRPr="00C313C7">
        <w:rPr>
          <w:sz w:val="28"/>
          <w:szCs w:val="28"/>
        </w:rPr>
        <w:t xml:space="preserve">Inspectările (controalele) financiare denotă despre multiple neajunsuri și încălcări ale legislației din domeniul financiar și contabil prin suportarea și </w:t>
      </w:r>
      <w:r w:rsidRPr="00C313C7">
        <w:rPr>
          <w:sz w:val="28"/>
          <w:szCs w:val="28"/>
        </w:rPr>
        <w:lastRenderedPageBreak/>
        <w:t>achitarea unor cheltuieli și consumuri, care nu pot fi atribuite la cheltuielile ordinare și necesare de întreprinzător a întreprinderilor, precum și suportarea și achitarea cheltuielilor nelegitime, neregulamentare, în lipsa documentelor justificative sau a cheltuielilor efectuate supra limitelor stabilite de Guvern. Aceasta duce la denaturarea profitului net ca bază pentru calcularea defalcărilor/ dividendelor, a unei părți a profitului net obținut, la bugetul de stat. Totodată, în prezent, nici unul din organele de control ale statului nu verifică corectitudinea calculării profitului net și a defalcărilor/dividendelor, a unei părți a profitului net obținut, virate la bugetul de stat. Lu</w:t>
      </w:r>
      <w:r w:rsidR="00C313C7">
        <w:rPr>
          <w:sz w:val="28"/>
          <w:szCs w:val="28"/>
        </w:rPr>
        <w:t>î</w:t>
      </w:r>
      <w:r w:rsidRPr="00C313C7">
        <w:rPr>
          <w:sz w:val="28"/>
          <w:szCs w:val="28"/>
        </w:rPr>
        <w:t>nd în considerare că misiunea Serviciului control financiar şi revizie este protecţia intereselor financiare publice ale statului prin exercitarea, conform principiilor transparenţei şi legalităţii, a controlului financiar centralizat al Ministerului Finanţelor privind conformitatea cu legislaţia a operaţiunilor şi tranzacţiilor ce ţin de gestionarea resurselor bugetului public naţional şi bunurilor publice, se propune completarea Legii nr.847-XIII din 24 mai 1996 privind sistemul bugetar şi procesul bugetar cu prevederile că controlul chestiunii date se pune în sarcina  Serviciului control financiar şi revizie.</w:t>
      </w:r>
    </w:p>
    <w:p w:rsidR="00255ACA" w:rsidRPr="00C313C7" w:rsidRDefault="00255ACA" w:rsidP="00255ACA">
      <w:pPr>
        <w:spacing w:line="360" w:lineRule="auto"/>
        <w:ind w:firstLine="720"/>
        <w:jc w:val="both"/>
        <w:rPr>
          <w:sz w:val="10"/>
          <w:szCs w:val="10"/>
        </w:rPr>
      </w:pPr>
    </w:p>
    <w:p w:rsidR="00255ACA" w:rsidRPr="00C313C7" w:rsidRDefault="00255ACA" w:rsidP="00255ACA">
      <w:pPr>
        <w:spacing w:line="360" w:lineRule="auto"/>
        <w:ind w:firstLine="540"/>
        <w:jc w:val="both"/>
      </w:pPr>
    </w:p>
    <w:p w:rsidR="00255ACA" w:rsidRPr="00C313C7" w:rsidRDefault="00255ACA" w:rsidP="00255ACA">
      <w:pPr>
        <w:spacing w:line="360" w:lineRule="auto"/>
        <w:ind w:firstLine="540"/>
        <w:jc w:val="both"/>
        <w:rPr>
          <w:sz w:val="28"/>
          <w:szCs w:val="28"/>
        </w:rPr>
      </w:pPr>
      <w:r w:rsidRPr="00E140E0">
        <w:rPr>
          <w:b/>
          <w:sz w:val="28"/>
          <w:szCs w:val="28"/>
        </w:rPr>
        <w:t>5.</w:t>
      </w:r>
      <w:r w:rsidRPr="00C313C7">
        <w:rPr>
          <w:sz w:val="28"/>
          <w:szCs w:val="28"/>
        </w:rPr>
        <w:t xml:space="preserve"> </w:t>
      </w:r>
      <w:r w:rsidRPr="00C313C7">
        <w:rPr>
          <w:b/>
          <w:sz w:val="28"/>
          <w:szCs w:val="28"/>
        </w:rPr>
        <w:t>Legea nr.489-XIV din 8 iulie 1999 privind sistemul public de asigurări sociale prevede că în sistemul public, prestațiile de asigurări sociale</w:t>
      </w:r>
      <w:r w:rsidRPr="00C313C7">
        <w:rPr>
          <w:sz w:val="28"/>
          <w:szCs w:val="28"/>
        </w:rPr>
        <w:t xml:space="preserve"> reprezintă venit de înlocuire pentru pierderea totală sau parțială a veniturilor ca urmare a vîrstei, invalidității, accidentelor, bolilor, maternității, pierderii locului de muncă sau decesului, denumite în continuare riscuri asigurate. Astfel sprijinul bănesc în formă de indemnizație unică la nașterea copilului nu face parte din categoria riscurilor supuse asigurărilor sociale. În prezent, plata indemnizației unice la naşterea copilului persoanelor asigurare se efectuează din contul bugetului asigurărilor sociale de stat (costul pentru anul 2012 constituie 34,7 mil.lei), iar persoanelor neasigurate - din contul bugetului de stat (costul pentru anul 2012 constituie 73,6 mil.lei). În acest context, se propune preluarea de către bugetul de stat a cheltuielilor pentru plata indemnizației unice la naşterea copilului persoanelor asigurare, modificîndu-se, respectiv,  legea în cauză, precum şi Legea </w:t>
      </w:r>
      <w:r w:rsidRPr="00C313C7">
        <w:rPr>
          <w:sz w:val="28"/>
          <w:szCs w:val="28"/>
        </w:rPr>
        <w:lastRenderedPageBreak/>
        <w:t xml:space="preserve">nr.289-XV din 22 iulie 2004 privind indemnizaţiile pentru incapacitate temporară de muncă şi alte prestaţii de asigurări sociale. </w:t>
      </w:r>
    </w:p>
    <w:p w:rsidR="00255ACA" w:rsidRPr="00C313C7" w:rsidRDefault="00255ACA" w:rsidP="00255ACA">
      <w:pPr>
        <w:spacing w:line="360" w:lineRule="auto"/>
        <w:ind w:firstLine="540"/>
        <w:jc w:val="both"/>
      </w:pPr>
    </w:p>
    <w:p w:rsidR="00255ACA" w:rsidRPr="00C313C7" w:rsidRDefault="00255ACA" w:rsidP="00255ACA">
      <w:pPr>
        <w:spacing w:line="360" w:lineRule="auto"/>
        <w:ind w:firstLine="540"/>
        <w:jc w:val="both"/>
        <w:rPr>
          <w:sz w:val="28"/>
          <w:szCs w:val="28"/>
        </w:rPr>
      </w:pPr>
      <w:r w:rsidRPr="00E140E0">
        <w:rPr>
          <w:b/>
          <w:sz w:val="28"/>
          <w:szCs w:val="28"/>
        </w:rPr>
        <w:t>6.</w:t>
      </w:r>
      <w:r w:rsidRPr="00C313C7">
        <w:rPr>
          <w:sz w:val="28"/>
          <w:szCs w:val="28"/>
        </w:rPr>
        <w:t xml:space="preserve"> </w:t>
      </w:r>
      <w:r w:rsidRPr="00C313C7">
        <w:rPr>
          <w:b/>
          <w:sz w:val="28"/>
          <w:szCs w:val="28"/>
        </w:rPr>
        <w:t>Legea nr.397-XV din 16 octombrie 2003 privind finanţele publice locale</w:t>
      </w:r>
      <w:r w:rsidRPr="00C313C7">
        <w:rPr>
          <w:sz w:val="28"/>
          <w:szCs w:val="28"/>
        </w:rPr>
        <w:t xml:space="preserve"> stabilește modul repartizării veniturilor între bugetele unităților administrativ-teritoriale, conform cărora veniturile bugetului municipal Bălți și bugetului municipal Chișinău se formează și din defalcările de la impozitul pe venitul persoanelor juridice din teritoriul unităţii administrativ-teritoriale în mărime de  50%. </w:t>
      </w:r>
    </w:p>
    <w:p w:rsidR="00255ACA" w:rsidRPr="00C313C7" w:rsidRDefault="00255ACA" w:rsidP="00255ACA">
      <w:pPr>
        <w:pStyle w:val="a8"/>
        <w:spacing w:line="360" w:lineRule="auto"/>
        <w:ind w:firstLine="708"/>
        <w:jc w:val="both"/>
        <w:rPr>
          <w:rFonts w:ascii="Times New Roman" w:hAnsi="Times New Roman" w:cs="Times New Roman"/>
          <w:sz w:val="28"/>
          <w:szCs w:val="28"/>
          <w:lang w:val="ro-RO"/>
        </w:rPr>
      </w:pPr>
      <w:r w:rsidRPr="00C313C7">
        <w:rPr>
          <w:rFonts w:ascii="Times New Roman" w:hAnsi="Times New Roman" w:cs="Times New Roman"/>
          <w:sz w:val="28"/>
          <w:szCs w:val="28"/>
          <w:lang w:val="ro-RO"/>
        </w:rPr>
        <w:t xml:space="preserve">Totodată în cazul, cînd cota veniturilor ce revin unui locuitor depăşeşte </w:t>
      </w:r>
      <w:r w:rsidRPr="00C313C7">
        <w:rPr>
          <w:rFonts w:ascii="Times New Roman" w:eastAsia="Times New Roman" w:hAnsi="Times New Roman" w:cs="Times New Roman"/>
          <w:sz w:val="28"/>
          <w:szCs w:val="28"/>
          <w:lang w:val="ro-RO" w:eastAsia="ru-RU"/>
        </w:rPr>
        <w:t>suma cheltuielilor calculată, conform normativelor mediu estimate pentru un locuitor, unităţile</w:t>
      </w:r>
      <w:r w:rsidRPr="00C313C7">
        <w:rPr>
          <w:rFonts w:ascii="Times New Roman" w:hAnsi="Times New Roman" w:cs="Times New Roman"/>
          <w:sz w:val="28"/>
          <w:szCs w:val="28"/>
          <w:lang w:val="ro-RO"/>
        </w:rPr>
        <w:t xml:space="preserve"> administrativ-teritoriale transferă în fondul de susţinere financiară a unităţilor administrativ-teritoriale (format în bugetul de stat) suma veniturilor ce depăşesc cu 20% necesităţile minime de cheltuieli ale unităţii administrativ-teritoriale respective.</w:t>
      </w:r>
    </w:p>
    <w:p w:rsidR="00255ACA" w:rsidRPr="00C313C7" w:rsidRDefault="00255ACA" w:rsidP="00255ACA">
      <w:pPr>
        <w:pStyle w:val="a8"/>
        <w:spacing w:line="360" w:lineRule="auto"/>
        <w:ind w:firstLine="708"/>
        <w:jc w:val="both"/>
        <w:rPr>
          <w:rFonts w:ascii="Times New Roman" w:hAnsi="Times New Roman" w:cs="Times New Roman"/>
          <w:sz w:val="28"/>
          <w:szCs w:val="28"/>
          <w:lang w:val="ro-RO"/>
        </w:rPr>
      </w:pPr>
      <w:r w:rsidRPr="00C313C7">
        <w:rPr>
          <w:rFonts w:ascii="Times New Roman" w:hAnsi="Times New Roman" w:cs="Times New Roman"/>
          <w:sz w:val="28"/>
          <w:szCs w:val="28"/>
          <w:lang w:val="ro-RO"/>
        </w:rPr>
        <w:t>Astfel, suma totală a depăşirii veniturilor asupra cheltuielilor bugetului municipiului Chişinău, calculate conform cadrului legal existent, este de circa 656,4 mil. lei, iar în partea ce depăşeşte 20%  –  circa 310,0 mil.lei. Respectiv, în anul 2013, în partea de cheltuieli a bugetului municipal Chişinău urmau să fie aprobate transferuri la bugetul de stat, în sumă de circa 310,0 mil.lei.</w:t>
      </w:r>
    </w:p>
    <w:p w:rsidR="00255ACA" w:rsidRPr="00C313C7" w:rsidRDefault="00255ACA" w:rsidP="00255ACA">
      <w:pPr>
        <w:spacing w:line="360" w:lineRule="auto"/>
        <w:ind w:firstLine="540"/>
        <w:jc w:val="both"/>
        <w:rPr>
          <w:sz w:val="10"/>
          <w:szCs w:val="10"/>
        </w:rPr>
      </w:pPr>
    </w:p>
    <w:p w:rsidR="00255ACA" w:rsidRPr="00C313C7" w:rsidRDefault="00255ACA" w:rsidP="00255ACA">
      <w:pPr>
        <w:pStyle w:val="a8"/>
        <w:spacing w:line="360" w:lineRule="auto"/>
        <w:ind w:firstLine="708"/>
        <w:jc w:val="both"/>
        <w:rPr>
          <w:rFonts w:ascii="Times New Roman" w:hAnsi="Times New Roman" w:cs="Times New Roman"/>
          <w:sz w:val="28"/>
          <w:szCs w:val="28"/>
          <w:lang w:val="ro-RO"/>
        </w:rPr>
      </w:pPr>
      <w:r w:rsidRPr="00C313C7">
        <w:rPr>
          <w:rFonts w:ascii="Times New Roman" w:hAnsi="Times New Roman" w:cs="Times New Roman"/>
          <w:sz w:val="28"/>
          <w:szCs w:val="28"/>
          <w:lang w:val="ro-RO"/>
        </w:rPr>
        <w:t xml:space="preserve">Mai mult ca atît, conform proiectului de lege cu privire la activitatea poliţiei şi statutul poliţistului, începînd cu 1 ianuarie 2013 finanţarea poliţiei municipale </w:t>
      </w:r>
      <w:r w:rsidR="00A01930">
        <w:rPr>
          <w:rFonts w:ascii="Times New Roman" w:hAnsi="Times New Roman" w:cs="Times New Roman"/>
          <w:sz w:val="28"/>
          <w:szCs w:val="28"/>
          <w:lang w:val="ro-RO"/>
        </w:rPr>
        <w:t>va fi</w:t>
      </w:r>
      <w:r w:rsidRPr="00C313C7">
        <w:rPr>
          <w:rFonts w:ascii="Times New Roman" w:hAnsi="Times New Roman" w:cs="Times New Roman"/>
          <w:sz w:val="28"/>
          <w:szCs w:val="28"/>
          <w:lang w:val="ro-RO"/>
        </w:rPr>
        <w:t xml:space="preserve"> pre</w:t>
      </w:r>
      <w:r w:rsidR="00A01930">
        <w:rPr>
          <w:rFonts w:ascii="Times New Roman" w:hAnsi="Times New Roman" w:cs="Times New Roman"/>
          <w:sz w:val="28"/>
          <w:szCs w:val="28"/>
          <w:lang w:val="ro-RO"/>
        </w:rPr>
        <w:t>luată</w:t>
      </w:r>
      <w:r w:rsidRPr="00C313C7">
        <w:rPr>
          <w:rFonts w:ascii="Times New Roman" w:hAnsi="Times New Roman" w:cs="Times New Roman"/>
          <w:sz w:val="28"/>
          <w:szCs w:val="28"/>
          <w:lang w:val="ro-RO"/>
        </w:rPr>
        <w:t xml:space="preserve"> de la bugetele unităţilor administrativ-teritoriale la bugetul de stat. </w:t>
      </w:r>
    </w:p>
    <w:p w:rsidR="00255ACA" w:rsidRPr="00C313C7" w:rsidRDefault="00255ACA" w:rsidP="00255ACA">
      <w:pPr>
        <w:pStyle w:val="a8"/>
        <w:spacing w:line="360" w:lineRule="auto"/>
        <w:ind w:firstLine="708"/>
        <w:jc w:val="both"/>
        <w:rPr>
          <w:rFonts w:ascii="Times New Roman" w:hAnsi="Times New Roman" w:cs="Times New Roman"/>
          <w:sz w:val="28"/>
          <w:szCs w:val="28"/>
          <w:lang w:val="ro-RO"/>
        </w:rPr>
      </w:pPr>
      <w:r w:rsidRPr="00C313C7">
        <w:rPr>
          <w:rFonts w:ascii="Times New Roman" w:hAnsi="Times New Roman" w:cs="Times New Roman"/>
          <w:sz w:val="28"/>
          <w:szCs w:val="28"/>
          <w:lang w:val="ro-RO"/>
        </w:rPr>
        <w:t>Pornînd de la cele menționate, se propune de a diminua prin lege cota defalcărilor la bugetul municipal Chişinău de la impozitul pe venitul persoa</w:t>
      </w:r>
      <w:r w:rsidR="00A01930">
        <w:rPr>
          <w:rFonts w:ascii="Times New Roman" w:hAnsi="Times New Roman" w:cs="Times New Roman"/>
          <w:sz w:val="28"/>
          <w:szCs w:val="28"/>
          <w:lang w:val="ro-RO"/>
        </w:rPr>
        <w:t>nelor juridice de la 50% la 30%. C</w:t>
      </w:r>
      <w:r w:rsidRPr="00C313C7">
        <w:rPr>
          <w:rFonts w:ascii="Times New Roman" w:hAnsi="Times New Roman" w:cs="Times New Roman"/>
          <w:sz w:val="28"/>
          <w:szCs w:val="28"/>
          <w:lang w:val="ro-RO"/>
        </w:rPr>
        <w:t>ostul acestei diminuări constituind circa 307,6 mil. lei, fiind, practic, echivalent cu suma transferurilor care urmau a fi efectuate de la bugetul municipal Chişinău la bugetul de stat.</w:t>
      </w:r>
    </w:p>
    <w:p w:rsidR="00255ACA" w:rsidRPr="00C313C7" w:rsidRDefault="00255ACA" w:rsidP="00255ACA">
      <w:pPr>
        <w:pStyle w:val="a8"/>
        <w:spacing w:line="360" w:lineRule="auto"/>
        <w:ind w:firstLine="708"/>
        <w:jc w:val="both"/>
        <w:rPr>
          <w:rFonts w:ascii="Times New Roman" w:hAnsi="Times New Roman" w:cs="Times New Roman"/>
          <w:sz w:val="28"/>
          <w:szCs w:val="28"/>
          <w:lang w:val="ro-RO"/>
        </w:rPr>
      </w:pPr>
      <w:r w:rsidRPr="00C313C7">
        <w:rPr>
          <w:rFonts w:ascii="Times New Roman" w:hAnsi="Times New Roman" w:cs="Times New Roman"/>
          <w:sz w:val="28"/>
          <w:szCs w:val="28"/>
          <w:lang w:val="ro-RO"/>
        </w:rPr>
        <w:t>De rînd cu aceasta, pentru a asigura o abordare unică pentru municipii, cota respectivă urmează să fie aplicată şi la impozitul pe venitul persoanelor juridice, defalcată la bugetul municipal Bălţi.</w:t>
      </w:r>
    </w:p>
    <w:p w:rsidR="00255ACA" w:rsidRPr="00C313C7" w:rsidRDefault="00255ACA" w:rsidP="00255ACA">
      <w:pPr>
        <w:pStyle w:val="a8"/>
        <w:ind w:firstLine="708"/>
        <w:jc w:val="both"/>
        <w:rPr>
          <w:rFonts w:ascii="Times New Roman" w:hAnsi="Times New Roman" w:cs="Times New Roman"/>
          <w:sz w:val="10"/>
          <w:szCs w:val="10"/>
          <w:lang w:val="ro-RO"/>
        </w:rPr>
      </w:pPr>
    </w:p>
    <w:p w:rsidR="00255ACA" w:rsidRPr="00C313C7" w:rsidRDefault="00255ACA" w:rsidP="00255ACA">
      <w:pPr>
        <w:spacing w:line="360" w:lineRule="auto"/>
        <w:ind w:firstLine="540"/>
        <w:jc w:val="both"/>
        <w:rPr>
          <w:sz w:val="28"/>
          <w:szCs w:val="28"/>
        </w:rPr>
      </w:pPr>
      <w:r w:rsidRPr="00C313C7">
        <w:rPr>
          <w:sz w:val="28"/>
          <w:szCs w:val="28"/>
        </w:rPr>
        <w:t>Legea privind finanţele publice locale prevede că din contul bugetelor raionale, bugetului municipal Bălți și bugetului municipal Chișinău sînt finanțate cheltuielile pentru întreținerea televiziunii publice locale și televiziunii publice, respectiv. Conform Codului audiovizualului nr.260-XVI din 27 iulie 2006, radiodifuzori  publici sînt definiți doar radiodifuzorul public național – IPNA Compania „Teleradio-Moldova” și radiodifuzorul public regional – Compania „Teleradio- Găgăuzia” cu subvenționarea acestora de la bugetul de stat. Din aceste considerente, se propune excluderea normelor respective din Legea privind finanţele publice locale.</w:t>
      </w:r>
    </w:p>
    <w:p w:rsidR="00255ACA" w:rsidRPr="00C313C7" w:rsidRDefault="00255ACA" w:rsidP="00255ACA">
      <w:pPr>
        <w:spacing w:line="360" w:lineRule="auto"/>
        <w:ind w:firstLine="540"/>
        <w:jc w:val="both"/>
        <w:rPr>
          <w:sz w:val="10"/>
          <w:szCs w:val="10"/>
        </w:rPr>
      </w:pPr>
    </w:p>
    <w:p w:rsidR="00255ACA" w:rsidRPr="00C313C7" w:rsidRDefault="00255ACA" w:rsidP="00255ACA">
      <w:pPr>
        <w:spacing w:line="360" w:lineRule="auto"/>
        <w:ind w:firstLine="567"/>
        <w:jc w:val="both"/>
        <w:rPr>
          <w:sz w:val="28"/>
          <w:szCs w:val="28"/>
        </w:rPr>
      </w:pPr>
      <w:r w:rsidRPr="00C313C7">
        <w:rPr>
          <w:sz w:val="28"/>
          <w:szCs w:val="28"/>
        </w:rPr>
        <w:t>În cazul delegării de către Guvern autorităților administrației publice locale a unor funcții suplimentare, adoptării actelor legislative și normative aplicarea cărora necesită mijloacele bugetare suplimentare, bugetele unităților administrativ-teritoriale primesc de la bugetul de stat transferuri cu destinație specială, care urmează să fie incluse în aceste bugete și aprobate de către autorităţile reprezentative şi deliberative ale unităţilor administrativ-teritoriale. Practica denotă că după aprobarea bugetului anual, pe parcursul exerciţiului bugetar, bugetele unităților administrativ-teritoriale beneficiază de mijloace suplimentare de la bugetul de stat sub forma de transferuri cu destinație specială, care, de regulă, au deseori termene de realizare a măsurilor. În condițiile Legii privind finanţele publice locale aceste transferuri, în pofida faptului că sînt aprobate prin legea bugetului de stat pe anul respectiv, nu pot fi valorificate la momentul înregistrării acestora în cont fără aprobarea de către autorităţile reprezentative şi deliberative ale unităţilor administrativ-teritoriale. În același timp, conform standardelor internaționale, la care se aliniază Republica Moldova, toate transferurile efectuate în interiorul sistemului bugetar urmează a fi consolidate pe măsura apariției acestora.</w:t>
      </w:r>
    </w:p>
    <w:p w:rsidR="00255ACA" w:rsidRPr="00C313C7" w:rsidRDefault="00255ACA" w:rsidP="00255ACA">
      <w:pPr>
        <w:spacing w:line="360" w:lineRule="auto"/>
        <w:ind w:firstLine="567"/>
        <w:jc w:val="both"/>
        <w:rPr>
          <w:sz w:val="28"/>
          <w:szCs w:val="28"/>
        </w:rPr>
      </w:pPr>
      <w:r w:rsidRPr="00C313C7">
        <w:rPr>
          <w:sz w:val="28"/>
          <w:szCs w:val="28"/>
        </w:rPr>
        <w:t>În scopul creării posibilităţilor utilizării  de către autoritățile publice locale a transferurilor cu destinaţie specială la momentul înregistrării acestora în cont, se propune completarea Legii privind finanţele publice locale cu norma că transferurile cu destinaţie specială se includ în bugetul unităţii administrativ-</w:t>
      </w:r>
      <w:r w:rsidRPr="00C313C7">
        <w:rPr>
          <w:sz w:val="28"/>
          <w:szCs w:val="28"/>
        </w:rPr>
        <w:lastRenderedPageBreak/>
        <w:t>teritoriale în baza dispoziţiei executorului (ordonatorului) principal de buget, cu rectificarea ulterioară a bugetului respectiv, în modul stabilit.</w:t>
      </w:r>
    </w:p>
    <w:p w:rsidR="00255ACA" w:rsidRPr="00C313C7" w:rsidRDefault="00255ACA" w:rsidP="00255ACA">
      <w:pPr>
        <w:spacing w:line="360" w:lineRule="auto"/>
        <w:ind w:firstLine="567"/>
        <w:jc w:val="both"/>
        <w:rPr>
          <w:sz w:val="10"/>
          <w:szCs w:val="10"/>
        </w:rPr>
      </w:pPr>
    </w:p>
    <w:p w:rsidR="00255ACA" w:rsidRPr="00C313C7" w:rsidRDefault="00255ACA" w:rsidP="00255ACA">
      <w:pPr>
        <w:spacing w:line="360" w:lineRule="auto"/>
        <w:ind w:firstLine="567"/>
        <w:jc w:val="both"/>
        <w:rPr>
          <w:sz w:val="28"/>
          <w:szCs w:val="28"/>
        </w:rPr>
      </w:pPr>
      <w:r w:rsidRPr="00C313C7">
        <w:rPr>
          <w:sz w:val="28"/>
          <w:szCs w:val="28"/>
        </w:rPr>
        <w:t xml:space="preserve">Prin Legea nr.847-XIII din 24 mai 1996 privind sistemul bugetar şi procesul bugetar unităţile administrativ-teritoriale de nivelul întîi şi de nivelul al doilea au fost investite cu dreptul de a angaja/acorda, pe bază contractuală, împrumuturi pentru acoperirea decalajului temporar de casă cu scadenţă în acelaşi an bugetar de la bugetele/bugetelor, gestionate în Contul Unic Trezorerial. În acest context, se propune completarea respectivă la Legea privind finanţele publice locale. </w:t>
      </w:r>
    </w:p>
    <w:p w:rsidR="00255ACA" w:rsidRPr="00C313C7" w:rsidRDefault="00255ACA" w:rsidP="00255ACA">
      <w:pPr>
        <w:spacing w:line="360" w:lineRule="auto"/>
        <w:jc w:val="both"/>
        <w:rPr>
          <w:sz w:val="10"/>
          <w:szCs w:val="10"/>
        </w:rPr>
      </w:pPr>
    </w:p>
    <w:p w:rsidR="00255ACA" w:rsidRPr="00C313C7" w:rsidRDefault="00255ACA" w:rsidP="00255ACA">
      <w:pPr>
        <w:spacing w:line="360" w:lineRule="auto"/>
        <w:ind w:firstLine="540"/>
        <w:jc w:val="both"/>
        <w:rPr>
          <w:sz w:val="28"/>
          <w:szCs w:val="28"/>
        </w:rPr>
      </w:pPr>
      <w:r w:rsidRPr="00C313C7">
        <w:rPr>
          <w:sz w:val="28"/>
          <w:szCs w:val="28"/>
        </w:rPr>
        <w:t>Legislația în vigoare permite plasarea mijloacelor soldului temporar liber al bugetului de stat, gestionate prin intermediul Contului Unic Trezorerial al Ministerului Finanţelor, în depozite la Banca Naţională a Moldovei, investirea mijloacelor băneşti temporar disponibile ale fondurilor asigurării obligatorii de asistenţă medicală în hîrtii de valoare de stat şi depozite bancare, utilizarea pentru procurarea valorilor mobiliare şi/sau păstrarea pe conturi bancare depozitare</w:t>
      </w:r>
      <w:r w:rsidRPr="00C313C7">
        <w:t xml:space="preserve"> </w:t>
      </w:r>
      <w:r w:rsidRPr="00C313C7">
        <w:rPr>
          <w:sz w:val="28"/>
          <w:szCs w:val="28"/>
        </w:rPr>
        <w:t>excedentelor anuale ale bugetului asigurărilor sociale de stat. Întru introducerea regulilor similare, se propune completarea Legii privind finanţele publice locale în ce privește investirea Ministerului Finanțelor, la solicitarea autorităţilor executive ale administraţiei publice locale şi în baza deciziilor autorităţilor reprezentative şi deliberative respective, cu dreptul de a plasa mijloacele soldurilor temporar libere ale bugetelor unităţilor administrativ-teritoriale de nivelul întîi şi al doilea, gestionate prin intermediul Contului Unic Trezorerial al Ministerului Finanţelor, în depozite la Banca Naţională a Moldovei.</w:t>
      </w:r>
    </w:p>
    <w:p w:rsidR="00255ACA" w:rsidRPr="00C313C7" w:rsidRDefault="00255ACA" w:rsidP="00255ACA">
      <w:pPr>
        <w:spacing w:line="360" w:lineRule="auto"/>
        <w:ind w:firstLine="540"/>
        <w:jc w:val="both"/>
        <w:rPr>
          <w:sz w:val="10"/>
          <w:szCs w:val="10"/>
        </w:rPr>
      </w:pPr>
    </w:p>
    <w:p w:rsidR="00255ACA" w:rsidRPr="00C313C7" w:rsidRDefault="00255ACA" w:rsidP="00255ACA">
      <w:pPr>
        <w:pStyle w:val="a3"/>
        <w:spacing w:line="360" w:lineRule="auto"/>
        <w:rPr>
          <w:sz w:val="28"/>
          <w:szCs w:val="28"/>
        </w:rPr>
      </w:pPr>
      <w:r w:rsidRPr="00C313C7">
        <w:rPr>
          <w:sz w:val="28"/>
          <w:szCs w:val="28"/>
        </w:rPr>
        <w:t xml:space="preserve">Legea privind finanţele publice locale stabilește că executorul (ordonatorul) principal al bugetului unităţii administrativ-teritoriale este responsabil pentru încasarea veniturilor, cu excepția executorului (ordonatorului) principal al bugetului unităţii administrativ-teritoriale de nivelul al doilea, al municipiului Bălţi şi al municipiului Chişinău, care contribuie la încasarea veniturilor de către organele abilitate cu acest drept. În același timp, Codul Fiscal (în baza modificărilor efectuate) prevede crearea în cadrul primăriilor municipiilor  Bălţi şi Chişinău, de la 1 ianuarie 2012, a serviciilor de colectare a impozitelor şi taxelor </w:t>
      </w:r>
      <w:r w:rsidRPr="00C313C7">
        <w:rPr>
          <w:sz w:val="28"/>
          <w:szCs w:val="28"/>
        </w:rPr>
        <w:lastRenderedPageBreak/>
        <w:t>locale. Reieșind din aceasta, se propune aducerea în concordanță a Legii privind finanţele publice locale cu norma din Codul Fiscal.</w:t>
      </w:r>
    </w:p>
    <w:p w:rsidR="00255ACA" w:rsidRPr="00C313C7" w:rsidRDefault="00255ACA" w:rsidP="00255ACA">
      <w:pPr>
        <w:pStyle w:val="a3"/>
        <w:spacing w:line="360" w:lineRule="auto"/>
        <w:rPr>
          <w:sz w:val="28"/>
          <w:szCs w:val="28"/>
        </w:rPr>
      </w:pPr>
    </w:p>
    <w:p w:rsidR="00255ACA" w:rsidRPr="00C313C7" w:rsidRDefault="00255ACA" w:rsidP="00255ACA">
      <w:pPr>
        <w:pStyle w:val="a3"/>
        <w:spacing w:line="360" w:lineRule="auto"/>
        <w:rPr>
          <w:sz w:val="28"/>
          <w:szCs w:val="28"/>
        </w:rPr>
      </w:pPr>
      <w:r w:rsidRPr="00E140E0">
        <w:rPr>
          <w:b/>
          <w:sz w:val="28"/>
          <w:szCs w:val="28"/>
        </w:rPr>
        <w:t xml:space="preserve">7. </w:t>
      </w:r>
      <w:r w:rsidRPr="00C313C7">
        <w:rPr>
          <w:b/>
          <w:sz w:val="28"/>
          <w:szCs w:val="28"/>
        </w:rPr>
        <w:t xml:space="preserve">Legea nr.289-XV din 22 iulie 2004 privind indemnizaţiile pentru incapacitate temporară de muncă şi alte prestaţii de asigurări sociale </w:t>
      </w:r>
      <w:r w:rsidRPr="00C313C7">
        <w:rPr>
          <w:sz w:val="28"/>
          <w:szCs w:val="28"/>
        </w:rPr>
        <w:t xml:space="preserve">stabilește modul și sursele de finanţare a prestaţiilor de asigurări sociale, inclusiv și a indemnizaţiei pentru incapacitate temporară de muncă cauzată de boli obişnuite sau de accidente nelegate de muncă: a) prima zi calendaristică - din contul bugetului asigurărilor sociale de stat; b) a doua, a treia şi a patra zi calendaristică - din mijloacele financiare ale angajatorului, iar şomerilor – din contul bugetului asigurărilor sociale de stat; c) începînd cu a cincea zi calendaristică – din contul bugetului asigurărilor sociale de stat. </w:t>
      </w:r>
    </w:p>
    <w:p w:rsidR="00255ACA" w:rsidRPr="00C313C7" w:rsidRDefault="00255ACA" w:rsidP="00255ACA">
      <w:pPr>
        <w:pStyle w:val="a3"/>
        <w:spacing w:line="360" w:lineRule="auto"/>
        <w:rPr>
          <w:sz w:val="28"/>
          <w:szCs w:val="28"/>
        </w:rPr>
      </w:pPr>
      <w:r w:rsidRPr="00C313C7">
        <w:rPr>
          <w:sz w:val="28"/>
          <w:szCs w:val="28"/>
        </w:rPr>
        <w:t xml:space="preserve">Cheltuielile la plata indemnizaţiilor pentru concediile medicale cresc din an în an  (în anul 2006 - 231,8 mil.lei, în anul 2007 - 289,6 mil.lei, în anul 2008 - 368,8 mil.lei, în anul 2009 - 410,5 mil.lei, în anul 2010 – 417,71 mil.lei). În mare parte, aceasta rezultă din responsabilitatea redusă a angajatorilor în ceea ce privește crearea condiţiilor favorabile la locul de muncă. În scopul cointeresării economice a angajatorilor întru  crearea condiţiilor optime de muncă, se propune modificarea modului de plată a indemnizaţiei pentru incapacitate temporară de muncă cauzată de boli obişnuite sau de accidente nelegate de muncă, începînd din 2013, şi anume: a) plata pentru primele 5 zile calendaristice - din contul angajatorului, iar şomerilor - din contul bugetului asigurărilor sociale de stat; b) începînd cu a 6-a zi calendaristică – din contul bugetului asigurărilor sociale de stat. </w:t>
      </w:r>
    </w:p>
    <w:p w:rsidR="00255ACA" w:rsidRPr="00C313C7" w:rsidRDefault="00255ACA" w:rsidP="00255ACA">
      <w:pPr>
        <w:spacing w:line="360" w:lineRule="auto"/>
        <w:ind w:firstLine="567"/>
        <w:jc w:val="both"/>
      </w:pPr>
    </w:p>
    <w:p w:rsidR="00255ACA" w:rsidRPr="00C313C7" w:rsidRDefault="00255ACA" w:rsidP="00255ACA">
      <w:pPr>
        <w:pStyle w:val="a3"/>
        <w:spacing w:line="360" w:lineRule="auto"/>
        <w:rPr>
          <w:sz w:val="28"/>
          <w:szCs w:val="28"/>
        </w:rPr>
      </w:pPr>
      <w:r w:rsidRPr="00E140E0">
        <w:rPr>
          <w:b/>
          <w:sz w:val="28"/>
          <w:szCs w:val="28"/>
        </w:rPr>
        <w:t>8.</w:t>
      </w:r>
      <w:r w:rsidRPr="00C313C7">
        <w:rPr>
          <w:sz w:val="28"/>
          <w:szCs w:val="28"/>
        </w:rPr>
        <w:t xml:space="preserve"> </w:t>
      </w:r>
      <w:r w:rsidRPr="00C313C7">
        <w:rPr>
          <w:b/>
          <w:sz w:val="28"/>
          <w:szCs w:val="28"/>
        </w:rPr>
        <w:t>Codul de executare nr.443-XV din 24 decembrie 2004</w:t>
      </w:r>
      <w:r w:rsidRPr="00C313C7">
        <w:rPr>
          <w:sz w:val="28"/>
          <w:szCs w:val="28"/>
        </w:rPr>
        <w:t xml:space="preserve"> prevede, că executorul judecătoresc este în drept să urmărească mijloacele băneşti aflate sau parvenite ulterior în instituţiile financiare pe conturile debitorului ori să aplice sechestru pe mijloacele băneşti care vor fi transferate în viitor. Aceste prevederi pun în pericol realizarea proiectelor finanțate din surse externe, a programelor sau activităților prioritare de stat. </w:t>
      </w:r>
    </w:p>
    <w:p w:rsidR="00255ACA" w:rsidRPr="00C313C7" w:rsidRDefault="00255ACA" w:rsidP="00255ACA">
      <w:pPr>
        <w:spacing w:line="360" w:lineRule="auto"/>
        <w:ind w:firstLine="567"/>
        <w:jc w:val="both"/>
        <w:rPr>
          <w:sz w:val="28"/>
          <w:szCs w:val="28"/>
        </w:rPr>
      </w:pPr>
      <w:r w:rsidRPr="00C313C7">
        <w:rPr>
          <w:sz w:val="28"/>
          <w:szCs w:val="28"/>
        </w:rPr>
        <w:lastRenderedPageBreak/>
        <w:t>Întru implementarea eficientă a proiectelor finanțate din surse externe, a programelor sau activităților prioritare de stat și asigurarea executării condițiilor acordurilor de împrumut încheiate între Republica Moldova și donatorii externi, se propune ca executorul judecătoresc să urmărească mijloacele bănești pe conturile debitorului cu excepția conturilor bancare deschise conform prevederilor acordurilor de împrumut încheiate între Republica Moldova și donatorii externi. În cazul dat, conturile bancare deschise în băncile comerciale de către beneficiarii finali de împrumut vor avea asigurare de protecție împotriva oricăror compensări, sechestre și confiscări de către orice persoană juridică  și/sau fizică.</w:t>
      </w:r>
    </w:p>
    <w:p w:rsidR="00255ACA" w:rsidRPr="00C313C7" w:rsidRDefault="00255ACA" w:rsidP="00255ACA">
      <w:pPr>
        <w:spacing w:line="360" w:lineRule="auto"/>
        <w:ind w:firstLine="567"/>
        <w:jc w:val="both"/>
      </w:pPr>
    </w:p>
    <w:p w:rsidR="00FE36C9" w:rsidRPr="002C65B7" w:rsidRDefault="00FE36C9" w:rsidP="00FE36C9">
      <w:pPr>
        <w:spacing w:line="360" w:lineRule="auto"/>
        <w:ind w:firstLine="567"/>
        <w:jc w:val="both"/>
        <w:rPr>
          <w:sz w:val="28"/>
          <w:szCs w:val="28"/>
        </w:rPr>
      </w:pPr>
      <w:r w:rsidRPr="00E27C04">
        <w:rPr>
          <w:b/>
          <w:sz w:val="28"/>
          <w:szCs w:val="28"/>
        </w:rPr>
        <w:t>9.</w:t>
      </w:r>
      <w:r w:rsidRPr="002C65B7">
        <w:rPr>
          <w:sz w:val="28"/>
          <w:szCs w:val="28"/>
        </w:rPr>
        <w:t xml:space="preserve"> </w:t>
      </w:r>
      <w:r w:rsidRPr="002C65B7">
        <w:rPr>
          <w:b/>
          <w:sz w:val="28"/>
          <w:szCs w:val="28"/>
        </w:rPr>
        <w:t>Legea nr.355-XVI din 23 decembrie 2005 cu privire la sistemul de salarizare în sectorul bugetar</w:t>
      </w:r>
      <w:r w:rsidRPr="002C65B7">
        <w:rPr>
          <w:sz w:val="28"/>
          <w:szCs w:val="28"/>
        </w:rPr>
        <w:t xml:space="preserve"> prevede că:</w:t>
      </w:r>
    </w:p>
    <w:p w:rsidR="00FE36C9" w:rsidRPr="002C65B7" w:rsidRDefault="00FE36C9" w:rsidP="00FE36C9">
      <w:pPr>
        <w:spacing w:line="360" w:lineRule="auto"/>
        <w:ind w:firstLine="567"/>
        <w:jc w:val="both"/>
        <w:rPr>
          <w:sz w:val="28"/>
          <w:szCs w:val="28"/>
        </w:rPr>
      </w:pPr>
      <w:r w:rsidRPr="002C65B7">
        <w:rPr>
          <w:sz w:val="28"/>
          <w:szCs w:val="28"/>
        </w:rPr>
        <w:t>începînd cu anul 2012, pentru rezultate deosebite în activitatea desfăşurată, că cel mult 25 la sută din numărul de funcţii (de specialitate şi de conducere) din unităţile bugetare pot primi un salariu de merit care se stabileşte odată pe an. Alocaţiile pentru acest spor se stabilesc în mărime de 4 la sută din fondul de salarizare şi, prin urmare, pentru anul 2013 constituie 30,1 mil.lei;</w:t>
      </w:r>
    </w:p>
    <w:p w:rsidR="00FE36C9" w:rsidRPr="002C65B7" w:rsidRDefault="00FE36C9" w:rsidP="00FE36C9">
      <w:pPr>
        <w:spacing w:line="360" w:lineRule="auto"/>
        <w:ind w:firstLine="567"/>
        <w:jc w:val="both"/>
        <w:rPr>
          <w:sz w:val="28"/>
          <w:szCs w:val="28"/>
        </w:rPr>
      </w:pPr>
      <w:r w:rsidRPr="002C65B7">
        <w:rPr>
          <w:sz w:val="28"/>
          <w:szCs w:val="28"/>
        </w:rPr>
        <w:t>conform rezultatelor anuale de activitate la sfîrşitul anului calendaristic, începînd cu anul 2012 pentru rezultatele obţinute în anul 2011, cadrelor didactice şi corpului profesoral li se acordă premiul anual în mărime de cel puţin un salariu lunar de bază. Realizarea acestei măsuri necesită mijloace financiare suplimentare pentru anul 2013 în sumă de 183,7 mil.lei;</w:t>
      </w:r>
    </w:p>
    <w:p w:rsidR="00FE36C9" w:rsidRPr="002C65B7" w:rsidRDefault="00FE36C9" w:rsidP="00FE36C9">
      <w:pPr>
        <w:spacing w:line="360" w:lineRule="auto"/>
        <w:ind w:firstLine="567"/>
        <w:jc w:val="both"/>
        <w:rPr>
          <w:sz w:val="28"/>
          <w:szCs w:val="28"/>
        </w:rPr>
      </w:pPr>
      <w:r w:rsidRPr="002C65B7">
        <w:rPr>
          <w:sz w:val="28"/>
          <w:szCs w:val="28"/>
        </w:rPr>
        <w:t xml:space="preserve">începînd cu anul 2012, salariile lunare ale cadrelor didactice şi ale corpului profesoral din învăţămînt se reexaminează şi se majorează anual, de la 1 septembrie, pe măsura creşterii procentuale a salariului mediu prognozat pe economia naţională pentru anul gestionar faţă de salariul mediu al cadrelor didactice şi al corpului profesoral din învăţămînt real atins în trimestrul IV al anului precedent. Reieşind din prevederile legii în vigoare, această măsură urma să fie implementată numai începînd cu luna septembrie anul 2014, deoarece conform prognozei indicatorilor macroeconomici salariul mediu prognozat pe economia naţională va depăşi salariul mediu al cadrelor didactice la finele anului 2013. </w:t>
      </w:r>
      <w:r w:rsidRPr="002C65B7">
        <w:rPr>
          <w:sz w:val="28"/>
          <w:szCs w:val="28"/>
        </w:rPr>
        <w:lastRenderedPageBreak/>
        <w:t>Realizarea acestei măsuri necesită alocarea suplimentară a mijloacelor bugetare pentru anul 2014 în sumă de 95,5 mil.lei.</w:t>
      </w:r>
    </w:p>
    <w:p w:rsidR="00FE36C9" w:rsidRPr="0053190D" w:rsidRDefault="00FE36C9" w:rsidP="00FE36C9">
      <w:pPr>
        <w:spacing w:line="360" w:lineRule="auto"/>
        <w:ind w:firstLine="540"/>
        <w:jc w:val="both"/>
        <w:rPr>
          <w:lang w:val="ro-MO"/>
        </w:rPr>
      </w:pPr>
      <w:r w:rsidRPr="002C65B7">
        <w:rPr>
          <w:sz w:val="28"/>
          <w:szCs w:val="28"/>
        </w:rPr>
        <w:t>Totodată, estimările cadrului de resurse pe termen mediu (2013-2015) denotă lipsa mijloacelor bugetare pentru majorarea cheltuielilor de personal în anii 2013 şi 2014. În condiţiile constrîngerilor bugetare existente, se propune extinderea termenului de intrare în vigoare a acestor norme pînă la 2015 cu modificarea respectivă a legii în cauză.</w:t>
      </w:r>
    </w:p>
    <w:p w:rsidR="00255ACA" w:rsidRPr="00FE36C9" w:rsidRDefault="00255ACA" w:rsidP="00255ACA">
      <w:pPr>
        <w:spacing w:line="360" w:lineRule="auto"/>
        <w:ind w:firstLine="567"/>
        <w:jc w:val="both"/>
        <w:rPr>
          <w:lang w:val="ro-MO"/>
        </w:rPr>
      </w:pPr>
    </w:p>
    <w:p w:rsidR="00255ACA" w:rsidRPr="00C313C7" w:rsidRDefault="00255ACA" w:rsidP="00255ACA">
      <w:pPr>
        <w:spacing w:line="360" w:lineRule="auto"/>
        <w:ind w:firstLine="567"/>
        <w:jc w:val="both"/>
        <w:rPr>
          <w:sz w:val="28"/>
          <w:szCs w:val="28"/>
        </w:rPr>
      </w:pPr>
      <w:r w:rsidRPr="00E140E0">
        <w:rPr>
          <w:b/>
          <w:sz w:val="28"/>
          <w:szCs w:val="28"/>
        </w:rPr>
        <w:t>10.</w:t>
      </w:r>
      <w:r w:rsidRPr="00C313C7">
        <w:rPr>
          <w:sz w:val="28"/>
          <w:szCs w:val="28"/>
        </w:rPr>
        <w:t xml:space="preserve"> </w:t>
      </w:r>
      <w:r w:rsidRPr="00C313C7">
        <w:rPr>
          <w:b/>
          <w:sz w:val="28"/>
          <w:szCs w:val="28"/>
        </w:rPr>
        <w:t>Legea contabilităţii nr.113-XVI din 27aprilie 2007</w:t>
      </w:r>
      <w:r w:rsidRPr="00C313C7">
        <w:rPr>
          <w:sz w:val="28"/>
          <w:szCs w:val="28"/>
        </w:rPr>
        <w:t xml:space="preserve"> stabilește că  politica de contabilitate tip pentru instituţiile publice se elaborează şi se aprobă de Ministerul Finanţelor, iar organele centrale de specialitate ale administraţiei publice pot elabora prevederi suplimentare la politica de contabilitate tip, ţinînd cont de specificul activităţii acestora, coordonate cu Ministerul Finanţelor.</w:t>
      </w:r>
    </w:p>
    <w:p w:rsidR="00255ACA" w:rsidRPr="00C313C7" w:rsidRDefault="00255ACA" w:rsidP="00255ACA">
      <w:pPr>
        <w:spacing w:line="360" w:lineRule="auto"/>
        <w:ind w:firstLine="567"/>
        <w:jc w:val="both"/>
        <w:rPr>
          <w:sz w:val="28"/>
          <w:szCs w:val="28"/>
        </w:rPr>
      </w:pPr>
      <w:r w:rsidRPr="00C313C7">
        <w:rPr>
          <w:sz w:val="28"/>
          <w:szCs w:val="28"/>
        </w:rPr>
        <w:t>Aceste prevederi nu se răsfrăng asupra Companiei Naţionale de Asigurări în Medicină (CNAM) și Casei Naţionale de Asigurări Sociale (CNAS), care sînt  o organizaţie de stat autonomă și o instituţie publică autonomă de interes naţional, respectiv. În prezent, CNAM şi CNAS pentru evidenţa contabilă utilizează Planuri de conturi proprii, apropiate de standardele naţionale de contabilitate, dar care nu corespund cu regulile de evidenţă contabilă stabilite pentru instituţiile publice.</w:t>
      </w:r>
    </w:p>
    <w:p w:rsidR="00255ACA" w:rsidRPr="00C313C7" w:rsidRDefault="00255ACA" w:rsidP="00255ACA">
      <w:pPr>
        <w:spacing w:line="360" w:lineRule="auto"/>
        <w:ind w:firstLine="567"/>
        <w:jc w:val="both"/>
        <w:rPr>
          <w:sz w:val="28"/>
          <w:szCs w:val="28"/>
        </w:rPr>
      </w:pPr>
      <w:r w:rsidRPr="00C313C7">
        <w:rPr>
          <w:sz w:val="28"/>
          <w:szCs w:val="28"/>
        </w:rPr>
        <w:t xml:space="preserve">Ținînd cont de independenţa bugetului asigurărilor sociale de stat și a fondurilor asigurării obligatorii de asistenţă medicală, precum și  particularităţile de ţinere a evidenţei contabile menționate, se propune investirea CNAM şi CNAS cu dreptul să elaboreze de sine stătător politica de contabilitate, cu aprobarea ulterioară de către Ministerul Sănătății și Ministerul Muncii, Protecției Sociale și Familiei și coordonarea cu Ministerul Finanțelor. </w:t>
      </w:r>
    </w:p>
    <w:p w:rsidR="00255ACA" w:rsidRPr="00C313C7" w:rsidRDefault="00255ACA" w:rsidP="00255ACA">
      <w:pPr>
        <w:spacing w:line="360" w:lineRule="auto"/>
        <w:jc w:val="both"/>
      </w:pPr>
    </w:p>
    <w:p w:rsidR="00255ACA" w:rsidRPr="00C313C7" w:rsidRDefault="00255ACA" w:rsidP="00255ACA">
      <w:pPr>
        <w:pStyle w:val="a3"/>
        <w:spacing w:line="360" w:lineRule="auto"/>
        <w:rPr>
          <w:sz w:val="28"/>
          <w:szCs w:val="28"/>
        </w:rPr>
      </w:pPr>
      <w:r w:rsidRPr="00E140E0">
        <w:rPr>
          <w:b/>
          <w:sz w:val="28"/>
          <w:szCs w:val="28"/>
        </w:rPr>
        <w:t>11.</w:t>
      </w:r>
      <w:r w:rsidRPr="00C313C7">
        <w:rPr>
          <w:sz w:val="28"/>
          <w:szCs w:val="28"/>
        </w:rPr>
        <w:t xml:space="preserve"> </w:t>
      </w:r>
      <w:r w:rsidRPr="00C313C7">
        <w:rPr>
          <w:b/>
          <w:sz w:val="28"/>
          <w:szCs w:val="28"/>
        </w:rPr>
        <w:t>Codul contravenţional al Republicii Moldova nr.218-XVI din 24 octombrie 2008</w:t>
      </w:r>
      <w:r w:rsidRPr="00C313C7">
        <w:rPr>
          <w:sz w:val="28"/>
          <w:szCs w:val="28"/>
        </w:rPr>
        <w:t xml:space="preserve"> stabilește că prescripţia înlătură răspunderea contravenţională, termenul cărora este de 3 luni. Perioada indicată nu este suficientă pentru întocmirea procesului-verbal contravențional și adoptarea deciziei privind aplicarea  sancțiunii, întrucît în multe cazuri faptele ce constituie contravenție, sînt depistate </w:t>
      </w:r>
      <w:r w:rsidRPr="00C313C7">
        <w:rPr>
          <w:sz w:val="28"/>
          <w:szCs w:val="28"/>
        </w:rPr>
        <w:lastRenderedPageBreak/>
        <w:t xml:space="preserve">după expirarea termenului de 3 luni. În scopul sporirii responsabilităţii persoanelor cu funcţii de răspundere şi posibilității organelor competente cu drept de control/inspectare de a stabili contravenţii, se propune extinderea termenului pînă la 12 luni. </w:t>
      </w:r>
    </w:p>
    <w:p w:rsidR="00255ACA" w:rsidRPr="00C313C7" w:rsidRDefault="00255ACA" w:rsidP="00255ACA">
      <w:pPr>
        <w:pStyle w:val="a3"/>
        <w:spacing w:line="360" w:lineRule="auto"/>
        <w:rPr>
          <w:sz w:val="10"/>
          <w:szCs w:val="10"/>
        </w:rPr>
      </w:pPr>
    </w:p>
    <w:p w:rsidR="00255ACA" w:rsidRPr="00C313C7" w:rsidRDefault="00255ACA" w:rsidP="00255ACA">
      <w:pPr>
        <w:spacing w:line="360" w:lineRule="auto"/>
        <w:ind w:firstLine="567"/>
        <w:jc w:val="both"/>
        <w:rPr>
          <w:sz w:val="28"/>
          <w:szCs w:val="28"/>
        </w:rPr>
      </w:pPr>
      <w:r w:rsidRPr="00C313C7">
        <w:rPr>
          <w:sz w:val="28"/>
          <w:szCs w:val="28"/>
        </w:rPr>
        <w:t xml:space="preserve">Codul contravenţional stabilește anumite sancțiuni pentru încălcarea regulilor de organizare şi de ţinere a contabilităţii, de întocmire şi prezentare a rapoartelor financiare aplicate persoanelor responsabile în domeniu și persoanelor cu funcții de răspundere. Mărimea acestora, în unele cazuri, nu este comparabilă cu consecințele încălcărilor depistate. Întru sporirea gradului de responsabilitate a persoanelor responsabile și a persoanelor cu funcții de răspundere, se propune majorarea grilei de sancționare, în mediu, de 1,5-3 ori. </w:t>
      </w:r>
    </w:p>
    <w:p w:rsidR="00255ACA" w:rsidRPr="00C313C7" w:rsidRDefault="00255ACA" w:rsidP="00255ACA">
      <w:pPr>
        <w:spacing w:line="360" w:lineRule="auto"/>
        <w:ind w:firstLine="567"/>
        <w:jc w:val="both"/>
        <w:rPr>
          <w:sz w:val="10"/>
          <w:szCs w:val="10"/>
        </w:rPr>
      </w:pPr>
    </w:p>
    <w:p w:rsidR="00255ACA" w:rsidRPr="00C313C7" w:rsidRDefault="00255ACA" w:rsidP="00255ACA">
      <w:pPr>
        <w:spacing w:line="360" w:lineRule="auto"/>
        <w:ind w:firstLine="567"/>
        <w:jc w:val="both"/>
        <w:rPr>
          <w:sz w:val="28"/>
          <w:szCs w:val="28"/>
        </w:rPr>
      </w:pPr>
      <w:r w:rsidRPr="00C313C7">
        <w:rPr>
          <w:sz w:val="28"/>
          <w:szCs w:val="28"/>
        </w:rPr>
        <w:t xml:space="preserve">Concomitent, în scopul sporirii gradului de responsabilitate a persoanelor cu funcții de răspundere, întru organizarea și ținerea evidenţei contabile în baza  documentelor unificate şi strict reglementate și asigurarea veridicității rapoartelor, se propune completarea Codului contravenţional cu anumite sancțiuni. </w:t>
      </w:r>
    </w:p>
    <w:p w:rsidR="00255ACA" w:rsidRPr="00C313C7" w:rsidRDefault="00255ACA" w:rsidP="00255ACA">
      <w:pPr>
        <w:spacing w:line="360" w:lineRule="auto"/>
        <w:ind w:firstLine="567"/>
        <w:jc w:val="both"/>
        <w:rPr>
          <w:sz w:val="10"/>
          <w:szCs w:val="10"/>
        </w:rPr>
      </w:pPr>
    </w:p>
    <w:p w:rsidR="00255ACA" w:rsidRPr="00C313C7" w:rsidRDefault="00255ACA" w:rsidP="00255ACA">
      <w:pPr>
        <w:spacing w:line="360" w:lineRule="auto"/>
        <w:ind w:firstLine="567"/>
        <w:jc w:val="both"/>
        <w:rPr>
          <w:sz w:val="28"/>
          <w:szCs w:val="28"/>
        </w:rPr>
      </w:pPr>
      <w:r w:rsidRPr="00C313C7">
        <w:rPr>
          <w:sz w:val="28"/>
          <w:szCs w:val="28"/>
        </w:rPr>
        <w:t>Codul contravenţional stabilește anumite sancțiuni pentru încălcarea modului de calculare, de aprobare şi de utilizare a mijloacelor bugetare. În mare parte, achitarea acestor  sancțiuni aduce la sustragerea mijloacelor instituțiilor publici preconizate pentru realizarea funcției de bază - prestarea serviciilor publice calitative.</w:t>
      </w:r>
    </w:p>
    <w:p w:rsidR="00255ACA" w:rsidRPr="00C313C7" w:rsidRDefault="00255ACA" w:rsidP="00255ACA">
      <w:pPr>
        <w:spacing w:line="360" w:lineRule="auto"/>
        <w:ind w:firstLine="567"/>
        <w:jc w:val="both"/>
        <w:rPr>
          <w:sz w:val="28"/>
          <w:szCs w:val="28"/>
        </w:rPr>
      </w:pPr>
      <w:r w:rsidRPr="00C313C7">
        <w:rPr>
          <w:sz w:val="28"/>
          <w:szCs w:val="28"/>
        </w:rPr>
        <w:t>Întru sporirea gradului de responsabilitate a persoanelor cu funcți</w:t>
      </w:r>
      <w:r w:rsidR="004E53B3">
        <w:rPr>
          <w:sz w:val="28"/>
          <w:szCs w:val="28"/>
        </w:rPr>
        <w:t>i</w:t>
      </w:r>
      <w:r w:rsidRPr="00C313C7">
        <w:rPr>
          <w:sz w:val="28"/>
          <w:szCs w:val="28"/>
        </w:rPr>
        <w:t xml:space="preserve"> de răspundere la primirea deciziilor pentru gestionarea banilor publice, se propune modificarea respectivă la Codul contravenţional.</w:t>
      </w:r>
    </w:p>
    <w:p w:rsidR="00255ACA" w:rsidRPr="00C313C7" w:rsidRDefault="00255ACA" w:rsidP="00255ACA">
      <w:pPr>
        <w:spacing w:line="360" w:lineRule="auto"/>
        <w:ind w:firstLine="567"/>
        <w:jc w:val="both"/>
        <w:rPr>
          <w:sz w:val="10"/>
          <w:szCs w:val="10"/>
        </w:rPr>
      </w:pPr>
      <w:r w:rsidRPr="00C313C7">
        <w:rPr>
          <w:sz w:val="28"/>
          <w:szCs w:val="28"/>
        </w:rPr>
        <w:t xml:space="preserve"> </w:t>
      </w:r>
    </w:p>
    <w:p w:rsidR="00255ACA" w:rsidRPr="00C313C7" w:rsidRDefault="00255ACA" w:rsidP="00255ACA">
      <w:pPr>
        <w:spacing w:line="360" w:lineRule="auto"/>
        <w:ind w:firstLine="567"/>
        <w:jc w:val="both"/>
        <w:rPr>
          <w:sz w:val="28"/>
          <w:szCs w:val="28"/>
        </w:rPr>
      </w:pPr>
      <w:r w:rsidRPr="00C313C7">
        <w:rPr>
          <w:sz w:val="28"/>
          <w:szCs w:val="28"/>
        </w:rPr>
        <w:t xml:space="preserve">Legea nr.96-XVI din 13 aprilie 2007 privind achizițiile publice prevede că contractele de achiziţii publice a căror valoare estimativă, fără taxa pe valoarea adăugată, nu depăşeşte pragurile 20000 de lei - pentru contractele de achiziţii publice de bunuri și 25000 de lei - pentru contractele de achiziţii publice de lucrări şi servicii se efectuează în conformitate cu Regulamentul achiziţiilor publice de valoare mică, aprobat de Guvern. Hotărîrea Guvernului nr.148 din 14 februarie 2008 a stabilit că contractul de achiziţie publică de valoare mică se înregistrează </w:t>
      </w:r>
      <w:r w:rsidRPr="00C313C7">
        <w:rPr>
          <w:sz w:val="28"/>
          <w:szCs w:val="28"/>
        </w:rPr>
        <w:lastRenderedPageBreak/>
        <w:t>obligatoriu în Trezoreria de Stat sau în una din trezoreriile teritoriale ale Ministerului Finanţelor, dacă valoarea acestuia depăşeşte 10000 lei, fără taxa pe valoarea adăugată. Pentru a evita necesitatea modificării de mai multe ori a prevederilor Codului contravenţional, în cazurile modificării de către Guvern a pragului de achiziții, se propune modificarea Codului contravenţional privind neînregistrarea în unităţile teritoriale ale Trezoreriei de Stat a contractelor de achiziţie de mărfuri, lucrări şi servicii din mijloacele bugetului de stat sau ale bugetelor unităţilor administrativ-teritoriale, în valoarea contractului, stabilit de Guvern.</w:t>
      </w:r>
    </w:p>
    <w:p w:rsidR="00255ACA" w:rsidRPr="00C313C7" w:rsidRDefault="00255ACA" w:rsidP="00255ACA">
      <w:pPr>
        <w:spacing w:line="360" w:lineRule="auto"/>
        <w:ind w:firstLine="567"/>
        <w:jc w:val="both"/>
        <w:rPr>
          <w:sz w:val="10"/>
          <w:szCs w:val="10"/>
        </w:rPr>
      </w:pPr>
    </w:p>
    <w:p w:rsidR="00255ACA" w:rsidRPr="00C313C7" w:rsidRDefault="00255ACA" w:rsidP="00255ACA">
      <w:pPr>
        <w:spacing w:line="360" w:lineRule="auto"/>
        <w:ind w:firstLine="567"/>
        <w:jc w:val="both"/>
        <w:rPr>
          <w:sz w:val="28"/>
          <w:szCs w:val="28"/>
        </w:rPr>
      </w:pPr>
      <w:r w:rsidRPr="00C313C7">
        <w:rPr>
          <w:sz w:val="28"/>
          <w:szCs w:val="28"/>
        </w:rPr>
        <w:t>Rezultatele inspectărilor (controalelor) denotă despre încălcarea legislației în domeniul achizițiilor, cînd procurarea mărfurilor, lucrărilor și serviciilor se  efectuează fără încheierea contractelor respective. Întru eliminarea neajunsurilor menționate, se propune completarea Codului contravenţional cu norma, conform căreia sancțiunile vor fi aplicate persoanei cu funcție de răspundere și în acest caz.</w:t>
      </w:r>
    </w:p>
    <w:p w:rsidR="00255ACA" w:rsidRPr="00C313C7" w:rsidRDefault="00255ACA" w:rsidP="00255ACA">
      <w:pPr>
        <w:spacing w:line="360" w:lineRule="auto"/>
        <w:ind w:firstLine="567"/>
        <w:jc w:val="both"/>
        <w:rPr>
          <w:sz w:val="28"/>
          <w:szCs w:val="28"/>
        </w:rPr>
      </w:pPr>
      <w:r w:rsidRPr="00C313C7">
        <w:rPr>
          <w:sz w:val="28"/>
          <w:szCs w:val="28"/>
        </w:rPr>
        <w:t>Concomitent, întru sporirea gradului de responsabilitate a persoanelor cu funcții de răspundere, se propunere lărgirea plafonului de sancționare pentru încălcarea unor reguli de calculare, de aprobare şi de utilizare a mijloacelor bugetare.</w:t>
      </w:r>
    </w:p>
    <w:p w:rsidR="00255ACA" w:rsidRPr="00C313C7" w:rsidRDefault="00255ACA" w:rsidP="00255ACA">
      <w:pPr>
        <w:pStyle w:val="a3"/>
        <w:spacing w:line="360" w:lineRule="auto"/>
        <w:rPr>
          <w:sz w:val="28"/>
          <w:szCs w:val="28"/>
        </w:rPr>
      </w:pPr>
    </w:p>
    <w:p w:rsidR="00255ACA" w:rsidRPr="00C313C7" w:rsidRDefault="00255ACA" w:rsidP="00255ACA">
      <w:pPr>
        <w:pStyle w:val="a3"/>
        <w:spacing w:line="360" w:lineRule="auto"/>
        <w:rPr>
          <w:sz w:val="28"/>
          <w:szCs w:val="28"/>
        </w:rPr>
      </w:pPr>
      <w:r w:rsidRPr="00E140E0">
        <w:rPr>
          <w:b/>
          <w:sz w:val="28"/>
          <w:szCs w:val="28"/>
        </w:rPr>
        <w:t>12.</w:t>
      </w:r>
      <w:r w:rsidRPr="00C313C7">
        <w:rPr>
          <w:sz w:val="28"/>
          <w:szCs w:val="28"/>
        </w:rPr>
        <w:t xml:space="preserve"> </w:t>
      </w:r>
      <w:r w:rsidRPr="00C313C7">
        <w:rPr>
          <w:b/>
          <w:bCs/>
          <w:sz w:val="28"/>
          <w:szCs w:val="28"/>
        </w:rPr>
        <w:t>Legea nr.276-XVI din 18 decembrie 2008 pentru modificarea și completarea Legii nr.355-XVI din 23 decembrie 2005 cu privire la sistemul de salarizare în sectorul bugetar</w:t>
      </w:r>
      <w:r w:rsidRPr="00C313C7">
        <w:rPr>
          <w:b/>
          <w:sz w:val="28"/>
          <w:szCs w:val="28"/>
        </w:rPr>
        <w:t xml:space="preserve"> </w:t>
      </w:r>
      <w:r w:rsidRPr="00C313C7">
        <w:rPr>
          <w:sz w:val="28"/>
          <w:szCs w:val="28"/>
        </w:rPr>
        <w:t>prevede că, începînd cu anul 2013, salariile de bază pentru militari, efectivul de trupă şi corpul de comandă, angajaţi în serviciul organelor apărării naţionale, securităţii statului şi ordinii publice, salarizaţi în baza Reţelei tarifare unice se vor stabili la nivelul cuantumului minim prevăzut de grilele de salarii cu aplicarea indicelui de prioritate în mărime deplină 1,50. Realizarea acestei măsuri necesită alocarea suplimentară a mijloacelor bugetare pentru anul 2013 în sumă de 34,0 mil.lei, pentru anul 2014 – 205,0 mil.lei.</w:t>
      </w:r>
    </w:p>
    <w:p w:rsidR="00255ACA" w:rsidRPr="00C313C7" w:rsidRDefault="00255ACA" w:rsidP="00255ACA">
      <w:pPr>
        <w:spacing w:line="360" w:lineRule="auto"/>
        <w:ind w:firstLine="540"/>
        <w:jc w:val="both"/>
        <w:rPr>
          <w:sz w:val="28"/>
          <w:szCs w:val="28"/>
        </w:rPr>
      </w:pPr>
      <w:r w:rsidRPr="00C313C7">
        <w:rPr>
          <w:sz w:val="28"/>
          <w:szCs w:val="28"/>
        </w:rPr>
        <w:t xml:space="preserve">Totodată, estimările cadrului de resurse pe termen mediu (2013-2015) denotă lipsa mijloacelor bugetare pentru majorarea cheltuielilor de personal în anii 2013 şi 2014. În condiţiile constrîngerilor bugetare existente, se propune extinderea </w:t>
      </w:r>
      <w:r w:rsidRPr="00C313C7">
        <w:rPr>
          <w:sz w:val="28"/>
          <w:szCs w:val="28"/>
        </w:rPr>
        <w:lastRenderedPageBreak/>
        <w:t>termenului de intrare în vigoare a acestei norme pînă la 2015 cu modificarea respectivă a legii în cauză.</w:t>
      </w:r>
    </w:p>
    <w:p w:rsidR="00255ACA" w:rsidRPr="00C313C7" w:rsidRDefault="00255ACA" w:rsidP="00255ACA">
      <w:pPr>
        <w:spacing w:line="360" w:lineRule="auto"/>
        <w:ind w:firstLine="540"/>
        <w:jc w:val="both"/>
      </w:pPr>
    </w:p>
    <w:p w:rsidR="00255ACA" w:rsidRPr="00C313C7" w:rsidRDefault="00255ACA" w:rsidP="00255ACA">
      <w:pPr>
        <w:spacing w:line="360" w:lineRule="auto"/>
        <w:ind w:firstLine="540"/>
        <w:jc w:val="both"/>
        <w:rPr>
          <w:sz w:val="28"/>
          <w:szCs w:val="28"/>
        </w:rPr>
      </w:pPr>
      <w:r w:rsidRPr="00E140E0">
        <w:rPr>
          <w:b/>
          <w:sz w:val="28"/>
          <w:szCs w:val="28"/>
        </w:rPr>
        <w:t>13.</w:t>
      </w:r>
      <w:r w:rsidRPr="00C313C7">
        <w:rPr>
          <w:sz w:val="28"/>
          <w:szCs w:val="28"/>
        </w:rPr>
        <w:t xml:space="preserve"> </w:t>
      </w:r>
      <w:r w:rsidRPr="00C313C7">
        <w:rPr>
          <w:b/>
          <w:sz w:val="28"/>
          <w:szCs w:val="28"/>
        </w:rPr>
        <w:t>Legea nr.48 din 22 martie 2012 privind sistemul de salarizare a funcţionarilor publici</w:t>
      </w:r>
      <w:r w:rsidRPr="00C313C7">
        <w:rPr>
          <w:sz w:val="28"/>
          <w:szCs w:val="28"/>
        </w:rPr>
        <w:t xml:space="preserve"> prevede că, începînd cu anul 2013, funcţionarilor publici li se va acorda premiul anual egal cu 10% din salariul anual total. În acest sens, în bugetul de stat pentru anul 2013 urmează să fie prevăzute alocațiile în sumă de 120,3 mil.lei.</w:t>
      </w:r>
    </w:p>
    <w:p w:rsidR="00255ACA" w:rsidRPr="00C313C7" w:rsidRDefault="00255ACA" w:rsidP="00255ACA">
      <w:pPr>
        <w:spacing w:line="360" w:lineRule="auto"/>
        <w:ind w:firstLine="540"/>
        <w:jc w:val="both"/>
        <w:rPr>
          <w:sz w:val="28"/>
          <w:szCs w:val="28"/>
        </w:rPr>
      </w:pPr>
      <w:r w:rsidRPr="00C313C7">
        <w:rPr>
          <w:sz w:val="28"/>
          <w:szCs w:val="28"/>
        </w:rPr>
        <w:t>Totodată, estimările cadrului de resurse pe termen mediu (2013-2015) denotă lipsa mijloacelor bugetare pentru majorarea cheltuielilor de personal în anii 2013 şi 2014. În condiţiile constrîngerilor bugetare existente, se propune extinderea termenului de intrare în vigoare a acestei norme pînă la 2015 cu modificarea respectivă a legii în cauză.</w:t>
      </w:r>
    </w:p>
    <w:p w:rsidR="00255ACA" w:rsidRPr="00C313C7" w:rsidRDefault="00255ACA" w:rsidP="00255ACA">
      <w:pPr>
        <w:spacing w:line="360" w:lineRule="auto"/>
        <w:ind w:firstLine="540"/>
        <w:jc w:val="both"/>
        <w:rPr>
          <w:sz w:val="10"/>
          <w:szCs w:val="10"/>
        </w:rPr>
      </w:pPr>
    </w:p>
    <w:p w:rsidR="00255ACA" w:rsidRPr="00C313C7" w:rsidRDefault="00255ACA" w:rsidP="00255ACA">
      <w:pPr>
        <w:spacing w:line="360" w:lineRule="auto"/>
        <w:ind w:firstLine="567"/>
        <w:jc w:val="both"/>
        <w:rPr>
          <w:sz w:val="28"/>
          <w:szCs w:val="28"/>
        </w:rPr>
      </w:pPr>
      <w:r w:rsidRPr="00C313C7">
        <w:rPr>
          <w:sz w:val="28"/>
          <w:szCs w:val="28"/>
        </w:rPr>
        <w:t>Legea privind sistemul de salarizare a funcţionarilor publici stabilește modul de trecere a funcţionarului public într-o treaptă de salarizare superioară, reieșind din rezultatele evaluării performanţelor profesionale individuale. Realizarea acestei măsuri necesită anual circa 69,0 mil.lei. Reieșind din posibilităţile austere ale bugetului de stat, se propune ca trecerea funcţionarului public într-o treaptă de salarizare superioară urmează să fie efectuată în limita alocațiilor bugetare prevăzute pentru anul bugetar respectiv, modificîndu-se legea menționată.</w:t>
      </w:r>
    </w:p>
    <w:p w:rsidR="00255ACA" w:rsidRPr="00C313C7" w:rsidRDefault="00255ACA" w:rsidP="00255ACA">
      <w:pPr>
        <w:spacing w:line="360" w:lineRule="auto"/>
        <w:jc w:val="both"/>
      </w:pPr>
    </w:p>
    <w:p w:rsidR="00255ACA" w:rsidRPr="00C313C7" w:rsidRDefault="00255ACA" w:rsidP="00255ACA">
      <w:pPr>
        <w:spacing w:line="360" w:lineRule="auto"/>
        <w:ind w:firstLine="539"/>
        <w:jc w:val="both"/>
        <w:rPr>
          <w:sz w:val="30"/>
          <w:szCs w:val="30"/>
        </w:rPr>
      </w:pPr>
      <w:r w:rsidRPr="00E140E0">
        <w:rPr>
          <w:b/>
          <w:sz w:val="28"/>
          <w:szCs w:val="28"/>
        </w:rPr>
        <w:t>14.</w:t>
      </w:r>
      <w:r w:rsidRPr="00C313C7">
        <w:rPr>
          <w:sz w:val="28"/>
          <w:szCs w:val="28"/>
        </w:rPr>
        <w:t xml:space="preserve"> Concomitent cu cele menţionate mai sus, proiectul dat de lege mai conţine şi prevederi </w:t>
      </w:r>
      <w:r w:rsidRPr="00C313C7">
        <w:rPr>
          <w:sz w:val="30"/>
          <w:szCs w:val="30"/>
        </w:rPr>
        <w:t>de ajustare a legislaţiei în vederea îmbunătăţirii procesului de elaborare, executare şi administrare a bugetului.</w:t>
      </w:r>
    </w:p>
    <w:p w:rsidR="00207541" w:rsidRPr="00C313C7" w:rsidRDefault="00207541" w:rsidP="00207541">
      <w:pPr>
        <w:spacing w:line="360" w:lineRule="auto"/>
        <w:ind w:firstLine="539"/>
        <w:jc w:val="both"/>
        <w:rPr>
          <w:sz w:val="30"/>
          <w:szCs w:val="30"/>
        </w:rPr>
      </w:pPr>
    </w:p>
    <w:p w:rsidR="00207541" w:rsidRPr="00C313C7" w:rsidRDefault="00207541" w:rsidP="00207541">
      <w:pPr>
        <w:spacing w:line="360" w:lineRule="auto"/>
        <w:ind w:firstLine="567"/>
        <w:jc w:val="right"/>
        <w:rPr>
          <w:b/>
          <w:sz w:val="28"/>
          <w:szCs w:val="28"/>
        </w:rPr>
      </w:pPr>
      <w:r w:rsidRPr="00C313C7">
        <w:rPr>
          <w:b/>
          <w:sz w:val="28"/>
          <w:szCs w:val="28"/>
        </w:rPr>
        <w:t>Ministru</w:t>
      </w:r>
    </w:p>
    <w:p w:rsidR="00207541" w:rsidRPr="00C313C7" w:rsidRDefault="00207541" w:rsidP="00207541">
      <w:pPr>
        <w:spacing w:line="360" w:lineRule="auto"/>
        <w:ind w:firstLine="567"/>
        <w:jc w:val="right"/>
        <w:rPr>
          <w:b/>
          <w:sz w:val="28"/>
          <w:szCs w:val="28"/>
        </w:rPr>
      </w:pPr>
    </w:p>
    <w:p w:rsidR="00207541" w:rsidRPr="00C313C7" w:rsidRDefault="00207541" w:rsidP="00207541">
      <w:pPr>
        <w:spacing w:line="360" w:lineRule="auto"/>
        <w:ind w:firstLine="567"/>
        <w:jc w:val="right"/>
        <w:rPr>
          <w:b/>
          <w:sz w:val="28"/>
          <w:szCs w:val="28"/>
        </w:rPr>
      </w:pPr>
      <w:r w:rsidRPr="00C313C7">
        <w:rPr>
          <w:b/>
          <w:sz w:val="28"/>
          <w:szCs w:val="28"/>
        </w:rPr>
        <w:t>Veaceslav Negruța</w:t>
      </w:r>
    </w:p>
    <w:sectPr w:rsidR="00207541" w:rsidRPr="00C313C7" w:rsidSect="00F85321">
      <w:footerReference w:type="even" r:id="rId7"/>
      <w:footerReference w:type="default" r:id="rId8"/>
      <w:pgSz w:w="11906" w:h="16838"/>
      <w:pgMar w:top="810" w:right="850" w:bottom="45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46D" w:rsidRPr="003C7883" w:rsidRDefault="00EB446D" w:rsidP="002779F8">
      <w:pPr>
        <w:rPr>
          <w:sz w:val="28"/>
          <w:szCs w:val="20"/>
        </w:rPr>
      </w:pPr>
      <w:r>
        <w:separator/>
      </w:r>
    </w:p>
  </w:endnote>
  <w:endnote w:type="continuationSeparator" w:id="1">
    <w:p w:rsidR="00EB446D" w:rsidRPr="003C7883" w:rsidRDefault="00EB446D" w:rsidP="002779F8">
      <w:pPr>
        <w:rPr>
          <w:sz w:val="28"/>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9E" w:rsidRDefault="00E6347B" w:rsidP="00517031">
    <w:pPr>
      <w:pStyle w:val="a5"/>
      <w:framePr w:wrap="around" w:vAnchor="text" w:hAnchor="margin" w:xAlign="right" w:y="1"/>
      <w:rPr>
        <w:rStyle w:val="a7"/>
      </w:rPr>
    </w:pPr>
    <w:r>
      <w:rPr>
        <w:rStyle w:val="a7"/>
      </w:rPr>
      <w:fldChar w:fldCharType="begin"/>
    </w:r>
    <w:r w:rsidR="00207541">
      <w:rPr>
        <w:rStyle w:val="a7"/>
      </w:rPr>
      <w:instrText xml:space="preserve">PAGE  </w:instrText>
    </w:r>
    <w:r>
      <w:rPr>
        <w:rStyle w:val="a7"/>
      </w:rPr>
      <w:fldChar w:fldCharType="end"/>
    </w:r>
  </w:p>
  <w:p w:rsidR="00BF7B9E" w:rsidRDefault="00EB446D" w:rsidP="00CA4AC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B9E" w:rsidRDefault="00E6347B" w:rsidP="00517031">
    <w:pPr>
      <w:pStyle w:val="a5"/>
      <w:framePr w:wrap="around" w:vAnchor="text" w:hAnchor="margin" w:xAlign="right" w:y="1"/>
      <w:rPr>
        <w:rStyle w:val="a7"/>
      </w:rPr>
    </w:pPr>
    <w:r>
      <w:rPr>
        <w:rStyle w:val="a7"/>
      </w:rPr>
      <w:fldChar w:fldCharType="begin"/>
    </w:r>
    <w:r w:rsidR="00207541">
      <w:rPr>
        <w:rStyle w:val="a7"/>
      </w:rPr>
      <w:instrText xml:space="preserve">PAGE  </w:instrText>
    </w:r>
    <w:r>
      <w:rPr>
        <w:rStyle w:val="a7"/>
      </w:rPr>
      <w:fldChar w:fldCharType="separate"/>
    </w:r>
    <w:r w:rsidR="00545B64">
      <w:rPr>
        <w:rStyle w:val="a7"/>
        <w:noProof/>
      </w:rPr>
      <w:t>21</w:t>
    </w:r>
    <w:r>
      <w:rPr>
        <w:rStyle w:val="a7"/>
      </w:rPr>
      <w:fldChar w:fldCharType="end"/>
    </w:r>
  </w:p>
  <w:p w:rsidR="00BF7B9E" w:rsidRDefault="00EB446D" w:rsidP="00CA4AC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46D" w:rsidRPr="003C7883" w:rsidRDefault="00EB446D" w:rsidP="002779F8">
      <w:pPr>
        <w:rPr>
          <w:sz w:val="28"/>
          <w:szCs w:val="20"/>
        </w:rPr>
      </w:pPr>
      <w:r>
        <w:separator/>
      </w:r>
    </w:p>
  </w:footnote>
  <w:footnote w:type="continuationSeparator" w:id="1">
    <w:p w:rsidR="00EB446D" w:rsidRPr="003C7883" w:rsidRDefault="00EB446D" w:rsidP="002779F8">
      <w:pPr>
        <w:rPr>
          <w:sz w:val="28"/>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6CFB"/>
    <w:multiLevelType w:val="hybridMultilevel"/>
    <w:tmpl w:val="1E76E898"/>
    <w:lvl w:ilvl="0" w:tplc="5F3847B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3A422560"/>
    <w:multiLevelType w:val="hybridMultilevel"/>
    <w:tmpl w:val="3796BF86"/>
    <w:lvl w:ilvl="0" w:tplc="13A60B64">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74134E2B"/>
    <w:multiLevelType w:val="hybridMultilevel"/>
    <w:tmpl w:val="F5F6722A"/>
    <w:lvl w:ilvl="0" w:tplc="2B5A7352">
      <w:start w:val="1"/>
      <w:numFmt w:val="decimal"/>
      <w:lvlText w:val="%1."/>
      <w:lvlJc w:val="left"/>
      <w:pPr>
        <w:ind w:left="1407" w:hanging="84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07541"/>
    <w:rsid w:val="000278F9"/>
    <w:rsid w:val="000749CF"/>
    <w:rsid w:val="000B568F"/>
    <w:rsid w:val="000E2E4F"/>
    <w:rsid w:val="000E7825"/>
    <w:rsid w:val="00134C3B"/>
    <w:rsid w:val="00135B1F"/>
    <w:rsid w:val="0015255B"/>
    <w:rsid w:val="001A6BC5"/>
    <w:rsid w:val="00207541"/>
    <w:rsid w:val="00255ACA"/>
    <w:rsid w:val="00274336"/>
    <w:rsid w:val="002779F8"/>
    <w:rsid w:val="002B110F"/>
    <w:rsid w:val="002B4C6D"/>
    <w:rsid w:val="002D1EE5"/>
    <w:rsid w:val="002D2B3D"/>
    <w:rsid w:val="002F1059"/>
    <w:rsid w:val="002F684B"/>
    <w:rsid w:val="003066F2"/>
    <w:rsid w:val="00315F15"/>
    <w:rsid w:val="00317AB1"/>
    <w:rsid w:val="0032251A"/>
    <w:rsid w:val="00340CD8"/>
    <w:rsid w:val="00362D20"/>
    <w:rsid w:val="00365E04"/>
    <w:rsid w:val="00377490"/>
    <w:rsid w:val="003A1720"/>
    <w:rsid w:val="003B206E"/>
    <w:rsid w:val="003C6D30"/>
    <w:rsid w:val="003D38C4"/>
    <w:rsid w:val="003F563B"/>
    <w:rsid w:val="003F664F"/>
    <w:rsid w:val="00406785"/>
    <w:rsid w:val="00414DD0"/>
    <w:rsid w:val="00490C8B"/>
    <w:rsid w:val="00492AD2"/>
    <w:rsid w:val="004A108D"/>
    <w:rsid w:val="004C336D"/>
    <w:rsid w:val="004D1686"/>
    <w:rsid w:val="004E53B3"/>
    <w:rsid w:val="005108AB"/>
    <w:rsid w:val="005456E9"/>
    <w:rsid w:val="00545B64"/>
    <w:rsid w:val="005703D3"/>
    <w:rsid w:val="00586678"/>
    <w:rsid w:val="00586689"/>
    <w:rsid w:val="005971A7"/>
    <w:rsid w:val="005B7AF9"/>
    <w:rsid w:val="005E2553"/>
    <w:rsid w:val="005F06E1"/>
    <w:rsid w:val="006737EB"/>
    <w:rsid w:val="00675B32"/>
    <w:rsid w:val="00695E9E"/>
    <w:rsid w:val="006C2468"/>
    <w:rsid w:val="006D001D"/>
    <w:rsid w:val="006E3174"/>
    <w:rsid w:val="006E3D6D"/>
    <w:rsid w:val="006E7963"/>
    <w:rsid w:val="006F15F7"/>
    <w:rsid w:val="007005CB"/>
    <w:rsid w:val="00727194"/>
    <w:rsid w:val="00741F13"/>
    <w:rsid w:val="007458A1"/>
    <w:rsid w:val="00751D4E"/>
    <w:rsid w:val="007556BB"/>
    <w:rsid w:val="00766CC3"/>
    <w:rsid w:val="007C0BF0"/>
    <w:rsid w:val="007C2132"/>
    <w:rsid w:val="007E3552"/>
    <w:rsid w:val="007F24C1"/>
    <w:rsid w:val="00826912"/>
    <w:rsid w:val="00832A4C"/>
    <w:rsid w:val="00837B01"/>
    <w:rsid w:val="008408D1"/>
    <w:rsid w:val="00881F6A"/>
    <w:rsid w:val="008949F4"/>
    <w:rsid w:val="008A08DE"/>
    <w:rsid w:val="008A7147"/>
    <w:rsid w:val="008B169A"/>
    <w:rsid w:val="008B5E77"/>
    <w:rsid w:val="008D19F2"/>
    <w:rsid w:val="009A699A"/>
    <w:rsid w:val="009C12E2"/>
    <w:rsid w:val="009D200F"/>
    <w:rsid w:val="009E0046"/>
    <w:rsid w:val="00A01930"/>
    <w:rsid w:val="00A0331D"/>
    <w:rsid w:val="00A14A98"/>
    <w:rsid w:val="00A20789"/>
    <w:rsid w:val="00A77211"/>
    <w:rsid w:val="00AA5394"/>
    <w:rsid w:val="00AC0446"/>
    <w:rsid w:val="00B01DBE"/>
    <w:rsid w:val="00B1535C"/>
    <w:rsid w:val="00B3309E"/>
    <w:rsid w:val="00B56962"/>
    <w:rsid w:val="00B723AF"/>
    <w:rsid w:val="00B76186"/>
    <w:rsid w:val="00B82D99"/>
    <w:rsid w:val="00B85AC0"/>
    <w:rsid w:val="00B90B84"/>
    <w:rsid w:val="00C2555C"/>
    <w:rsid w:val="00C313C7"/>
    <w:rsid w:val="00C561A2"/>
    <w:rsid w:val="00C74BE4"/>
    <w:rsid w:val="00C8453B"/>
    <w:rsid w:val="00C93BB4"/>
    <w:rsid w:val="00CD7865"/>
    <w:rsid w:val="00D02572"/>
    <w:rsid w:val="00D20E19"/>
    <w:rsid w:val="00D404A4"/>
    <w:rsid w:val="00D438B2"/>
    <w:rsid w:val="00D569A3"/>
    <w:rsid w:val="00D56BBB"/>
    <w:rsid w:val="00D6604E"/>
    <w:rsid w:val="00DC24FA"/>
    <w:rsid w:val="00DE3451"/>
    <w:rsid w:val="00E13143"/>
    <w:rsid w:val="00E140E0"/>
    <w:rsid w:val="00E15AF2"/>
    <w:rsid w:val="00E22F1C"/>
    <w:rsid w:val="00E23AE6"/>
    <w:rsid w:val="00E27C03"/>
    <w:rsid w:val="00E40FEE"/>
    <w:rsid w:val="00E51C5F"/>
    <w:rsid w:val="00E54F9D"/>
    <w:rsid w:val="00E6347B"/>
    <w:rsid w:val="00E649F4"/>
    <w:rsid w:val="00E808E0"/>
    <w:rsid w:val="00E86192"/>
    <w:rsid w:val="00EB2F61"/>
    <w:rsid w:val="00EB446D"/>
    <w:rsid w:val="00EE5058"/>
    <w:rsid w:val="00F10737"/>
    <w:rsid w:val="00F1432F"/>
    <w:rsid w:val="00F675BB"/>
    <w:rsid w:val="00FC10E6"/>
    <w:rsid w:val="00FD3EC5"/>
    <w:rsid w:val="00FE3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541"/>
    <w:pPr>
      <w:spacing w:after="0" w:line="240" w:lineRule="auto"/>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link w:val="a4"/>
    <w:uiPriority w:val="99"/>
    <w:qFormat/>
    <w:rsid w:val="00207541"/>
    <w:pPr>
      <w:ind w:firstLine="567"/>
      <w:jc w:val="both"/>
    </w:pPr>
  </w:style>
  <w:style w:type="character" w:customStyle="1" w:styleId="a4">
    <w:name w:val="Обычный (веб) Знак"/>
    <w:aliases w:val="Знак Знак, Знак Знак"/>
    <w:basedOn w:val="a0"/>
    <w:link w:val="a3"/>
    <w:uiPriority w:val="99"/>
    <w:locked/>
    <w:rsid w:val="00207541"/>
    <w:rPr>
      <w:rFonts w:ascii="Times New Roman" w:eastAsia="Times New Roman" w:hAnsi="Times New Roman" w:cs="Times New Roman"/>
      <w:sz w:val="24"/>
      <w:szCs w:val="24"/>
      <w:lang w:eastAsia="ru-RU"/>
    </w:rPr>
  </w:style>
  <w:style w:type="paragraph" w:styleId="a5">
    <w:name w:val="footer"/>
    <w:basedOn w:val="a"/>
    <w:link w:val="a6"/>
    <w:rsid w:val="00207541"/>
    <w:pPr>
      <w:tabs>
        <w:tab w:val="center" w:pos="4677"/>
        <w:tab w:val="right" w:pos="9355"/>
      </w:tabs>
    </w:pPr>
  </w:style>
  <w:style w:type="character" w:customStyle="1" w:styleId="a6">
    <w:name w:val="Нижний колонтитул Знак"/>
    <w:basedOn w:val="a0"/>
    <w:link w:val="a5"/>
    <w:rsid w:val="00207541"/>
    <w:rPr>
      <w:rFonts w:ascii="Times New Roman" w:eastAsia="Times New Roman" w:hAnsi="Times New Roman" w:cs="Times New Roman"/>
      <w:sz w:val="24"/>
      <w:szCs w:val="24"/>
      <w:lang w:eastAsia="ru-RU"/>
    </w:rPr>
  </w:style>
  <w:style w:type="character" w:styleId="a7">
    <w:name w:val="page number"/>
    <w:basedOn w:val="a0"/>
    <w:rsid w:val="00207541"/>
  </w:style>
  <w:style w:type="paragraph" w:styleId="a8">
    <w:name w:val="No Spacing"/>
    <w:uiPriority w:val="1"/>
    <w:qFormat/>
    <w:rsid w:val="00207541"/>
    <w:pPr>
      <w:spacing w:after="0" w:line="240" w:lineRule="auto"/>
    </w:pPr>
    <w:rPr>
      <w:rFonts w:eastAsiaTheme="minorEastAsia"/>
      <w:lang w:eastAsia="zh-CN"/>
    </w:rPr>
  </w:style>
  <w:style w:type="paragraph" w:styleId="a9">
    <w:name w:val="List Paragraph"/>
    <w:basedOn w:val="a"/>
    <w:uiPriority w:val="34"/>
    <w:qFormat/>
    <w:rsid w:val="001A6BC5"/>
    <w:pPr>
      <w:ind w:left="720"/>
      <w:contextualSpacing/>
    </w:pPr>
  </w:style>
  <w:style w:type="paragraph" w:styleId="aa">
    <w:name w:val="header"/>
    <w:basedOn w:val="a"/>
    <w:link w:val="ab"/>
    <w:uiPriority w:val="99"/>
    <w:unhideWhenUsed/>
    <w:rsid w:val="00D569A3"/>
    <w:pPr>
      <w:tabs>
        <w:tab w:val="center" w:pos="4677"/>
        <w:tab w:val="right" w:pos="9355"/>
      </w:tabs>
    </w:pPr>
  </w:style>
  <w:style w:type="character" w:customStyle="1" w:styleId="ab">
    <w:name w:val="Верхний колонтитул Знак"/>
    <w:basedOn w:val="a0"/>
    <w:link w:val="aa"/>
    <w:uiPriority w:val="99"/>
    <w:rsid w:val="00D569A3"/>
    <w:rPr>
      <w:rFonts w:ascii="Times New Roman" w:eastAsia="Times New Roman" w:hAnsi="Times New Roman" w:cs="Times New Roman"/>
      <w:sz w:val="24"/>
      <w:szCs w:val="24"/>
      <w:lang w:val="ro-RO"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6885</Words>
  <Characters>39248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Rotaru</dc:creator>
  <cp:lastModifiedBy>Nina Rotaru</cp:lastModifiedBy>
  <cp:revision>8</cp:revision>
  <cp:lastPrinted>2012-06-07T14:23:00Z</cp:lastPrinted>
  <dcterms:created xsi:type="dcterms:W3CDTF">2012-06-07T14:16:00Z</dcterms:created>
  <dcterms:modified xsi:type="dcterms:W3CDTF">2012-06-08T06:06:00Z</dcterms:modified>
</cp:coreProperties>
</file>