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3F1C7E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bookmarkStart w:id="0" w:name="_GoBack"/>
      <w:bookmarkEnd w:id="0"/>
      <w:r w:rsidRPr="003F1C7E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5B6A94" w:rsidRPr="003F1C7E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3F1C7E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aprobarea proiectului de lege pentru modificarea </w:t>
      </w:r>
      <w:r w:rsidR="00720666" w:rsidRPr="003F1C7E">
        <w:rPr>
          <w:rFonts w:ascii="Times New Roman" w:hAnsi="Times New Roman"/>
          <w:b/>
          <w:i/>
          <w:sz w:val="28"/>
          <w:szCs w:val="28"/>
          <w:lang w:val="ro-MO"/>
        </w:rPr>
        <w:t xml:space="preserve">și completarea </w:t>
      </w:r>
      <w:r w:rsidRPr="003F1C7E">
        <w:rPr>
          <w:rFonts w:ascii="Times New Roman" w:hAnsi="Times New Roman"/>
          <w:b/>
          <w:i/>
          <w:sz w:val="28"/>
          <w:szCs w:val="28"/>
          <w:lang w:val="ro-MO"/>
        </w:rPr>
        <w:t>unor acte legislative”</w:t>
      </w:r>
    </w:p>
    <w:p w:rsidR="005B6A94" w:rsidRPr="003F1C7E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p w:rsidR="00932756" w:rsidRPr="003F1C7E" w:rsidRDefault="00932756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5202CB" w:rsidTr="002C3455">
        <w:tc>
          <w:tcPr>
            <w:tcW w:w="9360" w:type="dxa"/>
            <w:shd w:val="clear" w:color="auto" w:fill="D9D9D9"/>
          </w:tcPr>
          <w:p w:rsidR="005B6A94" w:rsidRPr="003F1C7E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3F1C7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5202CB" w:rsidTr="002C3455">
        <w:tc>
          <w:tcPr>
            <w:tcW w:w="9360" w:type="dxa"/>
            <w:shd w:val="clear" w:color="auto" w:fill="auto"/>
          </w:tcPr>
          <w:p w:rsidR="009B6E25" w:rsidRPr="003F1C7E" w:rsidRDefault="009B6E25" w:rsidP="00036DD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16"/>
                <w:szCs w:val="28"/>
                <w:lang w:val="ro-MO"/>
              </w:rPr>
            </w:pPr>
          </w:p>
          <w:p w:rsidR="005B6A94" w:rsidRPr="003F1C7E" w:rsidRDefault="005B6A94" w:rsidP="00036DD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3F1C7E" w:rsidRDefault="00040179" w:rsidP="00036DDF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</w:t>
            </w:r>
            <w:r w:rsidR="006C2939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primă etapă</w:t>
            </w:r>
            <w:r w:rsidR="00344B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reformare a administrației publice a </w:t>
            </w:r>
            <w:r w:rsidR="00FF73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fost aprobarea de către Parlament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Listei ministerelor</w:t>
            </w:r>
            <w:r w:rsidR="007206D3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prin Hotărâ</w:t>
            </w:r>
            <w:r w:rsidR="00FF73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rea 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nr.189/2017</w:t>
            </w:r>
            <w:r w:rsidR="00FF73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Pentru realizarea acestor prevederi, Guvernul a restructurat administrația</w:t>
            </w:r>
            <w:r w:rsidR="00344B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ublică centrală</w:t>
            </w:r>
            <w:r w:rsidR="00FF73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specialitate și 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determinat domeniile</w:t>
            </w:r>
            <w:r w:rsidR="00FF73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activitate a 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ministerelor prin aprobarea regulamentelor de organizare și funcționare a acestora.</w:t>
            </w:r>
          </w:p>
          <w:p w:rsidR="009D500B" w:rsidRPr="003F1C7E" w:rsidRDefault="00E317F1" w:rsidP="009D500B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</w:t>
            </w:r>
            <w:r w:rsidR="00D30C4C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 contextul reformei </w:t>
            </w:r>
            <w:r w:rsidR="00520998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inițiate, Guvernul își propune și reformarea altor autorități administrative din subordinea acestuia.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Astfel,</w:t>
            </w:r>
            <w:r w:rsidR="00EB563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scopul delimitării clare a </w:t>
            </w:r>
            <w:r w:rsidR="009D500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funcțiil</w:t>
            </w:r>
            <w:r w:rsidR="00E031A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or de elaborare și de promovare</w:t>
            </w:r>
            <w:r w:rsidR="009D500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politicilor de </w:t>
            </w:r>
            <w:r w:rsidR="009D500B" w:rsidRPr="003F1C7E">
              <w:rPr>
                <w:rFonts w:ascii="Times New Roman" w:hAnsi="Times New Roman" w:cs="Times New Roman"/>
                <w:sz w:val="28"/>
                <w:szCs w:val="28"/>
                <w:u w:val="single"/>
                <w:lang w:val="ro-MO"/>
              </w:rPr>
              <w:t>funcțiile de implementare a politicilor</w:t>
            </w:r>
            <w:r w:rsidR="00DB0504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3A7C7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fost elaborat proiectul de lege prin care </w:t>
            </w:r>
            <w:r w:rsidR="009D500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se propune </w:t>
            </w:r>
            <w:r w:rsidR="003A7C7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trecerea competențelor Agenției Relații Funciare și Cadastru </w:t>
            </w:r>
            <w:r w:rsidR="00C8662E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elaborare a politicilor </w:t>
            </w:r>
            <w:r w:rsidR="00CF11E2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</w:t>
            </w:r>
            <w:r w:rsidR="00CF11E2" w:rsidRPr="003F1C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competența Mi</w:t>
            </w:r>
            <w:r w:rsidR="002164BE" w:rsidRPr="003F1C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nisterului Agriculturii, Dezvoltării Regionale și Mediului.</w:t>
            </w:r>
          </w:p>
          <w:p w:rsidR="00F066F5" w:rsidRPr="003F1C7E" w:rsidRDefault="00F066F5" w:rsidP="002164BE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5202CB" w:rsidTr="002C3455">
        <w:tc>
          <w:tcPr>
            <w:tcW w:w="9360" w:type="dxa"/>
            <w:shd w:val="clear" w:color="auto" w:fill="D9D9D9"/>
          </w:tcPr>
          <w:p w:rsidR="005B6A94" w:rsidRPr="003F1C7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3F1C7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5202CB" w:rsidTr="002C3455">
        <w:tc>
          <w:tcPr>
            <w:tcW w:w="9360" w:type="dxa"/>
            <w:shd w:val="clear" w:color="auto" w:fill="auto"/>
          </w:tcPr>
          <w:p w:rsidR="00667C05" w:rsidRPr="003F1C7E" w:rsidRDefault="00667C05" w:rsidP="00A9028C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Cs w:val="28"/>
                <w:lang w:val="ro-MO"/>
              </w:rPr>
            </w:pPr>
          </w:p>
          <w:p w:rsidR="003F1C7E" w:rsidRDefault="001529A6" w:rsidP="001F7310">
            <w:pPr>
              <w:pStyle w:val="Frspaiere"/>
              <w:ind w:firstLine="549"/>
              <w:jc w:val="both"/>
              <w:rPr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 proiectul de</w:t>
            </w:r>
            <w:r w:rsidR="004F54C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lege pentru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modificare</w:t>
            </w:r>
            <w:r w:rsidR="004F54C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și completare</w:t>
            </w: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unor acte legisl</w:t>
            </w:r>
            <w:r w:rsidR="00742B2F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ative se propun intervenții la mai multe </w:t>
            </w:r>
            <w:r w:rsidR="00080B1F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legi în care se face </w:t>
            </w:r>
            <w:r w:rsidR="001F731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referire la </w:t>
            </w:r>
            <w:r w:rsidR="009F7DD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Agenția Relații Funciare și C</w:t>
            </w:r>
            <w:r w:rsidR="00742B2F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ad</w:t>
            </w:r>
            <w:r w:rsidR="009F7DD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742B2F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stru</w:t>
            </w:r>
            <w:r w:rsidR="009F7DD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competențele acesteia</w:t>
            </w:r>
            <w:r w:rsidR="002E3DCE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  <w:r w:rsidR="00FC56E5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modificările propuse în proiect vizează </w:t>
            </w:r>
            <w:r w:rsidR="009F7DD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transferul de competențe ale Agenției către </w:t>
            </w:r>
            <w:r w:rsidR="002C2FEB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autoritatea centrală de specialitate a administrației publice care asigură realizarea politicii în domeniul </w:t>
            </w:r>
            <w:r w:rsidR="002C2FEB" w:rsidRPr="003F1C7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relaţiilor funciare, valorificării şi ameliorării terenurilor degradate, organizării teritoriului, cadastrului şi evaluării bunurilor imobile, geodeziei, cartografiei şi </w:t>
            </w:r>
            <w:proofErr w:type="spellStart"/>
            <w:r w:rsidR="002C2FEB" w:rsidRPr="003F1C7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geoinformaticii</w:t>
            </w:r>
            <w:proofErr w:type="spellEnd"/>
            <w:r w:rsidR="002C2FEB" w:rsidRPr="003F1C7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;</w:t>
            </w:r>
            <w:r w:rsidR="000A47E7" w:rsidRPr="003F1C7E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infrastructurii naționale de date spațiale, înregistrării obiectivelor de infrastructură tehnico-edilitară</w:t>
            </w:r>
            <w:r w:rsidR="003F1C7E" w:rsidRPr="003F1C7E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, domeniul adreselor</w:t>
            </w:r>
            <w:r w:rsidR="003F1C7E">
              <w:rPr>
                <w:sz w:val="28"/>
                <w:szCs w:val="28"/>
                <w:lang w:val="ro-MO"/>
              </w:rPr>
              <w:t xml:space="preserve">.  </w:t>
            </w:r>
          </w:p>
          <w:p w:rsidR="001F7310" w:rsidRPr="00B84377" w:rsidRDefault="00B84377" w:rsidP="001F7310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B8437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acest context, domeniile de politici enunțate vor fi date în competența </w:t>
            </w:r>
            <w:r w:rsidR="002C2FEB" w:rsidRPr="00B843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1F7310" w:rsidRPr="00B843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Ministerul</w:t>
            </w:r>
            <w:r w:rsidRPr="00B843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ui</w:t>
            </w:r>
            <w:r w:rsidR="001F7310" w:rsidRPr="00B843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Agriculturii, Dezvoltării Regionale și Mediului.</w:t>
            </w:r>
          </w:p>
          <w:p w:rsidR="00821518" w:rsidRPr="003F1C7E" w:rsidRDefault="00CE23B9" w:rsidP="00A9028C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1F036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Prin urmare, </w:t>
            </w:r>
            <w:r w:rsidR="008F7BD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potrivit </w:t>
            </w:r>
            <w:proofErr w:type="spellStart"/>
            <w:r w:rsidR="008F7BD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art.XVI</w:t>
            </w:r>
            <w:proofErr w:type="spellEnd"/>
            <w:r w:rsidR="008F7BD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proiectul de lege, Guvernul va aduce actele sale normative în conformitate cu prezenta lege, în special va modifica și completa </w:t>
            </w:r>
            <w:proofErr w:type="spellStart"/>
            <w:r w:rsidR="008F7BD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Hotărîrea</w:t>
            </w:r>
            <w:proofErr w:type="spellEnd"/>
            <w:r w:rsidR="008F7BD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nr.695</w:t>
            </w:r>
            <w:r w:rsidR="004119B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/2017 cu privire la organizarea și funcționarea Ministerului Agriculturii, Dezvoltării Regionale și Mediului, atribuind în competența acestuia domeniile </w:t>
            </w:r>
            <w:r w:rsidR="00BD32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 politici e</w:t>
            </w:r>
            <w:r w:rsidR="00DD62D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nunțate, inclusiv prin crearea î</w:t>
            </w:r>
            <w:r w:rsidR="00BD32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 cadrul </w:t>
            </w:r>
            <w:r w:rsidR="00E848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structurii aparatului central al </w:t>
            </w:r>
            <w:r w:rsidR="00BD32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acestui minister a subdiviziunilor </w:t>
            </w:r>
            <w:r w:rsidR="00DD62D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responsabile de elaborarea </w:t>
            </w:r>
            <w:r w:rsidR="00E8480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politicilor în acest sens.</w:t>
            </w:r>
          </w:p>
          <w:p w:rsidR="00594C12" w:rsidRDefault="00A63362" w:rsidP="00796B30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Totodată, </w:t>
            </w:r>
            <w:r w:rsidR="00FA0E7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implementarea po</w:t>
            </w:r>
            <w:r w:rsidR="000321A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liticilor în domeniile indicate</w:t>
            </w:r>
            <w:r w:rsidR="00FA0E7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sunt puse în sarcina – Agenției</w:t>
            </w:r>
            <w:r w:rsidR="007C43D7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Servicii Publice </w:t>
            </w:r>
            <w:r w:rsidR="00796B3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–</w:t>
            </w:r>
            <w:r w:rsidR="00FD198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796B3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avînd</w:t>
            </w:r>
            <w:proofErr w:type="spellEnd"/>
            <w:r w:rsidR="00796B3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vedere</w:t>
            </w:r>
            <w:r w:rsidR="00FD198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competențe</w:t>
            </w:r>
            <w:r w:rsidR="00796B3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le acesteia</w:t>
            </w:r>
            <w:r w:rsidR="00FD1980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</w:t>
            </w:r>
            <w:r w:rsidR="00006F24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 xml:space="preserve">domeniul evidenței de stat </w:t>
            </w:r>
            <w:r w:rsidR="00801B93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și </w:t>
            </w:r>
            <w:r w:rsidR="000321A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înregistrării de stat, </w:t>
            </w:r>
            <w:r w:rsidR="00A954B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</w:t>
            </w:r>
            <w:r w:rsidR="00801B93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res</w:t>
            </w:r>
            <w:r w:rsidR="000321A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urselor informaționale de stat, </w:t>
            </w:r>
            <w:r w:rsidR="00A954B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cadastrului, </w:t>
            </w:r>
            <w:r w:rsidR="000C1A5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datelor spațiale, sistemului de adrese.</w:t>
            </w:r>
          </w:p>
          <w:p w:rsidR="00A916BD" w:rsidRPr="003F1C7E" w:rsidRDefault="00A916BD" w:rsidP="00796B30">
            <w:pPr>
              <w:pStyle w:val="Frspaiere"/>
              <w:ind w:firstLine="549"/>
              <w:jc w:val="both"/>
              <w:rPr>
                <w:rFonts w:ascii="Tahoma" w:eastAsia="Times New Roman" w:hAnsi="Tahoma" w:cs="Tahoma"/>
                <w:sz w:val="18"/>
                <w:szCs w:val="18"/>
                <w:lang w:val="ro-MO" w:eastAsia="ru-RU"/>
              </w:rPr>
            </w:pPr>
          </w:p>
          <w:p w:rsidR="00667C05" w:rsidRPr="003F1C7E" w:rsidRDefault="00667C05" w:rsidP="00193943">
            <w:pPr>
              <w:pStyle w:val="Frspaiere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5202CB" w:rsidTr="002C3455">
        <w:tc>
          <w:tcPr>
            <w:tcW w:w="9360" w:type="dxa"/>
            <w:shd w:val="clear" w:color="auto" w:fill="D9D9D9"/>
          </w:tcPr>
          <w:p w:rsidR="005B6A94" w:rsidRPr="003F1C7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3F1C7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5202CB" w:rsidTr="002C3455">
        <w:tc>
          <w:tcPr>
            <w:tcW w:w="9360" w:type="dxa"/>
            <w:shd w:val="clear" w:color="auto" w:fill="auto"/>
          </w:tcPr>
          <w:p w:rsidR="005B6A94" w:rsidRPr="003F1C7E" w:rsidRDefault="005B6A94" w:rsidP="00D61B43">
            <w:pPr>
              <w:spacing w:after="120"/>
              <w:ind w:firstLine="549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3F1C7E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3F1C7E" w:rsidTr="002C3455">
        <w:tc>
          <w:tcPr>
            <w:tcW w:w="9360" w:type="dxa"/>
            <w:shd w:val="clear" w:color="auto" w:fill="D9D9D9"/>
          </w:tcPr>
          <w:p w:rsidR="005B6A94" w:rsidRPr="003F1C7E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3F1C7E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5202CB" w:rsidTr="002C3455">
        <w:tc>
          <w:tcPr>
            <w:tcW w:w="9360" w:type="dxa"/>
            <w:shd w:val="clear" w:color="auto" w:fill="auto"/>
          </w:tcPr>
          <w:p w:rsidR="005202CB" w:rsidRPr="001D206F" w:rsidRDefault="005202CB" w:rsidP="00D61B43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5202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Efectul economico-financiar al prezentului proiect de </w:t>
            </w:r>
            <w:r w:rsidR="00D61B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lege </w:t>
            </w:r>
            <w:r w:rsidRPr="005202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presupune implicații financiare asupra bugetului de stat, legate de cheltuielile privind eventualele garanții sociale asigurate de legislația în vigoare, ca rezultat al </w:t>
            </w:r>
            <w:r w:rsidR="001D206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trecerii</w:t>
            </w:r>
            <w:r w:rsidR="001D206F" w:rsidRPr="003F1C7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competențelor Agenției Relații Funciare și Cadastru în </w:t>
            </w:r>
            <w:r w:rsidR="001D206F" w:rsidRPr="003F1C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competența Ministerului Agriculturii, Dezvoltării Regionale și Mediului.</w:t>
            </w:r>
          </w:p>
          <w:p w:rsidR="005B6A94" w:rsidRPr="00F34288" w:rsidRDefault="005202CB" w:rsidP="00282F6A">
            <w:pPr>
              <w:pStyle w:val="Frspaiere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2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 urmare, se estimează cheltuieli bugetare de cir</w:t>
            </w:r>
            <w:r w:rsidR="00F342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 100</w:t>
            </w:r>
            <w:r w:rsidRPr="005202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0,0 mii lei însă, se remarcă că, acest efort financiar va fi acoperit din contul alocațiilor aprobate în bugetul de stat pentru implementarea Strategiei de reformă a administrației publice.</w:t>
            </w:r>
          </w:p>
        </w:tc>
      </w:tr>
    </w:tbl>
    <w:p w:rsidR="005B6A94" w:rsidRPr="003F1C7E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3F1C7E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3F1C7E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3F1C7E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0B1B0A" w:rsidRPr="003F1C7E" w:rsidRDefault="000B1B0A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3F1C7E" w:rsidRDefault="00CA4ECF" w:rsidP="00CA4ECF">
      <w:pPr>
        <w:pStyle w:val="Frspaiere"/>
        <w:rPr>
          <w:rFonts w:ascii="Times New Roman" w:hAnsi="Times New Roman" w:cs="Times New Roman"/>
          <w:sz w:val="28"/>
          <w:szCs w:val="28"/>
          <w:lang w:val="ro-MO"/>
        </w:rPr>
      </w:pPr>
      <w:r w:rsidRPr="003F1C7E">
        <w:rPr>
          <w:rFonts w:ascii="Times New Roman" w:hAnsi="Times New Roman" w:cs="Times New Roman"/>
          <w:sz w:val="28"/>
          <w:szCs w:val="28"/>
          <w:lang w:val="ro-MO"/>
        </w:rPr>
        <w:tab/>
        <w:t xml:space="preserve">Director                                                                                     </w:t>
      </w:r>
      <w:r w:rsidRPr="003F1C7E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CA4ECF" w:rsidRPr="003F1C7E" w:rsidRDefault="00CA4ECF" w:rsidP="005B6A94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F1C7E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3F1C7E" w:rsidRDefault="005B6A94" w:rsidP="00A96FDA">
      <w:pPr>
        <w:pStyle w:val="Frspaiere"/>
        <w:jc w:val="both"/>
        <w:rPr>
          <w:lang w:val="ro-MO"/>
        </w:rPr>
      </w:pPr>
      <w:r w:rsidRPr="003F1C7E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3F1C7E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3F1C7E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6F24"/>
    <w:rsid w:val="0000757E"/>
    <w:rsid w:val="00024362"/>
    <w:rsid w:val="000321A0"/>
    <w:rsid w:val="00036C50"/>
    <w:rsid w:val="00036DDF"/>
    <w:rsid w:val="00040179"/>
    <w:rsid w:val="00046261"/>
    <w:rsid w:val="0007767E"/>
    <w:rsid w:val="00080B1F"/>
    <w:rsid w:val="00092D5F"/>
    <w:rsid w:val="000A47E7"/>
    <w:rsid w:val="000B1B0A"/>
    <w:rsid w:val="000C1A54"/>
    <w:rsid w:val="000D118A"/>
    <w:rsid w:val="000D2111"/>
    <w:rsid w:val="00106395"/>
    <w:rsid w:val="001111AC"/>
    <w:rsid w:val="00142304"/>
    <w:rsid w:val="00147B1C"/>
    <w:rsid w:val="00147D4E"/>
    <w:rsid w:val="001529A6"/>
    <w:rsid w:val="00193943"/>
    <w:rsid w:val="001B2095"/>
    <w:rsid w:val="001C721B"/>
    <w:rsid w:val="001D206F"/>
    <w:rsid w:val="001E362B"/>
    <w:rsid w:val="001E591D"/>
    <w:rsid w:val="001F0368"/>
    <w:rsid w:val="001F4FDD"/>
    <w:rsid w:val="001F7310"/>
    <w:rsid w:val="0020762E"/>
    <w:rsid w:val="002164BE"/>
    <w:rsid w:val="002230B2"/>
    <w:rsid w:val="00226165"/>
    <w:rsid w:val="00250952"/>
    <w:rsid w:val="00251C46"/>
    <w:rsid w:val="00281139"/>
    <w:rsid w:val="00281E75"/>
    <w:rsid w:val="00282F6A"/>
    <w:rsid w:val="002A18AF"/>
    <w:rsid w:val="002A7F68"/>
    <w:rsid w:val="002C0A44"/>
    <w:rsid w:val="002C2FEB"/>
    <w:rsid w:val="002D43A4"/>
    <w:rsid w:val="002E3DCE"/>
    <w:rsid w:val="00303830"/>
    <w:rsid w:val="00323427"/>
    <w:rsid w:val="00336086"/>
    <w:rsid w:val="00344BE2"/>
    <w:rsid w:val="003468E1"/>
    <w:rsid w:val="0035504B"/>
    <w:rsid w:val="00363AB5"/>
    <w:rsid w:val="00366FD7"/>
    <w:rsid w:val="00371499"/>
    <w:rsid w:val="00394FAC"/>
    <w:rsid w:val="003A4D14"/>
    <w:rsid w:val="003A7C7B"/>
    <w:rsid w:val="003B1662"/>
    <w:rsid w:val="003C7559"/>
    <w:rsid w:val="003D7C72"/>
    <w:rsid w:val="003E0A6E"/>
    <w:rsid w:val="003F1C7E"/>
    <w:rsid w:val="003F4981"/>
    <w:rsid w:val="0040256E"/>
    <w:rsid w:val="004119BF"/>
    <w:rsid w:val="00417B12"/>
    <w:rsid w:val="00444692"/>
    <w:rsid w:val="00445580"/>
    <w:rsid w:val="00481193"/>
    <w:rsid w:val="00487747"/>
    <w:rsid w:val="0049661F"/>
    <w:rsid w:val="00496C64"/>
    <w:rsid w:val="004A658C"/>
    <w:rsid w:val="004B3E21"/>
    <w:rsid w:val="004B7123"/>
    <w:rsid w:val="004D3856"/>
    <w:rsid w:val="004E68C5"/>
    <w:rsid w:val="004F4094"/>
    <w:rsid w:val="004F54C7"/>
    <w:rsid w:val="004F6607"/>
    <w:rsid w:val="005141E3"/>
    <w:rsid w:val="005202CB"/>
    <w:rsid w:val="00520998"/>
    <w:rsid w:val="00522015"/>
    <w:rsid w:val="005247A9"/>
    <w:rsid w:val="005340F2"/>
    <w:rsid w:val="00537706"/>
    <w:rsid w:val="0056337A"/>
    <w:rsid w:val="00582415"/>
    <w:rsid w:val="0058409C"/>
    <w:rsid w:val="005862BC"/>
    <w:rsid w:val="00594C12"/>
    <w:rsid w:val="005B6A94"/>
    <w:rsid w:val="005C1D73"/>
    <w:rsid w:val="005C7297"/>
    <w:rsid w:val="005E3BBB"/>
    <w:rsid w:val="005E4126"/>
    <w:rsid w:val="005F263C"/>
    <w:rsid w:val="005F2DD3"/>
    <w:rsid w:val="005F3AC3"/>
    <w:rsid w:val="00617FC6"/>
    <w:rsid w:val="00624F20"/>
    <w:rsid w:val="0063059D"/>
    <w:rsid w:val="006355B3"/>
    <w:rsid w:val="006526D0"/>
    <w:rsid w:val="006527B3"/>
    <w:rsid w:val="006627C5"/>
    <w:rsid w:val="00667C05"/>
    <w:rsid w:val="00680BB7"/>
    <w:rsid w:val="006A114D"/>
    <w:rsid w:val="006B333B"/>
    <w:rsid w:val="006B7E6B"/>
    <w:rsid w:val="006C27F1"/>
    <w:rsid w:val="006C2939"/>
    <w:rsid w:val="006D7330"/>
    <w:rsid w:val="0070534D"/>
    <w:rsid w:val="007106A5"/>
    <w:rsid w:val="00720666"/>
    <w:rsid w:val="007206D3"/>
    <w:rsid w:val="00740FA3"/>
    <w:rsid w:val="00742B2F"/>
    <w:rsid w:val="007552CA"/>
    <w:rsid w:val="00786778"/>
    <w:rsid w:val="00796B30"/>
    <w:rsid w:val="007C242B"/>
    <w:rsid w:val="007C43D7"/>
    <w:rsid w:val="007E68AD"/>
    <w:rsid w:val="007E6ECD"/>
    <w:rsid w:val="00801B93"/>
    <w:rsid w:val="00821518"/>
    <w:rsid w:val="00825A4F"/>
    <w:rsid w:val="008452C9"/>
    <w:rsid w:val="0085073D"/>
    <w:rsid w:val="008509BE"/>
    <w:rsid w:val="00852E2F"/>
    <w:rsid w:val="00876EA2"/>
    <w:rsid w:val="008A5565"/>
    <w:rsid w:val="008F1831"/>
    <w:rsid w:val="008F5CC2"/>
    <w:rsid w:val="008F7BDC"/>
    <w:rsid w:val="009219DD"/>
    <w:rsid w:val="00932756"/>
    <w:rsid w:val="00935AEA"/>
    <w:rsid w:val="00941E99"/>
    <w:rsid w:val="00950185"/>
    <w:rsid w:val="0096161A"/>
    <w:rsid w:val="009736C4"/>
    <w:rsid w:val="00980FBE"/>
    <w:rsid w:val="00986C63"/>
    <w:rsid w:val="00992E4C"/>
    <w:rsid w:val="00997AB6"/>
    <w:rsid w:val="009B6E25"/>
    <w:rsid w:val="009B72AA"/>
    <w:rsid w:val="009D1285"/>
    <w:rsid w:val="009D500B"/>
    <w:rsid w:val="009E41BF"/>
    <w:rsid w:val="009F7DD7"/>
    <w:rsid w:val="00A373B5"/>
    <w:rsid w:val="00A463A5"/>
    <w:rsid w:val="00A55156"/>
    <w:rsid w:val="00A63362"/>
    <w:rsid w:val="00A65E11"/>
    <w:rsid w:val="00A665B2"/>
    <w:rsid w:val="00A767C7"/>
    <w:rsid w:val="00A82402"/>
    <w:rsid w:val="00A84B2F"/>
    <w:rsid w:val="00A864D1"/>
    <w:rsid w:val="00A9028C"/>
    <w:rsid w:val="00A916BD"/>
    <w:rsid w:val="00A954B8"/>
    <w:rsid w:val="00A96FDA"/>
    <w:rsid w:val="00AA35DC"/>
    <w:rsid w:val="00AA73C4"/>
    <w:rsid w:val="00AB2245"/>
    <w:rsid w:val="00AB71CA"/>
    <w:rsid w:val="00AD4C0B"/>
    <w:rsid w:val="00AD7FE1"/>
    <w:rsid w:val="00B101AA"/>
    <w:rsid w:val="00B1207E"/>
    <w:rsid w:val="00B21F76"/>
    <w:rsid w:val="00B30A71"/>
    <w:rsid w:val="00B44F67"/>
    <w:rsid w:val="00B526EF"/>
    <w:rsid w:val="00B84377"/>
    <w:rsid w:val="00BC0A05"/>
    <w:rsid w:val="00BD3250"/>
    <w:rsid w:val="00C16CCB"/>
    <w:rsid w:val="00C20F99"/>
    <w:rsid w:val="00C215DD"/>
    <w:rsid w:val="00C315FE"/>
    <w:rsid w:val="00C85DF9"/>
    <w:rsid w:val="00C8662E"/>
    <w:rsid w:val="00CA47C0"/>
    <w:rsid w:val="00CA4ECF"/>
    <w:rsid w:val="00CA7FB5"/>
    <w:rsid w:val="00CB0823"/>
    <w:rsid w:val="00CB40AF"/>
    <w:rsid w:val="00CB5D92"/>
    <w:rsid w:val="00CC23EE"/>
    <w:rsid w:val="00CE23B9"/>
    <w:rsid w:val="00CF11E2"/>
    <w:rsid w:val="00D042FE"/>
    <w:rsid w:val="00D1315C"/>
    <w:rsid w:val="00D30C4C"/>
    <w:rsid w:val="00D61B43"/>
    <w:rsid w:val="00D64413"/>
    <w:rsid w:val="00DA2FA2"/>
    <w:rsid w:val="00DA605F"/>
    <w:rsid w:val="00DB0504"/>
    <w:rsid w:val="00DB05D2"/>
    <w:rsid w:val="00DB7216"/>
    <w:rsid w:val="00DD0923"/>
    <w:rsid w:val="00DD62DB"/>
    <w:rsid w:val="00DD69E8"/>
    <w:rsid w:val="00DE0DDE"/>
    <w:rsid w:val="00E031AE"/>
    <w:rsid w:val="00E04FC4"/>
    <w:rsid w:val="00E317F1"/>
    <w:rsid w:val="00E34950"/>
    <w:rsid w:val="00E36F7B"/>
    <w:rsid w:val="00E4000C"/>
    <w:rsid w:val="00E611FB"/>
    <w:rsid w:val="00E84806"/>
    <w:rsid w:val="00E875D7"/>
    <w:rsid w:val="00E92F49"/>
    <w:rsid w:val="00EB0FA6"/>
    <w:rsid w:val="00EB5637"/>
    <w:rsid w:val="00EC659B"/>
    <w:rsid w:val="00EC6CDD"/>
    <w:rsid w:val="00ED3F00"/>
    <w:rsid w:val="00EE0A17"/>
    <w:rsid w:val="00F066F5"/>
    <w:rsid w:val="00F105C5"/>
    <w:rsid w:val="00F109A4"/>
    <w:rsid w:val="00F17D26"/>
    <w:rsid w:val="00F26B34"/>
    <w:rsid w:val="00F27731"/>
    <w:rsid w:val="00F34288"/>
    <w:rsid w:val="00F4267A"/>
    <w:rsid w:val="00F44815"/>
    <w:rsid w:val="00F46D29"/>
    <w:rsid w:val="00F67792"/>
    <w:rsid w:val="00F70914"/>
    <w:rsid w:val="00F72E1A"/>
    <w:rsid w:val="00F746E1"/>
    <w:rsid w:val="00F74CD8"/>
    <w:rsid w:val="00F90806"/>
    <w:rsid w:val="00F92EF2"/>
    <w:rsid w:val="00FA0E7F"/>
    <w:rsid w:val="00FB7398"/>
    <w:rsid w:val="00FC56E5"/>
    <w:rsid w:val="00FD1980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CorptextCaracter">
    <w:name w:val="Corp text Caracte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6A94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CorptextCaracter">
    <w:name w:val="Corp text Caracter"/>
    <w:link w:val="Corptext"/>
    <w:uiPriority w:val="99"/>
    <w:rsid w:val="005B6A94"/>
    <w:rPr>
      <w:sz w:val="29"/>
      <w:szCs w:val="29"/>
      <w:shd w:val="clear" w:color="auto" w:fill="FFFFFF"/>
    </w:rPr>
  </w:style>
  <w:style w:type="paragraph" w:styleId="Corptext">
    <w:name w:val="Body Text"/>
    <w:basedOn w:val="Normal"/>
    <w:link w:val="CorptextCaracte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F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5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2</cp:revision>
  <cp:lastPrinted>2017-11-20T06:02:00Z</cp:lastPrinted>
  <dcterms:created xsi:type="dcterms:W3CDTF">2017-11-24T07:08:00Z</dcterms:created>
  <dcterms:modified xsi:type="dcterms:W3CDTF">2017-11-24T07:08:00Z</dcterms:modified>
</cp:coreProperties>
</file>