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C6" w:rsidRPr="00EE3B40" w:rsidRDefault="006710F7" w:rsidP="00AC1DA3">
      <w:pPr>
        <w:spacing w:after="0" w:line="240" w:lineRule="auto"/>
        <w:jc w:val="center"/>
        <w:rPr>
          <w:rFonts w:ascii="Times New Roman" w:hAnsi="Times New Roman" w:cs="Times New Roman"/>
          <w:b/>
          <w:sz w:val="28"/>
          <w:szCs w:val="28"/>
          <w:lang w:val="ro-RO"/>
        </w:rPr>
      </w:pPr>
      <w:r w:rsidRPr="00EE3B40">
        <w:rPr>
          <w:rFonts w:ascii="Times New Roman" w:hAnsi="Times New Roman" w:cs="Times New Roman"/>
          <w:b/>
          <w:sz w:val="28"/>
          <w:szCs w:val="28"/>
          <w:lang w:val="ro-RO"/>
        </w:rPr>
        <w:t xml:space="preserve">NOTĂ DE </w:t>
      </w:r>
      <w:r w:rsidR="007B1A28" w:rsidRPr="00EE3B40">
        <w:rPr>
          <w:rFonts w:ascii="Times New Roman" w:hAnsi="Times New Roman" w:cs="Times New Roman"/>
          <w:b/>
          <w:sz w:val="28"/>
          <w:szCs w:val="28"/>
          <w:lang w:val="ro-RO"/>
        </w:rPr>
        <w:t>ARGUMENTARE</w:t>
      </w:r>
    </w:p>
    <w:p w:rsidR="006710F7" w:rsidRPr="00EE3B40" w:rsidRDefault="006710F7" w:rsidP="00AC1DA3">
      <w:pPr>
        <w:spacing w:after="0" w:line="240" w:lineRule="auto"/>
        <w:jc w:val="center"/>
        <w:rPr>
          <w:rFonts w:ascii="Times New Roman" w:hAnsi="Times New Roman" w:cs="Times New Roman"/>
          <w:b/>
          <w:sz w:val="28"/>
          <w:szCs w:val="28"/>
          <w:lang w:val="ro-RO"/>
        </w:rPr>
      </w:pPr>
      <w:r w:rsidRPr="00EE3B40">
        <w:rPr>
          <w:rFonts w:ascii="Times New Roman" w:hAnsi="Times New Roman" w:cs="Times New Roman"/>
          <w:b/>
          <w:sz w:val="28"/>
          <w:szCs w:val="28"/>
          <w:lang w:val="ro-RO"/>
        </w:rPr>
        <w:t xml:space="preserve">la proiectul </w:t>
      </w:r>
      <w:r w:rsidR="00D773CF" w:rsidRPr="00EE3B40">
        <w:rPr>
          <w:rFonts w:ascii="Times New Roman" w:hAnsi="Times New Roman" w:cs="Times New Roman"/>
          <w:b/>
          <w:sz w:val="28"/>
          <w:szCs w:val="28"/>
          <w:lang w:val="ro-RO"/>
        </w:rPr>
        <w:t>Hotărârii</w:t>
      </w:r>
      <w:r w:rsidR="00146F8F" w:rsidRPr="00EE3B40">
        <w:rPr>
          <w:rFonts w:ascii="Times New Roman" w:hAnsi="Times New Roman" w:cs="Times New Roman"/>
          <w:b/>
          <w:sz w:val="28"/>
          <w:szCs w:val="28"/>
          <w:lang w:val="ro-RO"/>
        </w:rPr>
        <w:t xml:space="preserve"> de Guvern </w:t>
      </w:r>
      <w:r w:rsidR="00D773CF" w:rsidRPr="00EE3B40">
        <w:rPr>
          <w:rFonts w:ascii="Times New Roman" w:hAnsi="Times New Roman" w:cs="Times New Roman"/>
          <w:b/>
          <w:sz w:val="28"/>
          <w:szCs w:val="28"/>
          <w:lang w:val="ro-RO"/>
        </w:rPr>
        <w:t>„</w:t>
      </w:r>
      <w:r w:rsidR="00146F8F" w:rsidRPr="00EE3B40">
        <w:rPr>
          <w:rFonts w:ascii="Times New Roman" w:hAnsi="Times New Roman" w:cs="Times New Roman"/>
          <w:b/>
          <w:sz w:val="28"/>
          <w:szCs w:val="28"/>
          <w:lang w:val="ro-RO"/>
        </w:rPr>
        <w:t xml:space="preserve">pentru aprobarea </w:t>
      </w:r>
      <w:r w:rsidR="00D773CF" w:rsidRPr="00EE3B40">
        <w:rPr>
          <w:rFonts w:ascii="Times New Roman" w:hAnsi="Times New Roman" w:cs="Times New Roman"/>
          <w:b/>
          <w:sz w:val="28"/>
          <w:szCs w:val="28"/>
          <w:lang w:val="ro-RO"/>
        </w:rPr>
        <w:t>Regulamentului privind inspecția periodică a sistemelor de climatizare din clădiri”</w:t>
      </w:r>
    </w:p>
    <w:p w:rsidR="006710F7" w:rsidRPr="00EE3B40" w:rsidRDefault="006710F7" w:rsidP="00300147">
      <w:pPr>
        <w:spacing w:after="0" w:line="240" w:lineRule="auto"/>
        <w:jc w:val="both"/>
        <w:rPr>
          <w:rFonts w:ascii="Times New Roman" w:hAnsi="Times New Roman" w:cs="Times New Roman"/>
          <w:sz w:val="28"/>
          <w:szCs w:val="28"/>
          <w:lang w:val="ro-RO"/>
        </w:rPr>
      </w:pPr>
    </w:p>
    <w:p w:rsidR="006710F7" w:rsidRPr="00EE3B40" w:rsidRDefault="00941F3D" w:rsidP="00EE3B40">
      <w:pPr>
        <w:tabs>
          <w:tab w:val="left" w:pos="993"/>
        </w:tabs>
        <w:spacing w:after="0" w:line="240" w:lineRule="auto"/>
        <w:ind w:firstLine="567"/>
        <w:jc w:val="both"/>
        <w:rPr>
          <w:rFonts w:ascii="Times New Roman" w:hAnsi="Times New Roman" w:cs="Times New Roman"/>
          <w:b/>
          <w:sz w:val="28"/>
          <w:szCs w:val="28"/>
          <w:lang w:val="ro-RO"/>
        </w:rPr>
      </w:pPr>
      <w:r w:rsidRPr="00EE3B40">
        <w:rPr>
          <w:rFonts w:ascii="Times New Roman" w:hAnsi="Times New Roman" w:cs="Times New Roman"/>
          <w:b/>
          <w:sz w:val="28"/>
          <w:szCs w:val="28"/>
          <w:lang w:val="ro-RO"/>
        </w:rPr>
        <w:t>1</w:t>
      </w:r>
      <w:r w:rsidRPr="00EE3B40">
        <w:rPr>
          <w:rFonts w:ascii="Times New Roman" w:hAnsi="Times New Roman" w:cs="Times New Roman"/>
          <w:b/>
          <w:sz w:val="28"/>
          <w:szCs w:val="28"/>
          <w:lang w:val="ro-RO"/>
        </w:rPr>
        <w:tab/>
      </w:r>
      <w:r w:rsidR="006710F7" w:rsidRPr="00EE3B40">
        <w:rPr>
          <w:rFonts w:ascii="Times New Roman" w:hAnsi="Times New Roman" w:cs="Times New Roman"/>
          <w:b/>
          <w:sz w:val="28"/>
          <w:szCs w:val="28"/>
          <w:lang w:val="ro-RO"/>
        </w:rPr>
        <w:t>Context</w:t>
      </w:r>
      <w:r w:rsidR="00643FFA" w:rsidRPr="00EE3B40">
        <w:rPr>
          <w:rFonts w:ascii="Times New Roman" w:hAnsi="Times New Roman" w:cs="Times New Roman"/>
          <w:b/>
          <w:sz w:val="28"/>
          <w:szCs w:val="28"/>
          <w:lang w:val="ro-RO"/>
        </w:rPr>
        <w:t xml:space="preserve">ul elaborării proiectului de document </w:t>
      </w:r>
      <w:r w:rsidR="00D773CF"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Clădirilor din Republica Moldova le revin circa 45% în totalul consumului final de energie </w:t>
      </w:r>
      <w:proofErr w:type="spellStart"/>
      <w:r w:rsidRPr="00EE3B40">
        <w:rPr>
          <w:rFonts w:ascii="Times New Roman" w:hAnsi="Times New Roman" w:cs="Times New Roman"/>
          <w:sz w:val="28"/>
          <w:szCs w:val="28"/>
          <w:lang w:val="ro-RO"/>
        </w:rPr>
        <w:t>faţă</w:t>
      </w:r>
      <w:proofErr w:type="spellEnd"/>
      <w:r w:rsidRPr="00EE3B40">
        <w:rPr>
          <w:rFonts w:ascii="Times New Roman" w:hAnsi="Times New Roman" w:cs="Times New Roman"/>
          <w:sz w:val="28"/>
          <w:szCs w:val="28"/>
          <w:lang w:val="ro-RO"/>
        </w:rPr>
        <w:t xml:space="preserve"> de 40% înregistrate în UE. Estimativ, în Republica Moldova, sectorul construcțiilor poate contribui la realizarea unei economii de energie cuprinse între 10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12% din ținta națională de 20% către anul 2020.</w:t>
      </w:r>
    </w:p>
    <w:p w:rsidR="00AC1DA3"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Aceasta însă necesită eforturi suplimentare </w:t>
      </w:r>
      <w:r w:rsidR="00D773CF" w:rsidRPr="00EE3B40">
        <w:rPr>
          <w:rFonts w:ascii="Times New Roman" w:hAnsi="Times New Roman" w:cs="Times New Roman"/>
          <w:sz w:val="28"/>
          <w:szCs w:val="28"/>
          <w:lang w:val="ro-RO"/>
        </w:rPr>
        <w:t>atât</w:t>
      </w:r>
      <w:r w:rsidRPr="00EE3B40">
        <w:rPr>
          <w:rFonts w:ascii="Times New Roman" w:hAnsi="Times New Roman" w:cs="Times New Roman"/>
          <w:sz w:val="28"/>
          <w:szCs w:val="28"/>
          <w:lang w:val="ro-RO"/>
        </w:rPr>
        <w:t xml:space="preserve"> la nivel legislativ,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financiar. O mare parte din clădirile existente au vechimea cuprinsă între 20-60 ani, caracteristicile termice ale cărora sunt scăzute. Aproximativ 56% din clădiri au fost construite înainte de anul 1975, iar 2% - după anul 2003 </w:t>
      </w:r>
      <w:r w:rsidR="00D773CF" w:rsidRPr="00EE3B40">
        <w:rPr>
          <w:rFonts w:ascii="Times New Roman" w:hAnsi="Times New Roman" w:cs="Times New Roman"/>
          <w:sz w:val="28"/>
          <w:szCs w:val="28"/>
          <w:lang w:val="ro-RO"/>
        </w:rPr>
        <w:t>când</w:t>
      </w:r>
      <w:r w:rsidRPr="00EE3B40">
        <w:rPr>
          <w:rFonts w:ascii="Times New Roman" w:hAnsi="Times New Roman" w:cs="Times New Roman"/>
          <w:sz w:val="28"/>
          <w:szCs w:val="28"/>
          <w:lang w:val="ro-RO"/>
        </w:rPr>
        <w:t xml:space="preserve"> a fost introdus standardul privind conservarea energiei în clădiri. Raportat la perioada de exploatare a unei clădiri, sectorul este relativ nou, însă dat fiind că clădirile au fost construite în conformitate cu standardele vechi,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luând</w:t>
      </w:r>
      <w:r w:rsidRPr="00EE3B40">
        <w:rPr>
          <w:rFonts w:ascii="Times New Roman" w:hAnsi="Times New Roman" w:cs="Times New Roman"/>
          <w:sz w:val="28"/>
          <w:szCs w:val="28"/>
          <w:lang w:val="ro-RO"/>
        </w:rPr>
        <w:t xml:space="preserve"> în calcul periodicitatea renovărilor acestora, ele </w:t>
      </w:r>
      <w:r w:rsidR="00D773CF" w:rsidRPr="00EE3B40">
        <w:rPr>
          <w:rFonts w:ascii="Times New Roman" w:hAnsi="Times New Roman" w:cs="Times New Roman"/>
          <w:sz w:val="28"/>
          <w:szCs w:val="28"/>
          <w:lang w:val="ro-RO"/>
        </w:rPr>
        <w:t>sunt</w:t>
      </w:r>
      <w:r w:rsidRPr="00EE3B40">
        <w:rPr>
          <w:rFonts w:ascii="Times New Roman" w:hAnsi="Times New Roman" w:cs="Times New Roman"/>
          <w:sz w:val="28"/>
          <w:szCs w:val="28"/>
          <w:lang w:val="ro-RO"/>
        </w:rPr>
        <w:t xml:space="preserve"> pe departe eficiente.</w:t>
      </w: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Toate aceste clădiri reprezintă subiectul Directivei nr. 2010/31/UE a Parlamentului European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a Consiliului din 19 mai 2010 privind </w:t>
      </w:r>
      <w:r w:rsidR="00D773CF" w:rsidRPr="00EE3B40">
        <w:rPr>
          <w:rFonts w:ascii="Times New Roman" w:hAnsi="Times New Roman" w:cs="Times New Roman"/>
          <w:sz w:val="28"/>
          <w:szCs w:val="28"/>
          <w:lang w:val="ro-RO"/>
        </w:rPr>
        <w:t>performanța</w:t>
      </w:r>
      <w:r w:rsidRPr="00EE3B40">
        <w:rPr>
          <w:rFonts w:ascii="Times New Roman" w:hAnsi="Times New Roman" w:cs="Times New Roman"/>
          <w:sz w:val="28"/>
          <w:szCs w:val="28"/>
          <w:lang w:val="ro-RO"/>
        </w:rPr>
        <w:t xml:space="preserve"> energetică a clădirilor, publicată în Jurnalul Oficial al Uniunii Europene L 153 din 18 iunie 2010 (EPBD) în Uniunea Europeană, care este un instrument comunitar de bază care îmbină diferite instrumente de reglementare, cum ar fi </w:t>
      </w:r>
      <w:r w:rsidR="00D773CF" w:rsidRPr="00EE3B40">
        <w:rPr>
          <w:rFonts w:ascii="Times New Roman" w:hAnsi="Times New Roman" w:cs="Times New Roman"/>
          <w:sz w:val="28"/>
          <w:szCs w:val="28"/>
          <w:lang w:val="ro-RO"/>
        </w:rPr>
        <w:t>cerințele</w:t>
      </w:r>
      <w:r w:rsidRPr="00EE3B40">
        <w:rPr>
          <w:rFonts w:ascii="Times New Roman" w:hAnsi="Times New Roman" w:cs="Times New Roman"/>
          <w:sz w:val="28"/>
          <w:szCs w:val="28"/>
          <w:lang w:val="ro-RO"/>
        </w:rPr>
        <w:t xml:space="preserve"> minime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instrumente cu caracter informativ, acestea fiind certificatele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a clădirii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inspecțiile</w:t>
      </w:r>
      <w:r w:rsidRPr="00EE3B40">
        <w:rPr>
          <w:rFonts w:ascii="Times New Roman" w:hAnsi="Times New Roman" w:cs="Times New Roman"/>
          <w:sz w:val="28"/>
          <w:szCs w:val="28"/>
          <w:lang w:val="ro-RO"/>
        </w:rPr>
        <w:t xml:space="preserve"> periodice ale sistemelor de climatizare.</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prevede următoarele </w:t>
      </w:r>
      <w:r w:rsidR="00D773CF" w:rsidRPr="00EE3B40">
        <w:rPr>
          <w:rFonts w:ascii="Times New Roman" w:hAnsi="Times New Roman" w:cs="Times New Roman"/>
          <w:sz w:val="28"/>
          <w:szCs w:val="28"/>
          <w:lang w:val="ro-RO"/>
        </w:rPr>
        <w:t>obligații</w:t>
      </w:r>
      <w:r w:rsidRPr="00EE3B40">
        <w:rPr>
          <w:rFonts w:ascii="Times New Roman" w:hAnsi="Times New Roman" w:cs="Times New Roman"/>
          <w:sz w:val="28"/>
          <w:szCs w:val="28"/>
          <w:lang w:val="ro-RO"/>
        </w:rPr>
        <w:t xml:space="preserve">: </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stabilirea unor </w:t>
      </w:r>
      <w:r w:rsidR="00D773CF" w:rsidRPr="00EE3B40">
        <w:rPr>
          <w:rFonts w:ascii="Times New Roman" w:hAnsi="Times New Roman" w:cs="Times New Roman"/>
          <w:sz w:val="28"/>
          <w:szCs w:val="28"/>
          <w:lang w:val="ro-RO"/>
        </w:rPr>
        <w:t>cerințe</w:t>
      </w:r>
      <w:r w:rsidRPr="00EE3B40">
        <w:rPr>
          <w:rFonts w:ascii="Times New Roman" w:hAnsi="Times New Roman" w:cs="Times New Roman"/>
          <w:sz w:val="28"/>
          <w:szCs w:val="28"/>
          <w:lang w:val="ro-RO"/>
        </w:rPr>
        <w:t xml:space="preserve"> minime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pentru clădirile noi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cele existente supuse unei renovări majore; </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instituirea unui sistem de certificare a </w:t>
      </w:r>
      <w:r w:rsidR="00D773CF" w:rsidRPr="00EE3B40">
        <w:rPr>
          <w:rFonts w:ascii="Times New Roman" w:hAnsi="Times New Roman" w:cs="Times New Roman"/>
          <w:sz w:val="28"/>
          <w:szCs w:val="28"/>
          <w:lang w:val="ro-RO"/>
        </w:rPr>
        <w:t>performanței</w:t>
      </w:r>
      <w:r w:rsidRPr="00EE3B40">
        <w:rPr>
          <w:rFonts w:ascii="Times New Roman" w:hAnsi="Times New Roman" w:cs="Times New Roman"/>
          <w:sz w:val="28"/>
          <w:szCs w:val="28"/>
          <w:lang w:val="ro-RO"/>
        </w:rPr>
        <w:t xml:space="preserve"> energetice care va oferi </w:t>
      </w:r>
      <w:r w:rsidR="00D773CF" w:rsidRPr="00EE3B40">
        <w:rPr>
          <w:rFonts w:ascii="Times New Roman" w:hAnsi="Times New Roman" w:cs="Times New Roman"/>
          <w:sz w:val="28"/>
          <w:szCs w:val="28"/>
          <w:lang w:val="ro-RO"/>
        </w:rPr>
        <w:t>informații</w:t>
      </w:r>
      <w:r w:rsidRPr="00EE3B40">
        <w:rPr>
          <w:rFonts w:ascii="Times New Roman" w:hAnsi="Times New Roman" w:cs="Times New Roman"/>
          <w:sz w:val="28"/>
          <w:szCs w:val="28"/>
          <w:lang w:val="ro-RO"/>
        </w:rPr>
        <w:t xml:space="preserve"> privind calitatea energetică a unei clădiri,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îmbunătățirile</w:t>
      </w:r>
      <w:r w:rsidRPr="00EE3B40">
        <w:rPr>
          <w:rFonts w:ascii="Times New Roman" w:hAnsi="Times New Roman" w:cs="Times New Roman"/>
          <w:sz w:val="28"/>
          <w:szCs w:val="28"/>
          <w:lang w:val="ro-RO"/>
        </w:rPr>
        <w:t xml:space="preserve"> care pot fi aduse. Certificatele sunt valabile pentru 10 ani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trebuie să fie prezentate </w:t>
      </w:r>
      <w:r w:rsidR="00D773CF" w:rsidRPr="00EE3B40">
        <w:rPr>
          <w:rFonts w:ascii="Times New Roman" w:hAnsi="Times New Roman" w:cs="Times New Roman"/>
          <w:sz w:val="28"/>
          <w:szCs w:val="28"/>
          <w:lang w:val="ro-RO"/>
        </w:rPr>
        <w:t>potențialilor</w:t>
      </w:r>
      <w:r w:rsidRPr="00EE3B40">
        <w:rPr>
          <w:rFonts w:ascii="Times New Roman" w:hAnsi="Times New Roman" w:cs="Times New Roman"/>
          <w:sz w:val="28"/>
          <w:szCs w:val="28"/>
          <w:lang w:val="ro-RO"/>
        </w:rPr>
        <w:t xml:space="preserve"> cumpărători/locatari.</w:t>
      </w:r>
    </w:p>
    <w:p w:rsidR="009D0320"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instituirea unui sistem de </w:t>
      </w:r>
      <w:r w:rsidR="00D773CF" w:rsidRPr="00EE3B40">
        <w:rPr>
          <w:rFonts w:ascii="Times New Roman" w:hAnsi="Times New Roman" w:cs="Times New Roman"/>
          <w:sz w:val="28"/>
          <w:szCs w:val="28"/>
          <w:lang w:val="ro-RO"/>
        </w:rPr>
        <w:t>inspecție</w:t>
      </w:r>
      <w:r w:rsidRPr="00EE3B40">
        <w:rPr>
          <w:rFonts w:ascii="Times New Roman" w:hAnsi="Times New Roman" w:cs="Times New Roman"/>
          <w:sz w:val="28"/>
          <w:szCs w:val="28"/>
          <w:lang w:val="ro-RO"/>
        </w:rPr>
        <w:t xml:space="preserve"> periodică a sistemelor de climatizare, </w:t>
      </w:r>
      <w:r w:rsidR="00D773CF" w:rsidRPr="00EE3B40">
        <w:rPr>
          <w:rFonts w:ascii="Times New Roman" w:hAnsi="Times New Roman" w:cs="Times New Roman"/>
          <w:sz w:val="28"/>
          <w:szCs w:val="28"/>
          <w:lang w:val="ro-RO"/>
        </w:rPr>
        <w:t>având</w:t>
      </w:r>
      <w:r w:rsidRPr="00EE3B40">
        <w:rPr>
          <w:rFonts w:ascii="Times New Roman" w:hAnsi="Times New Roman" w:cs="Times New Roman"/>
          <w:sz w:val="28"/>
          <w:szCs w:val="28"/>
          <w:lang w:val="ro-RO"/>
        </w:rPr>
        <w:t xml:space="preserve"> drept scop monitorizarea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optimizarea </w:t>
      </w:r>
      <w:r w:rsidR="00D773CF" w:rsidRPr="00EE3B40">
        <w:rPr>
          <w:rFonts w:ascii="Times New Roman" w:hAnsi="Times New Roman" w:cs="Times New Roman"/>
          <w:sz w:val="28"/>
          <w:szCs w:val="28"/>
          <w:lang w:val="ro-RO"/>
        </w:rPr>
        <w:t>performanței</w:t>
      </w:r>
      <w:r w:rsidRPr="00EE3B40">
        <w:rPr>
          <w:rFonts w:ascii="Times New Roman" w:hAnsi="Times New Roman" w:cs="Times New Roman"/>
          <w:sz w:val="28"/>
          <w:szCs w:val="28"/>
          <w:lang w:val="ro-RO"/>
        </w:rPr>
        <w:t xml:space="preserve"> energetice a sistemelor de încălzire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de climatizare.</w:t>
      </w:r>
    </w:p>
    <w:p w:rsidR="002A7CF6" w:rsidRPr="00EE3B40" w:rsidRDefault="002A7CF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Îmbunătățirea performanței energetice a clădirilor reprezintă o prioritate a politicilor publice din Republica Moldova. Necesitatea dezvoltării cadrului normativ în acest domeniu este stabilită în principalele documente de politici naționale:</w:t>
      </w:r>
    </w:p>
    <w:p w:rsidR="002A7CF6" w:rsidRPr="00EE3B40" w:rsidRDefault="002A7CF6"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sz w:val="28"/>
          <w:szCs w:val="28"/>
          <w:lang w:val="ro-RO"/>
        </w:rPr>
        <w:t xml:space="preserve">- </w:t>
      </w:r>
      <w:r w:rsidRPr="00EE3B40">
        <w:rPr>
          <w:rFonts w:ascii="Times New Roman" w:hAnsi="Times New Roman" w:cs="Times New Roman"/>
          <w:bCs/>
          <w:sz w:val="28"/>
          <w:szCs w:val="28"/>
          <w:lang w:val="ro-RO"/>
        </w:rPr>
        <w:t xml:space="preserve">Programul </w:t>
      </w:r>
      <w:r w:rsidR="00D773CF" w:rsidRPr="00EE3B40">
        <w:rPr>
          <w:rFonts w:ascii="Times New Roman" w:hAnsi="Times New Roman" w:cs="Times New Roman"/>
          <w:bCs/>
          <w:sz w:val="28"/>
          <w:szCs w:val="28"/>
          <w:lang w:val="ro-RO"/>
        </w:rPr>
        <w:t>național</w:t>
      </w:r>
      <w:r w:rsidRPr="00EE3B40">
        <w:rPr>
          <w:rFonts w:ascii="Times New Roman" w:hAnsi="Times New Roman" w:cs="Times New Roman"/>
          <w:bCs/>
          <w:sz w:val="28"/>
          <w:szCs w:val="28"/>
          <w:lang w:val="ro-RO"/>
        </w:rPr>
        <w:t xml:space="preserve"> pentru </w:t>
      </w:r>
      <w:r w:rsidR="00D773CF" w:rsidRPr="00EE3B40">
        <w:rPr>
          <w:rFonts w:ascii="Times New Roman" w:hAnsi="Times New Roman" w:cs="Times New Roman"/>
          <w:bCs/>
          <w:sz w:val="28"/>
          <w:szCs w:val="28"/>
          <w:lang w:val="ro-RO"/>
        </w:rPr>
        <w:t>eficiență</w:t>
      </w:r>
      <w:r w:rsidRPr="00EE3B40">
        <w:rPr>
          <w:rFonts w:ascii="Times New Roman" w:hAnsi="Times New Roman" w:cs="Times New Roman"/>
          <w:bCs/>
          <w:sz w:val="28"/>
          <w:szCs w:val="28"/>
          <w:lang w:val="ro-RO"/>
        </w:rPr>
        <w:t xml:space="preserve"> energetică 2011-2020, aprobat prin </w:t>
      </w:r>
      <w:r w:rsidR="00D773CF" w:rsidRPr="00EE3B40">
        <w:rPr>
          <w:rFonts w:ascii="Times New Roman" w:hAnsi="Times New Roman" w:cs="Times New Roman"/>
          <w:bCs/>
          <w:sz w:val="28"/>
          <w:szCs w:val="28"/>
          <w:lang w:val="ro-RO"/>
        </w:rPr>
        <w:t>Hotărârea</w:t>
      </w:r>
      <w:r w:rsidRPr="00EE3B40">
        <w:rPr>
          <w:rFonts w:ascii="Times New Roman" w:hAnsi="Times New Roman" w:cs="Times New Roman"/>
          <w:bCs/>
          <w:sz w:val="28"/>
          <w:szCs w:val="28"/>
          <w:lang w:val="ro-RO"/>
        </w:rPr>
        <w:t xml:space="preserve"> Guvernului nr. 833 din 10.11.2011;</w:t>
      </w:r>
    </w:p>
    <w:p w:rsidR="002A7CF6" w:rsidRPr="00EE3B40" w:rsidRDefault="002A7CF6"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bCs/>
          <w:sz w:val="28"/>
          <w:szCs w:val="28"/>
          <w:lang w:val="ro-RO"/>
        </w:rPr>
        <w:t xml:space="preserve">- Strategia energetică a Republicii Moldova </w:t>
      </w:r>
      <w:r w:rsidR="00D773CF" w:rsidRPr="00EE3B40">
        <w:rPr>
          <w:rFonts w:ascii="Times New Roman" w:hAnsi="Times New Roman" w:cs="Times New Roman"/>
          <w:bCs/>
          <w:sz w:val="28"/>
          <w:szCs w:val="28"/>
          <w:lang w:val="ro-RO"/>
        </w:rPr>
        <w:t>până</w:t>
      </w:r>
      <w:r w:rsidRPr="00EE3B40">
        <w:rPr>
          <w:rFonts w:ascii="Times New Roman" w:hAnsi="Times New Roman" w:cs="Times New Roman"/>
          <w:bCs/>
          <w:sz w:val="28"/>
          <w:szCs w:val="28"/>
          <w:lang w:val="ro-RO"/>
        </w:rPr>
        <w:t xml:space="preserve"> în anul 2030, aprobată prin </w:t>
      </w:r>
      <w:r w:rsidR="00D773CF" w:rsidRPr="00EE3B40">
        <w:rPr>
          <w:rFonts w:ascii="Times New Roman" w:hAnsi="Times New Roman" w:cs="Times New Roman"/>
          <w:bCs/>
          <w:sz w:val="28"/>
          <w:szCs w:val="28"/>
          <w:lang w:val="ro-RO"/>
        </w:rPr>
        <w:t>Hotărârea</w:t>
      </w:r>
      <w:r w:rsidRPr="00EE3B40">
        <w:rPr>
          <w:rFonts w:ascii="Times New Roman" w:hAnsi="Times New Roman" w:cs="Times New Roman"/>
          <w:bCs/>
          <w:sz w:val="28"/>
          <w:szCs w:val="28"/>
          <w:lang w:val="ro-RO"/>
        </w:rPr>
        <w:t xml:space="preserve"> Guvernului nr. 102 din 05.02.2013;</w:t>
      </w:r>
    </w:p>
    <w:p w:rsidR="002A7CF6" w:rsidRPr="00EE3B40" w:rsidRDefault="002A7CF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lastRenderedPageBreak/>
        <w:t xml:space="preserve">Elaborarea </w:t>
      </w:r>
      <w:r w:rsidR="007D74CB" w:rsidRPr="00EE3B40">
        <w:rPr>
          <w:rFonts w:ascii="Times New Roman" w:hAnsi="Times New Roman" w:cs="Times New Roman"/>
          <w:sz w:val="28"/>
          <w:szCs w:val="28"/>
          <w:lang w:val="ro-RO"/>
        </w:rPr>
        <w:t xml:space="preserve">proiectul </w:t>
      </w:r>
      <w:r w:rsidR="00D773CF" w:rsidRPr="00EE3B40">
        <w:rPr>
          <w:rFonts w:ascii="Times New Roman" w:hAnsi="Times New Roman" w:cs="Times New Roman"/>
          <w:sz w:val="28"/>
          <w:szCs w:val="28"/>
          <w:lang w:val="ro-RO"/>
        </w:rPr>
        <w:t>Hotărârii de Guvern „</w:t>
      </w:r>
      <w:r w:rsidR="007D74CB" w:rsidRPr="00EE3B40">
        <w:rPr>
          <w:rFonts w:ascii="Times New Roman" w:hAnsi="Times New Roman" w:cs="Times New Roman"/>
          <w:sz w:val="28"/>
          <w:szCs w:val="28"/>
          <w:lang w:val="ro-RO"/>
        </w:rPr>
        <w:t xml:space="preserve">pentru aprobarea Regulamentului privind inspecția periodică a sistemelor </w:t>
      </w:r>
      <w:r w:rsidR="00D773CF" w:rsidRPr="00EE3B40">
        <w:rPr>
          <w:rFonts w:ascii="Times New Roman" w:hAnsi="Times New Roman" w:cs="Times New Roman"/>
          <w:sz w:val="28"/>
          <w:szCs w:val="28"/>
          <w:lang w:val="ro-RO"/>
        </w:rPr>
        <w:t>climatizare din clădiri”</w:t>
      </w:r>
      <w:r w:rsidR="007D74CB" w:rsidRPr="00EE3B40">
        <w:rPr>
          <w:rFonts w:ascii="Times New Roman" w:hAnsi="Times New Roman" w:cs="Times New Roman"/>
          <w:sz w:val="28"/>
          <w:szCs w:val="28"/>
          <w:lang w:val="ro-RO"/>
        </w:rPr>
        <w:t xml:space="preserve"> </w:t>
      </w:r>
      <w:r w:rsidR="00EE3B40" w:rsidRPr="00EE3B40">
        <w:rPr>
          <w:rFonts w:ascii="Times New Roman" w:hAnsi="Times New Roman" w:cs="Times New Roman"/>
          <w:sz w:val="28"/>
          <w:szCs w:val="28"/>
          <w:lang w:val="ro-RO"/>
        </w:rPr>
        <w:t>se efectuează în temeiul</w:t>
      </w:r>
      <w:r w:rsidRPr="00EE3B40">
        <w:rPr>
          <w:rFonts w:ascii="Times New Roman" w:hAnsi="Times New Roman" w:cs="Times New Roman"/>
          <w:sz w:val="28"/>
          <w:szCs w:val="28"/>
          <w:lang w:val="ro-RO"/>
        </w:rPr>
        <w:t xml:space="preserve"> Planului tematic de elaborare a documentelor normative în </w:t>
      </w:r>
      <w:r w:rsidR="00D773CF" w:rsidRPr="00EE3B40">
        <w:rPr>
          <w:rFonts w:ascii="Times New Roman" w:hAnsi="Times New Roman" w:cs="Times New Roman"/>
          <w:sz w:val="28"/>
          <w:szCs w:val="28"/>
          <w:lang w:val="ro-RO"/>
        </w:rPr>
        <w:t>construcții</w:t>
      </w:r>
      <w:r w:rsidRPr="00EE3B40">
        <w:rPr>
          <w:rFonts w:ascii="Times New Roman" w:hAnsi="Times New Roman" w:cs="Times New Roman"/>
          <w:sz w:val="28"/>
          <w:szCs w:val="28"/>
          <w:lang w:val="ro-RO"/>
        </w:rPr>
        <w:t xml:space="preserve"> pe anul 201</w:t>
      </w:r>
      <w:r w:rsidR="00D773CF" w:rsidRPr="00EE3B40">
        <w:rPr>
          <w:rFonts w:ascii="Times New Roman" w:hAnsi="Times New Roman" w:cs="Times New Roman"/>
          <w:sz w:val="28"/>
          <w:szCs w:val="28"/>
          <w:lang w:val="ro-RO"/>
        </w:rPr>
        <w:t>7</w:t>
      </w:r>
      <w:r w:rsidR="00EE3B40" w:rsidRPr="00EE3B40">
        <w:rPr>
          <w:rFonts w:ascii="Times New Roman" w:hAnsi="Times New Roman" w:cs="Times New Roman"/>
          <w:sz w:val="28"/>
          <w:szCs w:val="28"/>
          <w:lang w:val="ro-RO"/>
        </w:rPr>
        <w:t>.</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În Republica Moldova Directiva Europeană 2010/31/UE este transpusă prin Legea nr. 128 din 11 iulie 2014 privind performanța energetică a clădirilor. Conform art. 9 (3) din Legea nr. 128 din 11 iulie 2014 privind performanța energetică a clădirilor ”Cerințele minime de performanță energetică se stabilesc ținând cont de nivelurile optime, din punctul de vedere al costurilor, calculate în conformitate cu o metodologie elaborată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aprobată de organul central de specialitate al administrației publice în economiei și infrastructurii”.</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Proiectul de Hotărâre de Guvern este elaborat în scopul implementării Legii Nr. 128 din 11 iulie 2014 privind performanța energetică a clădirilor (Monitorul Oficial nr.297-309/609 din 10.10.2014) în aplicarea prevederilor art. 25.</w:t>
      </w:r>
    </w:p>
    <w:p w:rsidR="000C0075" w:rsidRPr="00EE3B40" w:rsidRDefault="000C0075" w:rsidP="00EE3B40">
      <w:pPr>
        <w:spacing w:after="0" w:line="240" w:lineRule="auto"/>
        <w:ind w:firstLine="567"/>
        <w:jc w:val="both"/>
        <w:rPr>
          <w:rFonts w:ascii="Times New Roman" w:hAnsi="Times New Roman" w:cs="Times New Roman"/>
          <w:sz w:val="28"/>
          <w:szCs w:val="28"/>
          <w:lang w:val="ro-RO"/>
        </w:rPr>
      </w:pPr>
    </w:p>
    <w:p w:rsidR="00B07C43" w:rsidRPr="00EE3B40" w:rsidRDefault="00886193" w:rsidP="00EE3B40">
      <w:pPr>
        <w:shd w:val="clear" w:color="auto" w:fill="FFFFFF"/>
        <w:tabs>
          <w:tab w:val="left" w:pos="993"/>
        </w:tabs>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b/>
          <w:sz w:val="28"/>
          <w:szCs w:val="28"/>
          <w:lang w:val="ro-RO"/>
        </w:rPr>
        <w:t>2</w:t>
      </w:r>
      <w:r w:rsidR="00992211" w:rsidRPr="00EE3B40">
        <w:rPr>
          <w:rFonts w:ascii="Times New Roman" w:hAnsi="Times New Roman" w:cs="Times New Roman"/>
          <w:b/>
          <w:sz w:val="28"/>
          <w:szCs w:val="28"/>
          <w:lang w:val="ro-RO"/>
        </w:rPr>
        <w:tab/>
      </w:r>
      <w:r w:rsidR="00940B3E" w:rsidRPr="00EE3B40">
        <w:rPr>
          <w:rFonts w:ascii="Times New Roman" w:hAnsi="Times New Roman" w:cs="Times New Roman"/>
          <w:b/>
          <w:sz w:val="28"/>
          <w:szCs w:val="28"/>
          <w:lang w:val="ro-RO"/>
        </w:rPr>
        <w:t>Scopurile</w:t>
      </w:r>
      <w:r w:rsidR="00B07C43" w:rsidRPr="00EE3B40">
        <w:rPr>
          <w:rFonts w:ascii="Times New Roman" w:hAnsi="Times New Roman" w:cs="Times New Roman"/>
          <w:b/>
          <w:sz w:val="28"/>
          <w:szCs w:val="28"/>
          <w:lang w:val="ro-RO"/>
        </w:rPr>
        <w:t xml:space="preserve"> elabor</w:t>
      </w:r>
      <w:r w:rsidR="00940B3E" w:rsidRPr="00EE3B40">
        <w:rPr>
          <w:rFonts w:ascii="Times New Roman" w:hAnsi="Times New Roman" w:cs="Times New Roman"/>
          <w:b/>
          <w:sz w:val="28"/>
          <w:szCs w:val="28"/>
          <w:lang w:val="ro-RO"/>
        </w:rPr>
        <w:t xml:space="preserve">ării </w:t>
      </w:r>
      <w:r w:rsidR="00C25272"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B07C43" w:rsidRPr="00EE3B40" w:rsidRDefault="00B07C43" w:rsidP="00EE3B40">
      <w:pPr>
        <w:shd w:val="clear" w:color="auto" w:fill="FFFFFF"/>
        <w:spacing w:after="0" w:line="240" w:lineRule="auto"/>
        <w:ind w:firstLine="567"/>
        <w:jc w:val="both"/>
        <w:rPr>
          <w:rFonts w:ascii="Times New Roman" w:hAnsi="Times New Roman" w:cs="Times New Roman"/>
          <w:sz w:val="28"/>
          <w:szCs w:val="28"/>
          <w:lang w:val="ro-RO"/>
        </w:rPr>
      </w:pPr>
    </w:p>
    <w:p w:rsidR="00C25272" w:rsidRPr="00EE3B40" w:rsidRDefault="002F621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Europeană 2010/31/UE </w:t>
      </w:r>
      <w:r w:rsidR="00197ACE" w:rsidRPr="00EE3B40">
        <w:rPr>
          <w:rFonts w:ascii="Times New Roman" w:hAnsi="Times New Roman" w:cs="Times New Roman"/>
          <w:sz w:val="28"/>
          <w:szCs w:val="28"/>
          <w:lang w:val="ro-RO"/>
        </w:rPr>
        <w:t xml:space="preserve">din 19 mai 2010 </w:t>
      </w:r>
      <w:r w:rsidRPr="00EE3B40">
        <w:rPr>
          <w:rFonts w:ascii="Times New Roman" w:hAnsi="Times New Roman" w:cs="Times New Roman"/>
          <w:sz w:val="28"/>
          <w:szCs w:val="28"/>
          <w:lang w:val="ro-RO"/>
        </w:rPr>
        <w:t xml:space="preserve">privind performanța energetică a clădirilor </w:t>
      </w:r>
      <w:r w:rsidR="00197ACE" w:rsidRPr="00EE3B40">
        <w:rPr>
          <w:rFonts w:ascii="Times New Roman" w:hAnsi="Times New Roman" w:cs="Times New Roman"/>
          <w:sz w:val="28"/>
          <w:szCs w:val="28"/>
          <w:lang w:val="ro-RO"/>
        </w:rPr>
        <w:t xml:space="preserve">prevede </w:t>
      </w:r>
      <w:r w:rsidR="00CE7559" w:rsidRPr="00EE3B40">
        <w:rPr>
          <w:rFonts w:ascii="Times New Roman" w:hAnsi="Times New Roman" w:cs="Times New Roman"/>
          <w:sz w:val="28"/>
          <w:szCs w:val="28"/>
          <w:lang w:val="ro-RO"/>
        </w:rPr>
        <w:t xml:space="preserve">că statele membre trebuie să </w:t>
      </w:r>
      <w:r w:rsidRPr="00EE3B40">
        <w:rPr>
          <w:rFonts w:ascii="Times New Roman" w:hAnsi="Times New Roman" w:cs="Times New Roman"/>
          <w:sz w:val="28"/>
          <w:szCs w:val="28"/>
          <w:lang w:val="ro-RO"/>
        </w:rPr>
        <w:t xml:space="preserve">stabilească cerințele minime de performanță energetică pentru clădiri și elementele acestora. Cerințele trebuie să fie stabilite în vederea atingerii unor niveluri optime din punctul de vedere al costurilor. Este la latitudinea statelor membre să decidă dacă referința utilizată la nivel național ca și rezultat final al calculelor nivelurilor optime din punctul de vedere al costurilor este cea calculată din perspectivă macroeconomică (luând în considerare costurile și beneficiile investițiilor pentru eficiență energetică pentru societate în ansamblul ei) sau cea calculată din punct de vedere strict financiar (luând în calcul numai investiția ca atare). </w:t>
      </w:r>
    </w:p>
    <w:p w:rsidR="002F6216" w:rsidRPr="00EE3B40" w:rsidRDefault="002F621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Cerințele minime de performanță energetică la nivel național nu trebuie să fie mai mici cu mai mult de 15 % decât rezultatul calculelor nivelurilor optime din punctul de vedere al costurilor, considerat ca fiind referința la nivel național. Nivelul optim din punctul de vedere al costurilor trebuie să se situeze în intervalul nivelurilor de performanță pentru care analiza cost-beneficiu a ciclului de viață este pozitivă.</w:t>
      </w:r>
    </w:p>
    <w:p w:rsidR="002F6216"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Prin proiectul Hotărârii de Guvern se instituie un nou instrument în domeniul eficienței energetice a clădirilor – inspecția periodică a sistemelor de climatizare din clădiri, care are drept scop determinarea eficienței energetice a sistemelor inspectate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elaborarea recomandărilor fezabile privind îmbunătățirea eficienței energetice a acestor sisteme. Inspecției periodice vor fi supuse sistemele de climatizare cu o putere nominală utilă mai mare de 12 kW.</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Hotărârii de Guvern este un instrument operativ destinat experților tehnici de specialitate (inspectorilor sistemelor de climatizare), care vor realiza inspecția periodică a instalațiilor de climatizare, în conformitate cu prevederile Directivei 31/2010/UE, precum și a Legii Nr. 128 din 11 iulie 2014 </w:t>
      </w:r>
      <w:r w:rsidRPr="00EE3B40">
        <w:rPr>
          <w:rFonts w:ascii="Times New Roman" w:hAnsi="Times New Roman" w:cs="Times New Roman"/>
          <w:sz w:val="28"/>
          <w:szCs w:val="28"/>
          <w:lang w:val="ro-RO"/>
        </w:rPr>
        <w:lastRenderedPageBreak/>
        <w:t>privind performanța energetică a clădirilor. Aceste documente prevăd inspecția periodică a sistemelor de climatizare cu puterea nominală de peste 12 kW, la intervale de 5 ani.</w:t>
      </w:r>
    </w:p>
    <w:p w:rsidR="00732DEE"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Puterea de 12 kW se va considera ca putere de răcire a unui sistem centralizat de climatizare care deservește, după caz, o clădire, mai multe clădiri sau zone din clădire, exclusiv apartamentele din blocurile de locuințe.</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p>
    <w:p w:rsidR="007629EA" w:rsidRPr="00EE3B40" w:rsidRDefault="00DE09FF" w:rsidP="00EE3B40">
      <w:pPr>
        <w:shd w:val="clear" w:color="auto" w:fill="FFFFFF"/>
        <w:tabs>
          <w:tab w:val="left" w:pos="993"/>
        </w:tabs>
        <w:spacing w:after="0" w:line="240" w:lineRule="auto"/>
        <w:ind w:firstLine="567"/>
        <w:jc w:val="both"/>
        <w:rPr>
          <w:rFonts w:ascii="Times New Roman" w:hAnsi="Times New Roman" w:cs="Times New Roman"/>
          <w:b/>
          <w:sz w:val="28"/>
          <w:szCs w:val="28"/>
          <w:lang w:val="ro-RO"/>
        </w:rPr>
      </w:pPr>
      <w:r w:rsidRPr="00EE3B40">
        <w:rPr>
          <w:rFonts w:ascii="Times New Roman" w:hAnsi="Times New Roman" w:cs="Times New Roman"/>
          <w:b/>
          <w:sz w:val="28"/>
          <w:szCs w:val="28"/>
          <w:lang w:val="ro-RO"/>
        </w:rPr>
        <w:t>3</w:t>
      </w:r>
      <w:r w:rsidRPr="00EE3B40">
        <w:rPr>
          <w:rFonts w:ascii="Times New Roman" w:hAnsi="Times New Roman" w:cs="Times New Roman"/>
          <w:b/>
          <w:sz w:val="28"/>
          <w:szCs w:val="28"/>
          <w:lang w:val="ro-RO"/>
        </w:rPr>
        <w:tab/>
      </w:r>
      <w:r w:rsidR="007629EA" w:rsidRPr="00EE3B40">
        <w:rPr>
          <w:rFonts w:ascii="Times New Roman" w:hAnsi="Times New Roman" w:cs="Times New Roman"/>
          <w:b/>
          <w:sz w:val="28"/>
          <w:szCs w:val="28"/>
          <w:lang w:val="ro-RO"/>
        </w:rPr>
        <w:t xml:space="preserve">Fundamentarea proiectului </w:t>
      </w:r>
      <w:r w:rsidR="00C25272"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7629EA" w:rsidRPr="00EE3B40" w:rsidRDefault="007629EA" w:rsidP="00EE3B40">
      <w:pPr>
        <w:shd w:val="clear" w:color="auto" w:fill="FFFFFF"/>
        <w:spacing w:after="0" w:line="240" w:lineRule="auto"/>
        <w:ind w:firstLine="567"/>
        <w:jc w:val="both"/>
        <w:rPr>
          <w:rFonts w:ascii="Times New Roman" w:hAnsi="Times New Roman" w:cs="Times New Roman"/>
          <w:sz w:val="28"/>
          <w:szCs w:val="28"/>
          <w:lang w:val="ro-RO"/>
        </w:rPr>
      </w:pPr>
    </w:p>
    <w:p w:rsidR="00B66740" w:rsidRPr="00EE3B40" w:rsidRDefault="00E74DA3"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w:t>
      </w:r>
      <w:r w:rsidR="00C25272" w:rsidRPr="00EE3B40">
        <w:rPr>
          <w:rFonts w:ascii="Times New Roman" w:hAnsi="Times New Roman" w:cs="Times New Roman"/>
          <w:sz w:val="28"/>
          <w:szCs w:val="28"/>
          <w:lang w:val="ro-RO"/>
        </w:rPr>
        <w:t>Hotărârii</w:t>
      </w:r>
      <w:r w:rsidR="000272B9" w:rsidRPr="00EE3B40">
        <w:rPr>
          <w:rFonts w:ascii="Times New Roman" w:hAnsi="Times New Roman" w:cs="Times New Roman"/>
          <w:sz w:val="28"/>
          <w:szCs w:val="28"/>
          <w:lang w:val="ro-RO"/>
        </w:rPr>
        <w:t xml:space="preserve"> de Guvern</w:t>
      </w:r>
      <w:r w:rsidRPr="00EE3B40">
        <w:rPr>
          <w:rFonts w:ascii="Times New Roman" w:hAnsi="Times New Roman" w:cs="Times New Roman"/>
          <w:sz w:val="28"/>
          <w:szCs w:val="28"/>
          <w:lang w:val="ro-RO"/>
        </w:rPr>
        <w:t xml:space="preserve"> </w:t>
      </w:r>
      <w:r w:rsidR="00295C19" w:rsidRPr="00EE3B40">
        <w:rPr>
          <w:rFonts w:ascii="Times New Roman" w:hAnsi="Times New Roman" w:cs="Times New Roman"/>
          <w:sz w:val="28"/>
          <w:szCs w:val="28"/>
          <w:lang w:val="ro-RO"/>
        </w:rPr>
        <w:t>este elaborat în conformitate cu următoarele acte normative ale Uniunii Europene:</w:t>
      </w:r>
    </w:p>
    <w:p w:rsidR="00295C19" w:rsidRPr="00EE3B40" w:rsidRDefault="000272B9"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00295C19" w:rsidRPr="00EE3B40">
        <w:rPr>
          <w:rFonts w:ascii="Times New Roman" w:hAnsi="Times New Roman" w:cs="Times New Roman"/>
          <w:sz w:val="28"/>
          <w:szCs w:val="28"/>
          <w:lang w:val="ro-RO"/>
        </w:rPr>
        <w:t xml:space="preserve"> Directiva Europeană 2010/31/UE din 19 mai 2010 privind performanța energetică a clădirilor</w:t>
      </w:r>
      <w:r w:rsidR="006A71FD" w:rsidRPr="00EE3B40">
        <w:rPr>
          <w:rFonts w:ascii="Times New Roman" w:hAnsi="Times New Roman" w:cs="Times New Roman"/>
          <w:sz w:val="28"/>
          <w:szCs w:val="28"/>
          <w:lang w:val="ro-RO"/>
        </w:rPr>
        <w:t>;</w:t>
      </w:r>
    </w:p>
    <w:p w:rsidR="000272B9" w:rsidRPr="00EE3B40" w:rsidRDefault="000272B9"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Legea nr. 128 din 11 iulie 2014 privind performanța energetică a clădirilor;</w:t>
      </w:r>
    </w:p>
    <w:p w:rsidR="00C250CF" w:rsidRPr="00EE3B40" w:rsidRDefault="000272B9"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sz w:val="28"/>
          <w:szCs w:val="28"/>
          <w:lang w:val="ro-RO"/>
        </w:rPr>
        <w:t>-</w:t>
      </w:r>
      <w:r w:rsidR="006A71FD" w:rsidRPr="00EE3B40">
        <w:rPr>
          <w:rFonts w:ascii="Times New Roman" w:hAnsi="Times New Roman" w:cs="Times New Roman"/>
          <w:sz w:val="28"/>
          <w:szCs w:val="28"/>
          <w:lang w:val="ro-RO"/>
        </w:rPr>
        <w:t xml:space="preserve"> </w:t>
      </w:r>
      <w:r w:rsidR="00C250CF" w:rsidRPr="00EE3B40">
        <w:rPr>
          <w:rFonts w:ascii="Times New Roman" w:hAnsi="Times New Roman" w:cs="Times New Roman"/>
          <w:bCs/>
          <w:sz w:val="28"/>
          <w:szCs w:val="28"/>
          <w:lang w:val="ro-RO"/>
        </w:rPr>
        <w:t>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w:t>
      </w:r>
    </w:p>
    <w:p w:rsidR="00BB4364" w:rsidRPr="00EE3B40" w:rsidRDefault="000272B9"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bCs/>
          <w:sz w:val="28"/>
          <w:szCs w:val="28"/>
          <w:lang w:val="ro-RO"/>
        </w:rPr>
        <w:t>-</w:t>
      </w:r>
      <w:r w:rsidR="00C250CF" w:rsidRPr="00EE3B40">
        <w:rPr>
          <w:rFonts w:ascii="Times New Roman" w:hAnsi="Times New Roman" w:cs="Times New Roman"/>
          <w:bCs/>
          <w:sz w:val="28"/>
          <w:szCs w:val="28"/>
          <w:lang w:val="ro-RO"/>
        </w:rPr>
        <w:t xml:space="preserve"> </w:t>
      </w:r>
      <w:r w:rsidR="00BB4364" w:rsidRPr="00EE3B40">
        <w:rPr>
          <w:rFonts w:ascii="Times New Roman" w:hAnsi="Times New Roman" w:cs="Times New Roman"/>
          <w:bCs/>
          <w:sz w:val="28"/>
          <w:szCs w:val="28"/>
          <w:lang w:val="ro-RO"/>
        </w:rPr>
        <w:t>Orientări privind 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Directiva 2010/31/UE promovează reducerea consumului de energie în mediul construit, subliniind, de asemenea, faptul că sectorul construcțiilor este una dintre principalele surse de emisii de dioxid de carbon.</w:t>
      </w:r>
    </w:p>
    <w:p w:rsidR="00C25272"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2009/125/CE a Parlamentului European și a Consiliului din 21 octombrie 2009 de instituire a unui cadru pentru stabilirea cerințelor în materie de proiectare ecologică aplicabile produselor cu impact energetic prevede instituirea unor cerințe minime de performanță energetică pentru astfel de produse. </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La stabilirea cerințelor naționale pentru sistemele tehnice ale clădirilor, statele membre trebuie să țină seama de măsurile de punere în aplicare stabilite în temeiul directivei respective. Performanțele produselor pentru construcții care urmează a fi utilizate pentru calcule în conformitate cu prezentul regulament trebuie să fie determinate în conformitate cu dispozițiile Regulamentului (UE) nr. 305/2011 al Parlamentului European și al Consiliului din 9 martie 2011 de stabilire a unor condiții armonizate pentru comercializarea produselor pentru construcții și de abrogare a Directivei 89/106/CEE a Consiliului.</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Obiectivul nivelurilor eficiente sau optime, din punctul de vedere al costurilor, ale performanței energetice poate, în anumite circumstanțe, să </w:t>
      </w:r>
      <w:r w:rsidRPr="00EE3B40">
        <w:rPr>
          <w:rFonts w:ascii="Times New Roman" w:hAnsi="Times New Roman" w:cs="Times New Roman"/>
          <w:sz w:val="28"/>
          <w:szCs w:val="28"/>
          <w:lang w:val="ro-RO"/>
        </w:rPr>
        <w:lastRenderedPageBreak/>
        <w:t>justifice stabilirea de către statele membre a unor cerințe privind nivelul eficient sau optim din punctul de vedere al costurilor pentru elementele clădirii care, în practică, ar ridica obstacole în privința unor soluții de proiectare a clădirilor sau opțiuni tehnice, dar ar stimula utilizarea unor produse cu impact energetic cu performanțe energetice mai bune.</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Etapele care alcătuiesc cadrul metodologic comparativ au fost stabilite în anexa III la Directiva 2010/31/UE și includ stabilirea unor clădiri de referință, definiția măsurilor de eficiență energetică care urmează să fie aplicate clădirilor de referință, evaluarea necesarului de energie primară pentru aceste măsuri și calculul costurilor măsurilor respective (și anume valoarea actualizată netă).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Cadrul comun de calcul al performanței energetice stabilit în anexa I la Directiva 2010/31/UE se aplică, de asemenea, cadrului metodologic de calcul al nivelurilor optime din punctul de vedere al costurilor în toate etapele acestuia, în special în etapa de calcul al performanței energetice a clădirilor și a elementelor acestora.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În scopul adaptării cadrului metodologic comparativ la circumstanțele naționale, statele membre trebuie să determine ciclul de viață economică estimat al clădirilor și/sau al elementelor acestora, costul corespunzător pentru vectorii energetici, produse, sisteme, întreținere, costurile operaționale și costurile forței de muncă, factorii de conversie în energie primară, precum și evoluția estimată a prețului la energie pentru combustibilii utilizați în contextul lor național pentru producerea energiei utilizate în imobile, ținând seama de informațiile furnizate de Comisie. De asemenea, statele membre trebuie să stabilească ratele de actualizare care vor fi utilizate la calculul din perspectivă macroeconomică și la cel din perspectivă financiară, după efectuarea analizei de sensibilitate cu cel puțin două rate ale dobânzii pentru fiecare calcul.</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Pentru a asigura o abordare comună în aplicarea cadrului metodologic comparativ de către statele membre, este necesară stabilirea de către Comisie a condițiilor cadru cheie necesare pentru calcularea valorii actualizate nete, cum ar fi anul de începere a calculului, categoriile de costuri care trebuie luate în considerare și perioada de calcul care urmează să fie utilizată.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Stabilirea unei perioade de calcul comune nu intră în conflict cu dreptul statelor membre de a stabili ciclul de viață economică estimat al clădirilor și/sau al elementelor acestora, întrucât aceasta poate fi atât mai lungă, cât și mai scurtă decât perioada de calcul stabilită. Ciclul de viață economică estimat al unei clădiri sau al unui element al acesteia are doar o influență limitată asupra perioadei de calcul, deoarece aceasta din urmă este determinată mai degrabă de ciclul de renovare a unei clădiri, reprezentând perioada de timp după care o clădire este supusă unei renovări majore.</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Calculele costurilor și proiecțiile cu multe ipoteze și incertitudini, inclusiv, de exemplu, evoluția prețurilor la energie de-a lungul timpului, sunt, în general, însoțite de o analiză de sensibilitate pentru a evalua soliditatea parametrilor de intrare cheie. În scopul calculării nivelurilor optime din punctul de vedere al costurilor, analiza de sensibilitate trebuie să abordeze cel puțin evoluția prețurilor energiei, precum și rata de actualizare, ideal fiind ca analiza de </w:t>
      </w:r>
      <w:r w:rsidRPr="00EE3B40">
        <w:rPr>
          <w:rFonts w:ascii="Times New Roman" w:hAnsi="Times New Roman" w:cs="Times New Roman"/>
          <w:sz w:val="28"/>
          <w:szCs w:val="28"/>
          <w:lang w:val="ro-RO"/>
        </w:rPr>
        <w:lastRenderedPageBreak/>
        <w:t>sensibilitate să cuprindă de asemenea evoluțiile viitoare ale prețurilor pentru tehnologii ca date de intrare pentru revizuirea calculelor.</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Cadrul metodologic comparativ trebuie să permită statelor membre să compare rezultatele calculelor nivelurilor optime din punctul de vedere al costurilor cu cerințele minime de performanță energetică în vigoare și să utilizeze rezultatul comparației pentru a se asigura că cerințele minime de performanță energetică sunt stabilite în vederea realizării nivelurilor optime din punctul de vedere al costurilor. Statele membre trebuie să ia în considerare, de asemenea, stabilirea unor cerințe minime de performanță energetică la nivelurile optime din punctul de vedere al costurilor pentru categoriile de clădiri pentru care nu există încă cerințe minime de performanță energetică.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Metodologia costului optim este neutră din punct de vedere tehnologic și nu favorizează o soluție tehnologică în defav</w:t>
      </w:r>
      <w:bookmarkStart w:id="0" w:name="_GoBack"/>
      <w:bookmarkEnd w:id="0"/>
      <w:r w:rsidRPr="00EE3B40">
        <w:rPr>
          <w:rFonts w:ascii="Times New Roman" w:hAnsi="Times New Roman" w:cs="Times New Roman"/>
          <w:sz w:val="28"/>
          <w:szCs w:val="28"/>
          <w:lang w:val="ro-RO"/>
        </w:rPr>
        <w:t>oarea alteia. Acesta asigură o concurență a măsurilor/pachetelor/variantelor pe durata de viață estimată a unei clădiri sau a unui element al acesteia.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Rezultatele calculelor, precum și datele de intrare și ipotezele utilizate trebuie raportate Comisiei astfel cum este prevăzut la articolul 5 alineatul (2) din Directiva 2010/31/UE. Rapoartele trebuie să permită Comisiei să evalueze și să raporteze cu privire la progresele realizate de statele membre în vederea atingerii nivelurilor optime, din punctul de vedere al costurilor, ale cerințelor minime de performanță energetică.</w:t>
      </w:r>
    </w:p>
    <w:p w:rsidR="000B4D35"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Pentru a limita sarcina administrativă a statelor membre, trebuie ca acestea să aibă posibilitatea de a reduce numărul de calcule prin stabilirea unor clădiri de referință care sunt reprezentative pentru mai multe categorii de clădiri, fără a se aduce atingere obligației statelor membre în temeiul Directivei 2010/31/UE de a stabili cerințele minime de performanță energetică pentr</w:t>
      </w:r>
      <w:r w:rsidR="00EE3B40" w:rsidRPr="00EE3B40">
        <w:rPr>
          <w:rFonts w:ascii="Times New Roman" w:hAnsi="Times New Roman" w:cs="Times New Roman"/>
          <w:sz w:val="28"/>
          <w:szCs w:val="28"/>
          <w:lang w:val="ro-RO"/>
        </w:rPr>
        <w:t>u anumite categorii de clădiri.</w:t>
      </w:r>
    </w:p>
    <w:p w:rsid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Hotărârii de Guvern stabilește procedurile de inspecție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evaluarea energetică a sistemelor de climatizare existente în clădiri, periodicitatea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modul de efectuare a inspecțiilor periodice ale sistemelor de climatizare, termenul după expirarea căruia trebuie să fie efectuată prima inspecție a sistemului de climatizare, precum și forma, conținutul, modul de întocmire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de înregistrare a rapoartelor de inspecție periodică a sistemelor de climatizare.</w:t>
      </w:r>
    </w:p>
    <w:p w:rsid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La elaborarea procedurii de inspecție periodică a sistemelor de climatizare din clădiri s-a ținut cont de prevederile standardului național SM SR EN 15240 „Ventilarea în clădiri. Performanța energetică a clădirilor. Ghid pentru inspecția instalațiilor de climatizare”.</w:t>
      </w:r>
    </w:p>
    <w:p w:rsidR="00EE3B40" w:rsidRP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Standardul SM SR EN 15240 „Ventilarea în clădiri. Performanța energetică a clădirilor. Ghid pentru inspecția instalațiilor de climatizare”, la care face referință proiectul Hotărârii de Guvern, conține un șir de prevederi tehnice, utilizate la efectuarea inspecției periodice a sistemelor de climatizare în clădiri.</w:t>
      </w:r>
    </w:p>
    <w:p w:rsidR="00BB4364" w:rsidRPr="00EE3B40" w:rsidRDefault="00BB4364" w:rsidP="00BB4364">
      <w:pPr>
        <w:shd w:val="clear" w:color="auto" w:fill="FFFFFF"/>
        <w:spacing w:after="0" w:line="240" w:lineRule="auto"/>
        <w:jc w:val="both"/>
        <w:rPr>
          <w:rFonts w:ascii="Times New Roman" w:hAnsi="Times New Roman" w:cs="Times New Roman"/>
          <w:sz w:val="28"/>
          <w:szCs w:val="28"/>
          <w:lang w:val="ro-RO"/>
        </w:rPr>
      </w:pPr>
    </w:p>
    <w:p w:rsidR="00295C19" w:rsidRPr="00423DF5" w:rsidRDefault="00423DF5" w:rsidP="00295C19">
      <w:pPr>
        <w:shd w:val="clear" w:color="auto" w:fill="FFFFFF"/>
        <w:tabs>
          <w:tab w:val="left" w:pos="413"/>
        </w:tabs>
        <w:spacing w:after="0" w:line="240" w:lineRule="auto"/>
        <w:jc w:val="both"/>
        <w:rPr>
          <w:rFonts w:ascii="Times New Roman" w:hAnsi="Times New Roman" w:cs="Times New Roman"/>
          <w:b/>
          <w:sz w:val="28"/>
          <w:szCs w:val="28"/>
          <w:lang w:val="ro-RO"/>
        </w:rPr>
      </w:pPr>
      <w:r w:rsidRPr="00423DF5">
        <w:rPr>
          <w:rFonts w:ascii="Times New Roman" w:hAnsi="Times New Roman" w:cs="Times New Roman"/>
          <w:b/>
          <w:sz w:val="28"/>
          <w:szCs w:val="28"/>
          <w:lang w:val="ro-RO"/>
        </w:rPr>
        <w:t>Secretar de Stat</w:t>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r>
      <w:r w:rsidRPr="00423DF5">
        <w:rPr>
          <w:rFonts w:ascii="Times New Roman" w:hAnsi="Times New Roman" w:cs="Times New Roman"/>
          <w:b/>
          <w:sz w:val="28"/>
          <w:szCs w:val="28"/>
          <w:lang w:val="ro-RO"/>
        </w:rPr>
        <w:tab/>
        <w:t>Anatol USATÎI</w:t>
      </w:r>
    </w:p>
    <w:sectPr w:rsidR="00295C19" w:rsidRPr="00423DF5" w:rsidSect="00125CC1">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E8" w:rsidRDefault="000E7CE8" w:rsidP="00805ABC">
      <w:pPr>
        <w:spacing w:after="0" w:line="240" w:lineRule="auto"/>
      </w:pPr>
      <w:r>
        <w:separator/>
      </w:r>
    </w:p>
  </w:endnote>
  <w:endnote w:type="continuationSeparator" w:id="0">
    <w:p w:rsidR="000E7CE8" w:rsidRDefault="000E7CE8" w:rsidP="008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D8" w:rsidRPr="00FC5492" w:rsidRDefault="00C0010E" w:rsidP="00B248D8">
    <w:pPr>
      <w:pStyle w:val="Footer"/>
      <w:jc w:val="right"/>
      <w:rPr>
        <w:rFonts w:ascii="Times New Roman" w:hAnsi="Times New Roman" w:cs="Times New Roman"/>
        <w:sz w:val="28"/>
        <w:szCs w:val="28"/>
      </w:rPr>
    </w:pPr>
    <w:r w:rsidRPr="00FC5492">
      <w:rPr>
        <w:rFonts w:ascii="Times New Roman" w:hAnsi="Times New Roman" w:cs="Times New Roman"/>
        <w:sz w:val="28"/>
        <w:szCs w:val="28"/>
      </w:rPr>
      <w:fldChar w:fldCharType="begin"/>
    </w:r>
    <w:r w:rsidR="00B248D8" w:rsidRPr="00FC5492">
      <w:rPr>
        <w:rFonts w:ascii="Times New Roman" w:hAnsi="Times New Roman" w:cs="Times New Roman"/>
        <w:sz w:val="28"/>
        <w:szCs w:val="28"/>
      </w:rPr>
      <w:instrText xml:space="preserve"> PAGE  \* Arabic  \* MERGEFORMAT </w:instrText>
    </w:r>
    <w:r w:rsidRPr="00FC5492">
      <w:rPr>
        <w:rFonts w:ascii="Times New Roman" w:hAnsi="Times New Roman" w:cs="Times New Roman"/>
        <w:sz w:val="28"/>
        <w:szCs w:val="28"/>
      </w:rPr>
      <w:fldChar w:fldCharType="separate"/>
    </w:r>
    <w:r w:rsidR="00423DF5">
      <w:rPr>
        <w:rFonts w:ascii="Times New Roman" w:hAnsi="Times New Roman" w:cs="Times New Roman"/>
        <w:noProof/>
        <w:sz w:val="28"/>
        <w:szCs w:val="28"/>
      </w:rPr>
      <w:t>4</w:t>
    </w:r>
    <w:r w:rsidRPr="00FC5492">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E8" w:rsidRDefault="000E7CE8" w:rsidP="00805ABC">
      <w:pPr>
        <w:spacing w:after="0" w:line="240" w:lineRule="auto"/>
      </w:pPr>
      <w:r>
        <w:separator/>
      </w:r>
    </w:p>
  </w:footnote>
  <w:footnote w:type="continuationSeparator" w:id="0">
    <w:p w:rsidR="000E7CE8" w:rsidRDefault="000E7CE8" w:rsidP="00805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192"/>
    <w:multiLevelType w:val="hybridMultilevel"/>
    <w:tmpl w:val="3AF8B236"/>
    <w:lvl w:ilvl="0" w:tplc="96BC5966">
      <w:start w:val="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6710F7"/>
    <w:rsid w:val="000137C9"/>
    <w:rsid w:val="0001632C"/>
    <w:rsid w:val="000206DE"/>
    <w:rsid w:val="000237DB"/>
    <w:rsid w:val="000247C5"/>
    <w:rsid w:val="000272B9"/>
    <w:rsid w:val="00034DEE"/>
    <w:rsid w:val="00041E7E"/>
    <w:rsid w:val="000438D6"/>
    <w:rsid w:val="000511C5"/>
    <w:rsid w:val="00057DB6"/>
    <w:rsid w:val="00071D38"/>
    <w:rsid w:val="00075904"/>
    <w:rsid w:val="000862FF"/>
    <w:rsid w:val="000A6E7E"/>
    <w:rsid w:val="000B1860"/>
    <w:rsid w:val="000B4D35"/>
    <w:rsid w:val="000B7A82"/>
    <w:rsid w:val="000C0075"/>
    <w:rsid w:val="000C75D9"/>
    <w:rsid w:val="000E7CE8"/>
    <w:rsid w:val="000E7F38"/>
    <w:rsid w:val="00104ED1"/>
    <w:rsid w:val="0010758B"/>
    <w:rsid w:val="0011114A"/>
    <w:rsid w:val="00112B7E"/>
    <w:rsid w:val="00125CC1"/>
    <w:rsid w:val="001375B0"/>
    <w:rsid w:val="00141835"/>
    <w:rsid w:val="00141FB3"/>
    <w:rsid w:val="00146F8F"/>
    <w:rsid w:val="0016771A"/>
    <w:rsid w:val="00184A17"/>
    <w:rsid w:val="00187FC6"/>
    <w:rsid w:val="00197ACE"/>
    <w:rsid w:val="001A1FCC"/>
    <w:rsid w:val="001A468F"/>
    <w:rsid w:val="001D3791"/>
    <w:rsid w:val="001D4E14"/>
    <w:rsid w:val="001F45AB"/>
    <w:rsid w:val="002051F6"/>
    <w:rsid w:val="002126F4"/>
    <w:rsid w:val="00215721"/>
    <w:rsid w:val="0022399A"/>
    <w:rsid w:val="002278F3"/>
    <w:rsid w:val="002345BD"/>
    <w:rsid w:val="00241044"/>
    <w:rsid w:val="002420A3"/>
    <w:rsid w:val="002468D8"/>
    <w:rsid w:val="002522BE"/>
    <w:rsid w:val="00257796"/>
    <w:rsid w:val="00261CE5"/>
    <w:rsid w:val="00295C19"/>
    <w:rsid w:val="002A1490"/>
    <w:rsid w:val="002A18C0"/>
    <w:rsid w:val="002A2823"/>
    <w:rsid w:val="002A33EB"/>
    <w:rsid w:val="002A7CF6"/>
    <w:rsid w:val="002B20F0"/>
    <w:rsid w:val="002E64BD"/>
    <w:rsid w:val="002F6216"/>
    <w:rsid w:val="00300147"/>
    <w:rsid w:val="00304EFD"/>
    <w:rsid w:val="003079DA"/>
    <w:rsid w:val="0031577B"/>
    <w:rsid w:val="00335E05"/>
    <w:rsid w:val="00342669"/>
    <w:rsid w:val="00350B56"/>
    <w:rsid w:val="00352830"/>
    <w:rsid w:val="00372E28"/>
    <w:rsid w:val="00384539"/>
    <w:rsid w:val="00385D5B"/>
    <w:rsid w:val="00396C5D"/>
    <w:rsid w:val="003C63B8"/>
    <w:rsid w:val="003E236D"/>
    <w:rsid w:val="003E45D7"/>
    <w:rsid w:val="003F2D72"/>
    <w:rsid w:val="00401EAD"/>
    <w:rsid w:val="00412ACE"/>
    <w:rsid w:val="00423DF5"/>
    <w:rsid w:val="0042628D"/>
    <w:rsid w:val="00426AA1"/>
    <w:rsid w:val="00431C2E"/>
    <w:rsid w:val="00434152"/>
    <w:rsid w:val="00437D3C"/>
    <w:rsid w:val="00452446"/>
    <w:rsid w:val="00452F85"/>
    <w:rsid w:val="00453837"/>
    <w:rsid w:val="004576F3"/>
    <w:rsid w:val="00482C46"/>
    <w:rsid w:val="00484A14"/>
    <w:rsid w:val="004851AA"/>
    <w:rsid w:val="0049679C"/>
    <w:rsid w:val="004972C6"/>
    <w:rsid w:val="004B46B7"/>
    <w:rsid w:val="004B7778"/>
    <w:rsid w:val="004D5ADB"/>
    <w:rsid w:val="004F0AE3"/>
    <w:rsid w:val="004F7D3C"/>
    <w:rsid w:val="0050342B"/>
    <w:rsid w:val="00512F8F"/>
    <w:rsid w:val="00521B0E"/>
    <w:rsid w:val="00550370"/>
    <w:rsid w:val="00551493"/>
    <w:rsid w:val="005528D3"/>
    <w:rsid w:val="00564C45"/>
    <w:rsid w:val="00576CB4"/>
    <w:rsid w:val="00577586"/>
    <w:rsid w:val="00584794"/>
    <w:rsid w:val="00592E87"/>
    <w:rsid w:val="005A1C27"/>
    <w:rsid w:val="005B278F"/>
    <w:rsid w:val="005C1DD3"/>
    <w:rsid w:val="005C21DA"/>
    <w:rsid w:val="005C58AC"/>
    <w:rsid w:val="005D52D6"/>
    <w:rsid w:val="005E08AD"/>
    <w:rsid w:val="005E08CB"/>
    <w:rsid w:val="005E1FD4"/>
    <w:rsid w:val="005E48AA"/>
    <w:rsid w:val="005E7197"/>
    <w:rsid w:val="005E7A14"/>
    <w:rsid w:val="005F5B25"/>
    <w:rsid w:val="00611BFB"/>
    <w:rsid w:val="00621240"/>
    <w:rsid w:val="0063701B"/>
    <w:rsid w:val="00642C97"/>
    <w:rsid w:val="00642EB3"/>
    <w:rsid w:val="00643FFA"/>
    <w:rsid w:val="0064580F"/>
    <w:rsid w:val="00647BC3"/>
    <w:rsid w:val="0065173A"/>
    <w:rsid w:val="0065647B"/>
    <w:rsid w:val="006710F7"/>
    <w:rsid w:val="00673BA1"/>
    <w:rsid w:val="0067521F"/>
    <w:rsid w:val="00675A85"/>
    <w:rsid w:val="00683FEF"/>
    <w:rsid w:val="006A1C82"/>
    <w:rsid w:val="006A21B3"/>
    <w:rsid w:val="006A71FD"/>
    <w:rsid w:val="006A7413"/>
    <w:rsid w:val="006C24A3"/>
    <w:rsid w:val="006D7523"/>
    <w:rsid w:val="00703D67"/>
    <w:rsid w:val="007061E5"/>
    <w:rsid w:val="00732DEE"/>
    <w:rsid w:val="0073358F"/>
    <w:rsid w:val="00742C2D"/>
    <w:rsid w:val="00756BCA"/>
    <w:rsid w:val="007629EA"/>
    <w:rsid w:val="00773BDB"/>
    <w:rsid w:val="00774CC6"/>
    <w:rsid w:val="00781E6D"/>
    <w:rsid w:val="007A7864"/>
    <w:rsid w:val="007B1A28"/>
    <w:rsid w:val="007C5FBC"/>
    <w:rsid w:val="007C74D4"/>
    <w:rsid w:val="007C7F82"/>
    <w:rsid w:val="007D1073"/>
    <w:rsid w:val="007D74CB"/>
    <w:rsid w:val="008022AC"/>
    <w:rsid w:val="008026DA"/>
    <w:rsid w:val="00804341"/>
    <w:rsid w:val="00805ABC"/>
    <w:rsid w:val="00810B84"/>
    <w:rsid w:val="00813402"/>
    <w:rsid w:val="00817EC9"/>
    <w:rsid w:val="00823526"/>
    <w:rsid w:val="00830782"/>
    <w:rsid w:val="008410D4"/>
    <w:rsid w:val="00842EFE"/>
    <w:rsid w:val="00872CC4"/>
    <w:rsid w:val="00882626"/>
    <w:rsid w:val="00886193"/>
    <w:rsid w:val="00894A2D"/>
    <w:rsid w:val="008A62A5"/>
    <w:rsid w:val="008A671A"/>
    <w:rsid w:val="008B2DD8"/>
    <w:rsid w:val="008E7330"/>
    <w:rsid w:val="009125C1"/>
    <w:rsid w:val="00915D3B"/>
    <w:rsid w:val="00921607"/>
    <w:rsid w:val="00940B3E"/>
    <w:rsid w:val="00941F3D"/>
    <w:rsid w:val="009539AB"/>
    <w:rsid w:val="00957779"/>
    <w:rsid w:val="00957E4A"/>
    <w:rsid w:val="00961F67"/>
    <w:rsid w:val="00992211"/>
    <w:rsid w:val="0099686E"/>
    <w:rsid w:val="009A0EC1"/>
    <w:rsid w:val="009A3F60"/>
    <w:rsid w:val="009A4342"/>
    <w:rsid w:val="009A5793"/>
    <w:rsid w:val="009C7534"/>
    <w:rsid w:val="009D0320"/>
    <w:rsid w:val="009D12E2"/>
    <w:rsid w:val="009D6CA1"/>
    <w:rsid w:val="009F4987"/>
    <w:rsid w:val="00A00A3E"/>
    <w:rsid w:val="00A0238C"/>
    <w:rsid w:val="00A0437A"/>
    <w:rsid w:val="00A04C81"/>
    <w:rsid w:val="00A04FDD"/>
    <w:rsid w:val="00A20053"/>
    <w:rsid w:val="00A27544"/>
    <w:rsid w:val="00A37F18"/>
    <w:rsid w:val="00A422ED"/>
    <w:rsid w:val="00A47D64"/>
    <w:rsid w:val="00A5633E"/>
    <w:rsid w:val="00A64932"/>
    <w:rsid w:val="00A65738"/>
    <w:rsid w:val="00A678B1"/>
    <w:rsid w:val="00A83C5B"/>
    <w:rsid w:val="00A97F0C"/>
    <w:rsid w:val="00AA030A"/>
    <w:rsid w:val="00AA5C34"/>
    <w:rsid w:val="00AB6821"/>
    <w:rsid w:val="00AB7FD3"/>
    <w:rsid w:val="00AC1DA3"/>
    <w:rsid w:val="00AD2EB7"/>
    <w:rsid w:val="00AD3FDC"/>
    <w:rsid w:val="00AD5E5A"/>
    <w:rsid w:val="00AE15D5"/>
    <w:rsid w:val="00AE4778"/>
    <w:rsid w:val="00AF478A"/>
    <w:rsid w:val="00AF672A"/>
    <w:rsid w:val="00B07C43"/>
    <w:rsid w:val="00B13CF6"/>
    <w:rsid w:val="00B15ED7"/>
    <w:rsid w:val="00B248D8"/>
    <w:rsid w:val="00B34447"/>
    <w:rsid w:val="00B34FF8"/>
    <w:rsid w:val="00B4503A"/>
    <w:rsid w:val="00B45FF6"/>
    <w:rsid w:val="00B51F73"/>
    <w:rsid w:val="00B528C8"/>
    <w:rsid w:val="00B52FDB"/>
    <w:rsid w:val="00B55CD7"/>
    <w:rsid w:val="00B62E47"/>
    <w:rsid w:val="00B65500"/>
    <w:rsid w:val="00B66740"/>
    <w:rsid w:val="00B75F7D"/>
    <w:rsid w:val="00B83A77"/>
    <w:rsid w:val="00B9158C"/>
    <w:rsid w:val="00BA57F9"/>
    <w:rsid w:val="00BB01F0"/>
    <w:rsid w:val="00BB4364"/>
    <w:rsid w:val="00BD1831"/>
    <w:rsid w:val="00BE540B"/>
    <w:rsid w:val="00C0010E"/>
    <w:rsid w:val="00C134DB"/>
    <w:rsid w:val="00C250CF"/>
    <w:rsid w:val="00C25272"/>
    <w:rsid w:val="00C30ECB"/>
    <w:rsid w:val="00C33C26"/>
    <w:rsid w:val="00C464BB"/>
    <w:rsid w:val="00C61C20"/>
    <w:rsid w:val="00C62403"/>
    <w:rsid w:val="00C64B9D"/>
    <w:rsid w:val="00C737C5"/>
    <w:rsid w:val="00C85A27"/>
    <w:rsid w:val="00C96E85"/>
    <w:rsid w:val="00CC4740"/>
    <w:rsid w:val="00CE44BA"/>
    <w:rsid w:val="00CE7559"/>
    <w:rsid w:val="00CF20B9"/>
    <w:rsid w:val="00D05C8F"/>
    <w:rsid w:val="00D103CD"/>
    <w:rsid w:val="00D212D1"/>
    <w:rsid w:val="00D37793"/>
    <w:rsid w:val="00D44BC5"/>
    <w:rsid w:val="00D452DD"/>
    <w:rsid w:val="00D46D93"/>
    <w:rsid w:val="00D5404F"/>
    <w:rsid w:val="00D56645"/>
    <w:rsid w:val="00D66BDE"/>
    <w:rsid w:val="00D74D61"/>
    <w:rsid w:val="00D773CF"/>
    <w:rsid w:val="00D872B5"/>
    <w:rsid w:val="00D94BD2"/>
    <w:rsid w:val="00DC3A16"/>
    <w:rsid w:val="00DD1B92"/>
    <w:rsid w:val="00DD2261"/>
    <w:rsid w:val="00DD2B1B"/>
    <w:rsid w:val="00DE09FF"/>
    <w:rsid w:val="00DF0A4D"/>
    <w:rsid w:val="00DF5F02"/>
    <w:rsid w:val="00E12F25"/>
    <w:rsid w:val="00E141BC"/>
    <w:rsid w:val="00E27327"/>
    <w:rsid w:val="00E37B8A"/>
    <w:rsid w:val="00E43788"/>
    <w:rsid w:val="00E54151"/>
    <w:rsid w:val="00E67FC7"/>
    <w:rsid w:val="00E73698"/>
    <w:rsid w:val="00E74DA3"/>
    <w:rsid w:val="00E758EC"/>
    <w:rsid w:val="00E87489"/>
    <w:rsid w:val="00E9415F"/>
    <w:rsid w:val="00E953E2"/>
    <w:rsid w:val="00EB6F73"/>
    <w:rsid w:val="00EC26A9"/>
    <w:rsid w:val="00EC55FF"/>
    <w:rsid w:val="00EC59C0"/>
    <w:rsid w:val="00ED12C2"/>
    <w:rsid w:val="00EE27A6"/>
    <w:rsid w:val="00EE3B40"/>
    <w:rsid w:val="00EE4C7B"/>
    <w:rsid w:val="00EE4FB7"/>
    <w:rsid w:val="00EF6BC5"/>
    <w:rsid w:val="00F01A5F"/>
    <w:rsid w:val="00F04E36"/>
    <w:rsid w:val="00F05D4E"/>
    <w:rsid w:val="00F24AC5"/>
    <w:rsid w:val="00F25148"/>
    <w:rsid w:val="00F45702"/>
    <w:rsid w:val="00F57BC8"/>
    <w:rsid w:val="00F71860"/>
    <w:rsid w:val="00F9100C"/>
    <w:rsid w:val="00F946F1"/>
    <w:rsid w:val="00FB49AE"/>
    <w:rsid w:val="00FB7C75"/>
    <w:rsid w:val="00FC5492"/>
    <w:rsid w:val="00FD1183"/>
    <w:rsid w:val="00FD658D"/>
    <w:rsid w:val="00FD728A"/>
    <w:rsid w:val="00FE461A"/>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DDA58-9029-474B-A266-E3A9133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C6"/>
  </w:style>
  <w:style w:type="paragraph" w:styleId="Heading2">
    <w:name w:val="heading 2"/>
    <w:basedOn w:val="Normal"/>
    <w:next w:val="Normal"/>
    <w:link w:val="Heading2Char"/>
    <w:uiPriority w:val="9"/>
    <w:semiHidden/>
    <w:unhideWhenUsed/>
    <w:qFormat/>
    <w:rsid w:val="00C624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0F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5A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5ABC"/>
  </w:style>
  <w:style w:type="paragraph" w:styleId="Footer">
    <w:name w:val="footer"/>
    <w:basedOn w:val="Normal"/>
    <w:link w:val="FooterChar"/>
    <w:uiPriority w:val="99"/>
    <w:unhideWhenUsed/>
    <w:rsid w:val="00805A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805ABC"/>
  </w:style>
  <w:style w:type="paragraph" w:styleId="BalloonText">
    <w:name w:val="Balloon Text"/>
    <w:basedOn w:val="Normal"/>
    <w:link w:val="BalloonTextChar"/>
    <w:uiPriority w:val="99"/>
    <w:semiHidden/>
    <w:unhideWhenUsed/>
    <w:rsid w:val="00FD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83"/>
    <w:rPr>
      <w:rFonts w:ascii="Tahoma" w:hAnsi="Tahoma" w:cs="Tahoma"/>
      <w:sz w:val="16"/>
      <w:szCs w:val="16"/>
    </w:rPr>
  </w:style>
  <w:style w:type="table" w:styleId="TableGrid">
    <w:name w:val="Table Grid"/>
    <w:basedOn w:val="TableNormal"/>
    <w:uiPriority w:val="59"/>
    <w:rsid w:val="00EE2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5ADB"/>
    <w:rPr>
      <w:color w:val="0000FF" w:themeColor="hyperlink"/>
      <w:u w:val="single"/>
    </w:rPr>
  </w:style>
  <w:style w:type="character" w:customStyle="1" w:styleId="Heading2Char">
    <w:name w:val="Heading 2 Char"/>
    <w:basedOn w:val="DefaultParagraphFont"/>
    <w:link w:val="Heading2"/>
    <w:uiPriority w:val="9"/>
    <w:semiHidden/>
    <w:rsid w:val="00C6240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92284">
      <w:bodyDiv w:val="1"/>
      <w:marLeft w:val="0"/>
      <w:marRight w:val="0"/>
      <w:marTop w:val="0"/>
      <w:marBottom w:val="0"/>
      <w:divBdr>
        <w:top w:val="none" w:sz="0" w:space="0" w:color="auto"/>
        <w:left w:val="none" w:sz="0" w:space="0" w:color="auto"/>
        <w:bottom w:val="none" w:sz="0" w:space="0" w:color="auto"/>
        <w:right w:val="none" w:sz="0" w:space="0" w:color="auto"/>
      </w:divBdr>
      <w:divsChild>
        <w:div w:id="165366883">
          <w:marLeft w:val="0"/>
          <w:marRight w:val="0"/>
          <w:marTop w:val="0"/>
          <w:marBottom w:val="0"/>
          <w:divBdr>
            <w:top w:val="none" w:sz="0" w:space="0" w:color="auto"/>
            <w:left w:val="none" w:sz="0" w:space="0" w:color="auto"/>
            <w:bottom w:val="none" w:sz="0" w:space="0" w:color="auto"/>
            <w:right w:val="none" w:sz="0" w:space="0" w:color="auto"/>
          </w:divBdr>
        </w:div>
      </w:divsChild>
    </w:div>
    <w:div w:id="354423232">
      <w:bodyDiv w:val="1"/>
      <w:marLeft w:val="0"/>
      <w:marRight w:val="0"/>
      <w:marTop w:val="0"/>
      <w:marBottom w:val="0"/>
      <w:divBdr>
        <w:top w:val="none" w:sz="0" w:space="0" w:color="auto"/>
        <w:left w:val="none" w:sz="0" w:space="0" w:color="auto"/>
        <w:bottom w:val="none" w:sz="0" w:space="0" w:color="auto"/>
        <w:right w:val="none" w:sz="0" w:space="0" w:color="auto"/>
      </w:divBdr>
      <w:divsChild>
        <w:div w:id="358314269">
          <w:marLeft w:val="0"/>
          <w:marRight w:val="0"/>
          <w:marTop w:val="0"/>
          <w:marBottom w:val="0"/>
          <w:divBdr>
            <w:top w:val="none" w:sz="0" w:space="0" w:color="auto"/>
            <w:left w:val="none" w:sz="0" w:space="0" w:color="auto"/>
            <w:bottom w:val="none" w:sz="0" w:space="0" w:color="auto"/>
            <w:right w:val="none" w:sz="0" w:space="0" w:color="auto"/>
          </w:divBdr>
        </w:div>
        <w:div w:id="249898982">
          <w:marLeft w:val="0"/>
          <w:marRight w:val="0"/>
          <w:marTop w:val="0"/>
          <w:marBottom w:val="0"/>
          <w:divBdr>
            <w:top w:val="none" w:sz="0" w:space="0" w:color="auto"/>
            <w:left w:val="none" w:sz="0" w:space="0" w:color="auto"/>
            <w:bottom w:val="none" w:sz="0" w:space="0" w:color="auto"/>
            <w:right w:val="none" w:sz="0" w:space="0" w:color="auto"/>
          </w:divBdr>
        </w:div>
        <w:div w:id="935792605">
          <w:marLeft w:val="0"/>
          <w:marRight w:val="0"/>
          <w:marTop w:val="0"/>
          <w:marBottom w:val="0"/>
          <w:divBdr>
            <w:top w:val="none" w:sz="0" w:space="0" w:color="auto"/>
            <w:left w:val="none" w:sz="0" w:space="0" w:color="auto"/>
            <w:bottom w:val="none" w:sz="0" w:space="0" w:color="auto"/>
            <w:right w:val="none" w:sz="0" w:space="0" w:color="auto"/>
          </w:divBdr>
        </w:div>
      </w:divsChild>
    </w:div>
    <w:div w:id="599609428">
      <w:bodyDiv w:val="1"/>
      <w:marLeft w:val="0"/>
      <w:marRight w:val="0"/>
      <w:marTop w:val="0"/>
      <w:marBottom w:val="0"/>
      <w:divBdr>
        <w:top w:val="none" w:sz="0" w:space="0" w:color="auto"/>
        <w:left w:val="none" w:sz="0" w:space="0" w:color="auto"/>
        <w:bottom w:val="none" w:sz="0" w:space="0" w:color="auto"/>
        <w:right w:val="none" w:sz="0" w:space="0" w:color="auto"/>
      </w:divBdr>
      <w:divsChild>
        <w:div w:id="1993369438">
          <w:marLeft w:val="0"/>
          <w:marRight w:val="0"/>
          <w:marTop w:val="0"/>
          <w:marBottom w:val="0"/>
          <w:divBdr>
            <w:top w:val="none" w:sz="0" w:space="0" w:color="auto"/>
            <w:left w:val="none" w:sz="0" w:space="0" w:color="auto"/>
            <w:bottom w:val="none" w:sz="0" w:space="0" w:color="auto"/>
            <w:right w:val="none" w:sz="0" w:space="0" w:color="auto"/>
          </w:divBdr>
        </w:div>
        <w:div w:id="380636961">
          <w:marLeft w:val="0"/>
          <w:marRight w:val="0"/>
          <w:marTop w:val="0"/>
          <w:marBottom w:val="0"/>
          <w:divBdr>
            <w:top w:val="none" w:sz="0" w:space="0" w:color="auto"/>
            <w:left w:val="none" w:sz="0" w:space="0" w:color="auto"/>
            <w:bottom w:val="none" w:sz="0" w:space="0" w:color="auto"/>
            <w:right w:val="none" w:sz="0" w:space="0" w:color="auto"/>
          </w:divBdr>
        </w:div>
        <w:div w:id="1984697757">
          <w:marLeft w:val="0"/>
          <w:marRight w:val="0"/>
          <w:marTop w:val="0"/>
          <w:marBottom w:val="0"/>
          <w:divBdr>
            <w:top w:val="none" w:sz="0" w:space="0" w:color="auto"/>
            <w:left w:val="none" w:sz="0" w:space="0" w:color="auto"/>
            <w:bottom w:val="none" w:sz="0" w:space="0" w:color="auto"/>
            <w:right w:val="none" w:sz="0" w:space="0" w:color="auto"/>
          </w:divBdr>
        </w:div>
      </w:divsChild>
    </w:div>
    <w:div w:id="616641015">
      <w:bodyDiv w:val="1"/>
      <w:marLeft w:val="0"/>
      <w:marRight w:val="0"/>
      <w:marTop w:val="0"/>
      <w:marBottom w:val="0"/>
      <w:divBdr>
        <w:top w:val="none" w:sz="0" w:space="0" w:color="auto"/>
        <w:left w:val="none" w:sz="0" w:space="0" w:color="auto"/>
        <w:bottom w:val="none" w:sz="0" w:space="0" w:color="auto"/>
        <w:right w:val="none" w:sz="0" w:space="0" w:color="auto"/>
      </w:divBdr>
      <w:divsChild>
        <w:div w:id="924458667">
          <w:marLeft w:val="0"/>
          <w:marRight w:val="0"/>
          <w:marTop w:val="0"/>
          <w:marBottom w:val="0"/>
          <w:divBdr>
            <w:top w:val="none" w:sz="0" w:space="0" w:color="auto"/>
            <w:left w:val="none" w:sz="0" w:space="0" w:color="auto"/>
            <w:bottom w:val="none" w:sz="0" w:space="0" w:color="auto"/>
            <w:right w:val="none" w:sz="0" w:space="0" w:color="auto"/>
          </w:divBdr>
        </w:div>
        <w:div w:id="327095154">
          <w:marLeft w:val="0"/>
          <w:marRight w:val="0"/>
          <w:marTop w:val="0"/>
          <w:marBottom w:val="0"/>
          <w:divBdr>
            <w:top w:val="none" w:sz="0" w:space="0" w:color="auto"/>
            <w:left w:val="none" w:sz="0" w:space="0" w:color="auto"/>
            <w:bottom w:val="none" w:sz="0" w:space="0" w:color="auto"/>
            <w:right w:val="none" w:sz="0" w:space="0" w:color="auto"/>
          </w:divBdr>
        </w:div>
        <w:div w:id="333148662">
          <w:marLeft w:val="0"/>
          <w:marRight w:val="0"/>
          <w:marTop w:val="0"/>
          <w:marBottom w:val="0"/>
          <w:divBdr>
            <w:top w:val="none" w:sz="0" w:space="0" w:color="auto"/>
            <w:left w:val="none" w:sz="0" w:space="0" w:color="auto"/>
            <w:bottom w:val="none" w:sz="0" w:space="0" w:color="auto"/>
            <w:right w:val="none" w:sz="0" w:space="0" w:color="auto"/>
          </w:divBdr>
        </w:div>
      </w:divsChild>
    </w:div>
    <w:div w:id="709650326">
      <w:bodyDiv w:val="1"/>
      <w:marLeft w:val="0"/>
      <w:marRight w:val="0"/>
      <w:marTop w:val="0"/>
      <w:marBottom w:val="0"/>
      <w:divBdr>
        <w:top w:val="none" w:sz="0" w:space="0" w:color="auto"/>
        <w:left w:val="none" w:sz="0" w:space="0" w:color="auto"/>
        <w:bottom w:val="none" w:sz="0" w:space="0" w:color="auto"/>
        <w:right w:val="none" w:sz="0" w:space="0" w:color="auto"/>
      </w:divBdr>
    </w:div>
    <w:div w:id="887835819">
      <w:bodyDiv w:val="1"/>
      <w:marLeft w:val="0"/>
      <w:marRight w:val="0"/>
      <w:marTop w:val="0"/>
      <w:marBottom w:val="0"/>
      <w:divBdr>
        <w:top w:val="none" w:sz="0" w:space="0" w:color="auto"/>
        <w:left w:val="none" w:sz="0" w:space="0" w:color="auto"/>
        <w:bottom w:val="none" w:sz="0" w:space="0" w:color="auto"/>
        <w:right w:val="none" w:sz="0" w:space="0" w:color="auto"/>
      </w:divBdr>
      <w:divsChild>
        <w:div w:id="512888347">
          <w:marLeft w:val="0"/>
          <w:marRight w:val="0"/>
          <w:marTop w:val="0"/>
          <w:marBottom w:val="0"/>
          <w:divBdr>
            <w:top w:val="none" w:sz="0" w:space="0" w:color="auto"/>
            <w:left w:val="none" w:sz="0" w:space="0" w:color="auto"/>
            <w:bottom w:val="none" w:sz="0" w:space="0" w:color="auto"/>
            <w:right w:val="none" w:sz="0" w:space="0" w:color="auto"/>
          </w:divBdr>
        </w:div>
      </w:divsChild>
    </w:div>
    <w:div w:id="1025248816">
      <w:bodyDiv w:val="1"/>
      <w:marLeft w:val="0"/>
      <w:marRight w:val="0"/>
      <w:marTop w:val="0"/>
      <w:marBottom w:val="0"/>
      <w:divBdr>
        <w:top w:val="none" w:sz="0" w:space="0" w:color="auto"/>
        <w:left w:val="none" w:sz="0" w:space="0" w:color="auto"/>
        <w:bottom w:val="none" w:sz="0" w:space="0" w:color="auto"/>
        <w:right w:val="none" w:sz="0" w:space="0" w:color="auto"/>
      </w:divBdr>
      <w:divsChild>
        <w:div w:id="243032232">
          <w:marLeft w:val="0"/>
          <w:marRight w:val="0"/>
          <w:marTop w:val="0"/>
          <w:marBottom w:val="0"/>
          <w:divBdr>
            <w:top w:val="none" w:sz="0" w:space="0" w:color="auto"/>
            <w:left w:val="none" w:sz="0" w:space="0" w:color="auto"/>
            <w:bottom w:val="none" w:sz="0" w:space="0" w:color="auto"/>
            <w:right w:val="none" w:sz="0" w:space="0" w:color="auto"/>
          </w:divBdr>
        </w:div>
      </w:divsChild>
    </w:div>
    <w:div w:id="1146509671">
      <w:bodyDiv w:val="1"/>
      <w:marLeft w:val="0"/>
      <w:marRight w:val="0"/>
      <w:marTop w:val="0"/>
      <w:marBottom w:val="0"/>
      <w:divBdr>
        <w:top w:val="none" w:sz="0" w:space="0" w:color="auto"/>
        <w:left w:val="none" w:sz="0" w:space="0" w:color="auto"/>
        <w:bottom w:val="none" w:sz="0" w:space="0" w:color="auto"/>
        <w:right w:val="none" w:sz="0" w:space="0" w:color="auto"/>
      </w:divBdr>
      <w:divsChild>
        <w:div w:id="1495102835">
          <w:marLeft w:val="0"/>
          <w:marRight w:val="0"/>
          <w:marTop w:val="0"/>
          <w:marBottom w:val="0"/>
          <w:divBdr>
            <w:top w:val="none" w:sz="0" w:space="0" w:color="auto"/>
            <w:left w:val="none" w:sz="0" w:space="0" w:color="auto"/>
            <w:bottom w:val="none" w:sz="0" w:space="0" w:color="auto"/>
            <w:right w:val="none" w:sz="0" w:space="0" w:color="auto"/>
          </w:divBdr>
        </w:div>
        <w:div w:id="1656106416">
          <w:marLeft w:val="0"/>
          <w:marRight w:val="0"/>
          <w:marTop w:val="0"/>
          <w:marBottom w:val="0"/>
          <w:divBdr>
            <w:top w:val="none" w:sz="0" w:space="0" w:color="auto"/>
            <w:left w:val="none" w:sz="0" w:space="0" w:color="auto"/>
            <w:bottom w:val="none" w:sz="0" w:space="0" w:color="auto"/>
            <w:right w:val="none" w:sz="0" w:space="0" w:color="auto"/>
          </w:divBdr>
        </w:div>
      </w:divsChild>
    </w:div>
    <w:div w:id="1326127281">
      <w:bodyDiv w:val="1"/>
      <w:marLeft w:val="0"/>
      <w:marRight w:val="0"/>
      <w:marTop w:val="0"/>
      <w:marBottom w:val="0"/>
      <w:divBdr>
        <w:top w:val="none" w:sz="0" w:space="0" w:color="auto"/>
        <w:left w:val="none" w:sz="0" w:space="0" w:color="auto"/>
        <w:bottom w:val="none" w:sz="0" w:space="0" w:color="auto"/>
        <w:right w:val="none" w:sz="0" w:space="0" w:color="auto"/>
      </w:divBdr>
      <w:divsChild>
        <w:div w:id="544217882">
          <w:marLeft w:val="0"/>
          <w:marRight w:val="0"/>
          <w:marTop w:val="0"/>
          <w:marBottom w:val="0"/>
          <w:divBdr>
            <w:top w:val="none" w:sz="0" w:space="0" w:color="auto"/>
            <w:left w:val="none" w:sz="0" w:space="0" w:color="auto"/>
            <w:bottom w:val="none" w:sz="0" w:space="0" w:color="auto"/>
            <w:right w:val="none" w:sz="0" w:space="0" w:color="auto"/>
          </w:divBdr>
        </w:div>
      </w:divsChild>
    </w:div>
    <w:div w:id="1443915246">
      <w:bodyDiv w:val="1"/>
      <w:marLeft w:val="0"/>
      <w:marRight w:val="0"/>
      <w:marTop w:val="0"/>
      <w:marBottom w:val="0"/>
      <w:divBdr>
        <w:top w:val="none" w:sz="0" w:space="0" w:color="auto"/>
        <w:left w:val="none" w:sz="0" w:space="0" w:color="auto"/>
        <w:bottom w:val="none" w:sz="0" w:space="0" w:color="auto"/>
        <w:right w:val="none" w:sz="0" w:space="0" w:color="auto"/>
      </w:divBdr>
    </w:div>
    <w:div w:id="1478693489">
      <w:bodyDiv w:val="1"/>
      <w:marLeft w:val="0"/>
      <w:marRight w:val="0"/>
      <w:marTop w:val="0"/>
      <w:marBottom w:val="0"/>
      <w:divBdr>
        <w:top w:val="none" w:sz="0" w:space="0" w:color="auto"/>
        <w:left w:val="none" w:sz="0" w:space="0" w:color="auto"/>
        <w:bottom w:val="none" w:sz="0" w:space="0" w:color="auto"/>
        <w:right w:val="none" w:sz="0" w:space="0" w:color="auto"/>
      </w:divBdr>
    </w:div>
    <w:div w:id="1567687572">
      <w:bodyDiv w:val="1"/>
      <w:marLeft w:val="0"/>
      <w:marRight w:val="0"/>
      <w:marTop w:val="0"/>
      <w:marBottom w:val="0"/>
      <w:divBdr>
        <w:top w:val="none" w:sz="0" w:space="0" w:color="auto"/>
        <w:left w:val="none" w:sz="0" w:space="0" w:color="auto"/>
        <w:bottom w:val="none" w:sz="0" w:space="0" w:color="auto"/>
        <w:right w:val="none" w:sz="0" w:space="0" w:color="auto"/>
      </w:divBdr>
      <w:divsChild>
        <w:div w:id="1119303459">
          <w:marLeft w:val="0"/>
          <w:marRight w:val="0"/>
          <w:marTop w:val="0"/>
          <w:marBottom w:val="0"/>
          <w:divBdr>
            <w:top w:val="none" w:sz="0" w:space="0" w:color="auto"/>
            <w:left w:val="none" w:sz="0" w:space="0" w:color="auto"/>
            <w:bottom w:val="none" w:sz="0" w:space="0" w:color="auto"/>
            <w:right w:val="none" w:sz="0" w:space="0" w:color="auto"/>
          </w:divBdr>
        </w:div>
      </w:divsChild>
    </w:div>
    <w:div w:id="1574705122">
      <w:bodyDiv w:val="1"/>
      <w:marLeft w:val="0"/>
      <w:marRight w:val="0"/>
      <w:marTop w:val="0"/>
      <w:marBottom w:val="0"/>
      <w:divBdr>
        <w:top w:val="none" w:sz="0" w:space="0" w:color="auto"/>
        <w:left w:val="none" w:sz="0" w:space="0" w:color="auto"/>
        <w:bottom w:val="none" w:sz="0" w:space="0" w:color="auto"/>
        <w:right w:val="none" w:sz="0" w:space="0" w:color="auto"/>
      </w:divBdr>
    </w:div>
    <w:div w:id="1654723373">
      <w:bodyDiv w:val="1"/>
      <w:marLeft w:val="0"/>
      <w:marRight w:val="0"/>
      <w:marTop w:val="0"/>
      <w:marBottom w:val="0"/>
      <w:divBdr>
        <w:top w:val="none" w:sz="0" w:space="0" w:color="auto"/>
        <w:left w:val="none" w:sz="0" w:space="0" w:color="auto"/>
        <w:bottom w:val="none" w:sz="0" w:space="0" w:color="auto"/>
        <w:right w:val="none" w:sz="0" w:space="0" w:color="auto"/>
      </w:divBdr>
    </w:div>
    <w:div w:id="1747847702">
      <w:bodyDiv w:val="1"/>
      <w:marLeft w:val="0"/>
      <w:marRight w:val="0"/>
      <w:marTop w:val="0"/>
      <w:marBottom w:val="0"/>
      <w:divBdr>
        <w:top w:val="none" w:sz="0" w:space="0" w:color="auto"/>
        <w:left w:val="none" w:sz="0" w:space="0" w:color="auto"/>
        <w:bottom w:val="none" w:sz="0" w:space="0" w:color="auto"/>
        <w:right w:val="none" w:sz="0" w:space="0" w:color="auto"/>
      </w:divBdr>
    </w:div>
    <w:div w:id="1758289329">
      <w:bodyDiv w:val="1"/>
      <w:marLeft w:val="0"/>
      <w:marRight w:val="0"/>
      <w:marTop w:val="0"/>
      <w:marBottom w:val="0"/>
      <w:divBdr>
        <w:top w:val="none" w:sz="0" w:space="0" w:color="auto"/>
        <w:left w:val="none" w:sz="0" w:space="0" w:color="auto"/>
        <w:bottom w:val="none" w:sz="0" w:space="0" w:color="auto"/>
        <w:right w:val="none" w:sz="0" w:space="0" w:color="auto"/>
      </w:divBdr>
    </w:div>
    <w:div w:id="1786924994">
      <w:bodyDiv w:val="1"/>
      <w:marLeft w:val="0"/>
      <w:marRight w:val="0"/>
      <w:marTop w:val="0"/>
      <w:marBottom w:val="0"/>
      <w:divBdr>
        <w:top w:val="none" w:sz="0" w:space="0" w:color="auto"/>
        <w:left w:val="none" w:sz="0" w:space="0" w:color="auto"/>
        <w:bottom w:val="none" w:sz="0" w:space="0" w:color="auto"/>
        <w:right w:val="none" w:sz="0" w:space="0" w:color="auto"/>
      </w:divBdr>
      <w:divsChild>
        <w:div w:id="1682392729">
          <w:marLeft w:val="0"/>
          <w:marRight w:val="0"/>
          <w:marTop w:val="0"/>
          <w:marBottom w:val="0"/>
          <w:divBdr>
            <w:top w:val="none" w:sz="0" w:space="0" w:color="auto"/>
            <w:left w:val="none" w:sz="0" w:space="0" w:color="auto"/>
            <w:bottom w:val="none" w:sz="0" w:space="0" w:color="auto"/>
            <w:right w:val="none" w:sz="0" w:space="0" w:color="auto"/>
          </w:divBdr>
        </w:div>
      </w:divsChild>
    </w:div>
    <w:div w:id="2001763989">
      <w:bodyDiv w:val="1"/>
      <w:marLeft w:val="0"/>
      <w:marRight w:val="0"/>
      <w:marTop w:val="0"/>
      <w:marBottom w:val="0"/>
      <w:divBdr>
        <w:top w:val="none" w:sz="0" w:space="0" w:color="auto"/>
        <w:left w:val="none" w:sz="0" w:space="0" w:color="auto"/>
        <w:bottom w:val="none" w:sz="0" w:space="0" w:color="auto"/>
        <w:right w:val="none" w:sz="0" w:space="0" w:color="auto"/>
      </w:divBdr>
      <w:divsChild>
        <w:div w:id="1265532832">
          <w:marLeft w:val="0"/>
          <w:marRight w:val="0"/>
          <w:marTop w:val="0"/>
          <w:marBottom w:val="0"/>
          <w:divBdr>
            <w:top w:val="none" w:sz="0" w:space="0" w:color="auto"/>
            <w:left w:val="none" w:sz="0" w:space="0" w:color="auto"/>
            <w:bottom w:val="none" w:sz="0" w:space="0" w:color="auto"/>
            <w:right w:val="none" w:sz="0" w:space="0" w:color="auto"/>
          </w:divBdr>
        </w:div>
        <w:div w:id="1347446374">
          <w:marLeft w:val="0"/>
          <w:marRight w:val="0"/>
          <w:marTop w:val="0"/>
          <w:marBottom w:val="0"/>
          <w:divBdr>
            <w:top w:val="none" w:sz="0" w:space="0" w:color="auto"/>
            <w:left w:val="none" w:sz="0" w:space="0" w:color="auto"/>
            <w:bottom w:val="none" w:sz="0" w:space="0" w:color="auto"/>
            <w:right w:val="none" w:sz="0" w:space="0" w:color="auto"/>
          </w:divBdr>
        </w:div>
      </w:divsChild>
    </w:div>
    <w:div w:id="2014069494">
      <w:bodyDiv w:val="1"/>
      <w:marLeft w:val="0"/>
      <w:marRight w:val="0"/>
      <w:marTop w:val="0"/>
      <w:marBottom w:val="0"/>
      <w:divBdr>
        <w:top w:val="none" w:sz="0" w:space="0" w:color="auto"/>
        <w:left w:val="none" w:sz="0" w:space="0" w:color="auto"/>
        <w:bottom w:val="none" w:sz="0" w:space="0" w:color="auto"/>
        <w:right w:val="none" w:sz="0" w:space="0" w:color="auto"/>
      </w:divBdr>
      <w:divsChild>
        <w:div w:id="1785231238">
          <w:marLeft w:val="0"/>
          <w:marRight w:val="0"/>
          <w:marTop w:val="0"/>
          <w:marBottom w:val="0"/>
          <w:divBdr>
            <w:top w:val="none" w:sz="0" w:space="0" w:color="auto"/>
            <w:left w:val="none" w:sz="0" w:space="0" w:color="auto"/>
            <w:bottom w:val="none" w:sz="0" w:space="0" w:color="auto"/>
            <w:right w:val="none" w:sz="0" w:space="0" w:color="auto"/>
          </w:divBdr>
        </w:div>
      </w:divsChild>
    </w:div>
    <w:div w:id="2118132830">
      <w:bodyDiv w:val="1"/>
      <w:marLeft w:val="0"/>
      <w:marRight w:val="0"/>
      <w:marTop w:val="0"/>
      <w:marBottom w:val="0"/>
      <w:divBdr>
        <w:top w:val="none" w:sz="0" w:space="0" w:color="auto"/>
        <w:left w:val="none" w:sz="0" w:space="0" w:color="auto"/>
        <w:bottom w:val="none" w:sz="0" w:space="0" w:color="auto"/>
        <w:right w:val="none" w:sz="0" w:space="0" w:color="auto"/>
      </w:divBdr>
      <w:divsChild>
        <w:div w:id="515192832">
          <w:marLeft w:val="0"/>
          <w:marRight w:val="0"/>
          <w:marTop w:val="0"/>
          <w:marBottom w:val="0"/>
          <w:divBdr>
            <w:top w:val="none" w:sz="0" w:space="0" w:color="auto"/>
            <w:left w:val="none" w:sz="0" w:space="0" w:color="auto"/>
            <w:bottom w:val="none" w:sz="0" w:space="0" w:color="auto"/>
            <w:right w:val="none" w:sz="0" w:space="0" w:color="auto"/>
          </w:divBdr>
        </w:div>
      </w:divsChild>
    </w:div>
    <w:div w:id="2144958099">
      <w:bodyDiv w:val="1"/>
      <w:marLeft w:val="0"/>
      <w:marRight w:val="0"/>
      <w:marTop w:val="0"/>
      <w:marBottom w:val="0"/>
      <w:divBdr>
        <w:top w:val="none" w:sz="0" w:space="0" w:color="auto"/>
        <w:left w:val="none" w:sz="0" w:space="0" w:color="auto"/>
        <w:bottom w:val="none" w:sz="0" w:space="0" w:color="auto"/>
        <w:right w:val="none" w:sz="0" w:space="0" w:color="auto"/>
      </w:divBdr>
      <w:divsChild>
        <w:div w:id="545260380">
          <w:marLeft w:val="0"/>
          <w:marRight w:val="0"/>
          <w:marTop w:val="0"/>
          <w:marBottom w:val="0"/>
          <w:divBdr>
            <w:top w:val="none" w:sz="0" w:space="0" w:color="auto"/>
            <w:left w:val="none" w:sz="0" w:space="0" w:color="auto"/>
            <w:bottom w:val="none" w:sz="0" w:space="0" w:color="auto"/>
            <w:right w:val="none" w:sz="0" w:space="0" w:color="auto"/>
          </w:divBdr>
        </w:div>
        <w:div w:id="1721859897">
          <w:marLeft w:val="0"/>
          <w:marRight w:val="0"/>
          <w:marTop w:val="0"/>
          <w:marBottom w:val="0"/>
          <w:divBdr>
            <w:top w:val="none" w:sz="0" w:space="0" w:color="auto"/>
            <w:left w:val="none" w:sz="0" w:space="0" w:color="auto"/>
            <w:bottom w:val="none" w:sz="0" w:space="0" w:color="auto"/>
            <w:right w:val="none" w:sz="0" w:space="0" w:color="auto"/>
          </w:divBdr>
        </w:div>
        <w:div w:id="137095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5</Pages>
  <Words>2268</Words>
  <Characters>12929</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AdInsMDRC</cp:lastModifiedBy>
  <cp:revision>41</cp:revision>
  <cp:lastPrinted>2017-11-14T08:05:00Z</cp:lastPrinted>
  <dcterms:created xsi:type="dcterms:W3CDTF">2014-04-05T08:01:00Z</dcterms:created>
  <dcterms:modified xsi:type="dcterms:W3CDTF">2017-11-14T08:06:00Z</dcterms:modified>
</cp:coreProperties>
</file>