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B2" w:rsidRPr="00B360B8" w:rsidRDefault="00D43EB2">
      <w:pPr>
        <w:rPr>
          <w:lang w:val="ro-RO"/>
        </w:rPr>
      </w:pPr>
      <w:bookmarkStart w:id="0" w:name="_GoBack"/>
      <w:bookmarkEnd w:id="0"/>
    </w:p>
    <w:tbl>
      <w:tblPr>
        <w:tblStyle w:val="TableGrid"/>
        <w:tblW w:w="10260" w:type="dxa"/>
        <w:tblInd w:w="-252" w:type="dxa"/>
        <w:tblLook w:val="04A0" w:firstRow="1" w:lastRow="0" w:firstColumn="1" w:lastColumn="0" w:noHBand="0" w:noVBand="1"/>
      </w:tblPr>
      <w:tblGrid>
        <w:gridCol w:w="10260"/>
      </w:tblGrid>
      <w:tr w:rsidR="00D43EB2" w:rsidRPr="00B360B8" w:rsidTr="006C4246">
        <w:trPr>
          <w:trHeight w:val="1415"/>
        </w:trPr>
        <w:tc>
          <w:tcPr>
            <w:tcW w:w="10260" w:type="dxa"/>
          </w:tcPr>
          <w:p w:rsidR="00D43EB2" w:rsidRPr="00B360B8" w:rsidRDefault="00D43EB2">
            <w:pPr>
              <w:rPr>
                <w:rFonts w:ascii="Times New Roman" w:hAnsi="Times New Roman" w:cs="Times New Roman"/>
                <w:lang w:val="ro-RO"/>
              </w:rPr>
            </w:pPr>
          </w:p>
          <w:p w:rsidR="00DE0E3A" w:rsidRPr="00B360B8" w:rsidRDefault="00DE0E3A" w:rsidP="00DE0E3A">
            <w:pPr>
              <w:pStyle w:val="Heading2"/>
              <w:spacing w:line="240" w:lineRule="auto"/>
              <w:outlineLvl w:val="1"/>
              <w:rPr>
                <w:b/>
                <w:u w:val="none"/>
              </w:rPr>
            </w:pPr>
            <w:r w:rsidRPr="00B360B8">
              <w:rPr>
                <w:b/>
                <w:u w:val="none"/>
              </w:rPr>
              <w:t>NOTĂ INFORMATIVĂ</w:t>
            </w:r>
          </w:p>
          <w:p w:rsidR="00DE0E3A" w:rsidRPr="00B360B8" w:rsidRDefault="00DE0E3A" w:rsidP="00DE0E3A">
            <w:pPr>
              <w:pStyle w:val="12titlu"/>
              <w:spacing w:line="240" w:lineRule="auto"/>
              <w:ind w:firstLine="672"/>
              <w:rPr>
                <w:i w:val="0"/>
                <w:sz w:val="24"/>
              </w:rPr>
            </w:pPr>
            <w:r w:rsidRPr="00B360B8">
              <w:rPr>
                <w:i w:val="0"/>
                <w:sz w:val="24"/>
              </w:rPr>
              <w:t xml:space="preserve">la proiectul de hotărîre a Guvernului ”Cu privire la acreditarea și retragerea dreptului de organizare a programelor de studii superioare de licență în domeniile </w:t>
            </w:r>
            <w:r w:rsidRPr="00B360B8">
              <w:rPr>
                <w:sz w:val="24"/>
              </w:rPr>
              <w:t xml:space="preserve">14 </w:t>
            </w:r>
            <w:r w:rsidRPr="00B360B8">
              <w:rPr>
                <w:b w:val="0"/>
                <w:sz w:val="24"/>
              </w:rPr>
              <w:t>Științe ale educației</w:t>
            </w:r>
            <w:r w:rsidRPr="00B360B8">
              <w:rPr>
                <w:sz w:val="24"/>
              </w:rPr>
              <w:t xml:space="preserve">, 22 </w:t>
            </w:r>
            <w:r w:rsidRPr="00B360B8">
              <w:rPr>
                <w:b w:val="0"/>
                <w:sz w:val="24"/>
              </w:rPr>
              <w:t>Științe umanistice</w:t>
            </w:r>
            <w:r w:rsidR="00B360B8" w:rsidRPr="00B360B8">
              <w:rPr>
                <w:sz w:val="24"/>
              </w:rPr>
              <w:t>,</w:t>
            </w:r>
            <w:r w:rsidRPr="00B360B8">
              <w:rPr>
                <w:sz w:val="24"/>
              </w:rPr>
              <w:t xml:space="preserve"> 42 </w:t>
            </w:r>
            <w:r w:rsidRPr="00B360B8">
              <w:rPr>
                <w:b w:val="0"/>
                <w:sz w:val="24"/>
              </w:rPr>
              <w:t>Științe ale naturii</w:t>
            </w:r>
            <w:r w:rsidRPr="00B360B8">
              <w:rPr>
                <w:sz w:val="24"/>
              </w:rPr>
              <w:t xml:space="preserve">, 44 </w:t>
            </w:r>
            <w:r w:rsidRPr="00B360B8">
              <w:rPr>
                <w:b w:val="0"/>
                <w:sz w:val="24"/>
              </w:rPr>
              <w:t>Științe exacte</w:t>
            </w:r>
            <w:r w:rsidRPr="00B360B8">
              <w:rPr>
                <w:sz w:val="24"/>
              </w:rPr>
              <w:t xml:space="preserve">, </w:t>
            </w:r>
            <w:r w:rsidR="00B360B8" w:rsidRPr="00B360B8">
              <w:rPr>
                <w:sz w:val="24"/>
              </w:rPr>
              <w:t>52</w:t>
            </w:r>
            <w:r w:rsidRPr="00B360B8">
              <w:rPr>
                <w:sz w:val="24"/>
              </w:rPr>
              <w:t xml:space="preserve"> </w:t>
            </w:r>
            <w:r w:rsidRPr="00B360B8">
              <w:rPr>
                <w:b w:val="0"/>
                <w:i w:val="0"/>
                <w:sz w:val="24"/>
              </w:rPr>
              <w:t>I</w:t>
            </w:r>
            <w:r w:rsidRPr="00B360B8">
              <w:rPr>
                <w:b w:val="0"/>
                <w:bCs/>
                <w:i w:val="0"/>
                <w:sz w:val="24"/>
              </w:rPr>
              <w:t>nginerie şi activităţi</w:t>
            </w:r>
            <w:r w:rsidRPr="00B360B8">
              <w:rPr>
                <w:bCs/>
                <w:i w:val="0"/>
                <w:sz w:val="24"/>
              </w:rPr>
              <w:t xml:space="preserve"> </w:t>
            </w:r>
            <w:r w:rsidRPr="00B360B8">
              <w:rPr>
                <w:b w:val="0"/>
                <w:bCs/>
                <w:sz w:val="24"/>
              </w:rPr>
              <w:t>inginerești</w:t>
            </w:r>
            <w:r w:rsidRPr="00B360B8">
              <w:rPr>
                <w:bCs/>
                <w:sz w:val="24"/>
              </w:rPr>
              <w:t xml:space="preserve">, 54 </w:t>
            </w:r>
            <w:r w:rsidRPr="00B360B8">
              <w:rPr>
                <w:bCs/>
                <w:i w:val="0"/>
                <w:sz w:val="24"/>
              </w:rPr>
              <w:t xml:space="preserve"> </w:t>
            </w:r>
            <w:r w:rsidRPr="00B360B8">
              <w:rPr>
                <w:b w:val="0"/>
                <w:bCs/>
                <w:sz w:val="24"/>
              </w:rPr>
              <w:t>Tehnologii de fabricare şi prelucrare</w:t>
            </w:r>
            <w:r w:rsidRPr="00B360B8">
              <w:rPr>
                <w:sz w:val="24"/>
              </w:rPr>
              <w:t xml:space="preserve"> și 81 </w:t>
            </w:r>
            <w:r w:rsidRPr="00B360B8">
              <w:rPr>
                <w:b w:val="0"/>
                <w:bCs/>
                <w:sz w:val="24"/>
              </w:rPr>
              <w:t>Servicii publice</w:t>
            </w:r>
            <w:r w:rsidRPr="00B360B8">
              <w:rPr>
                <w:sz w:val="24"/>
              </w:rPr>
              <w:t xml:space="preserve"> </w:t>
            </w:r>
            <w:r w:rsidRPr="00B360B8">
              <w:rPr>
                <w:i w:val="0"/>
                <w:sz w:val="24"/>
              </w:rPr>
              <w:t>în instituțiile de învățământ superior din Republica Moldova”</w:t>
            </w:r>
          </w:p>
          <w:p w:rsidR="00D43EB2" w:rsidRPr="00B360B8" w:rsidRDefault="00D43EB2" w:rsidP="00D43EB2">
            <w:pPr>
              <w:jc w:val="center"/>
              <w:rPr>
                <w:rFonts w:ascii="Times New Roman" w:hAnsi="Times New Roman" w:cs="Times New Roman"/>
                <w:lang w:val="ro-RO"/>
              </w:rPr>
            </w:pPr>
          </w:p>
        </w:tc>
      </w:tr>
    </w:tbl>
    <w:p w:rsidR="00D43EB2" w:rsidRPr="00B360B8" w:rsidRDefault="00D43EB2">
      <w:pPr>
        <w:rPr>
          <w:rFonts w:ascii="Times New Roman" w:hAnsi="Times New Roman" w:cs="Times New Roman"/>
          <w:lang w:val="ro-RO"/>
        </w:rPr>
      </w:pPr>
    </w:p>
    <w:tbl>
      <w:tblPr>
        <w:tblStyle w:val="TableGrid"/>
        <w:tblW w:w="10260" w:type="dxa"/>
        <w:tblInd w:w="-252" w:type="dxa"/>
        <w:tblLook w:val="04A0" w:firstRow="1" w:lastRow="0" w:firstColumn="1" w:lastColumn="0" w:noHBand="0" w:noVBand="1"/>
      </w:tblPr>
      <w:tblGrid>
        <w:gridCol w:w="10399"/>
      </w:tblGrid>
      <w:tr w:rsidR="00D43EB2" w:rsidRPr="00B360B8" w:rsidTr="006C4246">
        <w:tc>
          <w:tcPr>
            <w:tcW w:w="10260" w:type="dxa"/>
          </w:tcPr>
          <w:p w:rsidR="00D43EB2" w:rsidRPr="00B360B8" w:rsidRDefault="00D43EB2" w:rsidP="00D43EB2">
            <w:pPr>
              <w:pStyle w:val="ListParagraph"/>
              <w:numPr>
                <w:ilvl w:val="0"/>
                <w:numId w:val="1"/>
              </w:numPr>
              <w:rPr>
                <w:rFonts w:ascii="Times New Roman" w:hAnsi="Times New Roman" w:cs="Times New Roman"/>
                <w:b/>
                <w:sz w:val="24"/>
                <w:szCs w:val="24"/>
                <w:lang w:val="ro-RO"/>
              </w:rPr>
            </w:pPr>
            <w:r w:rsidRPr="00B360B8">
              <w:rPr>
                <w:rFonts w:ascii="Times New Roman" w:hAnsi="Times New Roman" w:cs="Times New Roman"/>
                <w:b/>
                <w:sz w:val="24"/>
                <w:szCs w:val="24"/>
                <w:lang w:val="ro-RO"/>
              </w:rPr>
              <w:t>Condițiile ca</w:t>
            </w:r>
            <w:r w:rsidR="006D0500" w:rsidRPr="00B360B8">
              <w:rPr>
                <w:rFonts w:ascii="Times New Roman" w:hAnsi="Times New Roman" w:cs="Times New Roman"/>
                <w:b/>
                <w:sz w:val="24"/>
                <w:szCs w:val="24"/>
                <w:lang w:val="ro-RO"/>
              </w:rPr>
              <w:t>re</w:t>
            </w:r>
            <w:r w:rsidRPr="00B360B8">
              <w:rPr>
                <w:rFonts w:ascii="Times New Roman" w:hAnsi="Times New Roman" w:cs="Times New Roman"/>
                <w:b/>
                <w:sz w:val="24"/>
                <w:szCs w:val="24"/>
                <w:lang w:val="ro-RO"/>
              </w:rPr>
              <w:t xml:space="preserve"> au impus elaborarea proiectului</w:t>
            </w:r>
          </w:p>
        </w:tc>
      </w:tr>
      <w:tr w:rsidR="00D43EB2" w:rsidRPr="00B360B8" w:rsidTr="006C4246">
        <w:tc>
          <w:tcPr>
            <w:tcW w:w="10260" w:type="dxa"/>
          </w:tcPr>
          <w:p w:rsidR="00DE0E3A" w:rsidRPr="00B360B8" w:rsidRDefault="00DE0E3A" w:rsidP="00B360B8">
            <w:pPr>
              <w:spacing w:line="276" w:lineRule="auto"/>
              <w:ind w:firstLine="720"/>
              <w:jc w:val="both"/>
              <w:rPr>
                <w:rFonts w:ascii="Times New Roman" w:hAnsi="Times New Roman" w:cs="Times New Roman"/>
                <w:sz w:val="24"/>
                <w:szCs w:val="24"/>
                <w:lang w:val="ro-RO"/>
              </w:rPr>
            </w:pPr>
            <w:r w:rsidRPr="00B360B8">
              <w:rPr>
                <w:rFonts w:ascii="Times New Roman" w:hAnsi="Times New Roman" w:cs="Times New Roman"/>
                <w:sz w:val="24"/>
                <w:szCs w:val="24"/>
                <w:lang w:val="ro-RO"/>
              </w:rPr>
              <w:t>În scopul realizării Planului de activitate al Guvernului Republicii Moldova în domeniul învățământulu</w:t>
            </w:r>
            <w:r w:rsidR="00B360B8">
              <w:rPr>
                <w:rFonts w:ascii="Times New Roman" w:hAnsi="Times New Roman" w:cs="Times New Roman"/>
                <w:sz w:val="24"/>
                <w:szCs w:val="24"/>
                <w:lang w:val="ro-RO"/>
              </w:rPr>
              <w:t>i superior, Ministerul Educației</w:t>
            </w:r>
            <w:r w:rsidRPr="00B360B8">
              <w:rPr>
                <w:rFonts w:ascii="Times New Roman" w:hAnsi="Times New Roman" w:cs="Times New Roman"/>
                <w:sz w:val="24"/>
                <w:szCs w:val="24"/>
                <w:lang w:val="ro-RO"/>
              </w:rPr>
              <w:t>, Culturii și Cercetări a dispus demararea procesului de evaluare externă în vederea acreditării</w:t>
            </w:r>
            <w:r w:rsidRPr="00B360B8">
              <w:rPr>
                <w:rFonts w:ascii="Times New Roman" w:hAnsi="Times New Roman" w:cs="Times New Roman"/>
                <w:i/>
                <w:sz w:val="24"/>
                <w:szCs w:val="24"/>
                <w:lang w:val="ro-RO"/>
              </w:rPr>
              <w:t xml:space="preserve"> a programelor de studii superioare de licență în domeniul 14 Științe ale Educației</w:t>
            </w:r>
            <w:r w:rsidRPr="00B360B8">
              <w:rPr>
                <w:rFonts w:ascii="Times New Roman" w:hAnsi="Times New Roman" w:cs="Times New Roman"/>
                <w:sz w:val="24"/>
                <w:szCs w:val="24"/>
                <w:lang w:val="ro-RO"/>
              </w:rPr>
              <w:t>. În același timp</w:t>
            </w:r>
            <w:r w:rsidR="00B360B8">
              <w:rPr>
                <w:rFonts w:ascii="Times New Roman" w:hAnsi="Times New Roman" w:cs="Times New Roman"/>
                <w:sz w:val="24"/>
                <w:szCs w:val="24"/>
                <w:lang w:val="ro-RO"/>
              </w:rPr>
              <w:t>,</w:t>
            </w:r>
            <w:r w:rsidRPr="00B360B8">
              <w:rPr>
                <w:rFonts w:ascii="Times New Roman" w:hAnsi="Times New Roman" w:cs="Times New Roman"/>
                <w:sz w:val="24"/>
                <w:szCs w:val="24"/>
                <w:lang w:val="ro-RO"/>
              </w:rPr>
              <w:t xml:space="preserve"> pe parcursul anilor 2016-2017</w:t>
            </w:r>
            <w:r w:rsidR="00B360B8">
              <w:rPr>
                <w:rFonts w:ascii="Times New Roman" w:hAnsi="Times New Roman" w:cs="Times New Roman"/>
                <w:sz w:val="24"/>
                <w:szCs w:val="24"/>
                <w:lang w:val="ro-RO"/>
              </w:rPr>
              <w:t>,</w:t>
            </w:r>
            <w:r w:rsidRPr="00B360B8">
              <w:rPr>
                <w:rFonts w:ascii="Times New Roman" w:hAnsi="Times New Roman" w:cs="Times New Roman"/>
                <w:sz w:val="24"/>
                <w:szCs w:val="24"/>
                <w:lang w:val="ro-RO"/>
              </w:rPr>
              <w:t xml:space="preserve"> mai multe universități au depus </w:t>
            </w:r>
            <w:r w:rsidR="00B360B8">
              <w:rPr>
                <w:rFonts w:ascii="Times New Roman" w:hAnsi="Times New Roman" w:cs="Times New Roman"/>
                <w:sz w:val="24"/>
                <w:szCs w:val="24"/>
                <w:lang w:val="ro-RO"/>
              </w:rPr>
              <w:t>cereri pentru evaluarea externă</w:t>
            </w:r>
            <w:r w:rsidRPr="00B360B8">
              <w:rPr>
                <w:rFonts w:ascii="Times New Roman" w:hAnsi="Times New Roman" w:cs="Times New Roman"/>
                <w:sz w:val="24"/>
                <w:szCs w:val="24"/>
                <w:lang w:val="ro-RO"/>
              </w:rPr>
              <w:t xml:space="preserve"> în vederea acreditării și a programelor din domeniile 22 </w:t>
            </w:r>
            <w:r w:rsidRPr="00B360B8">
              <w:rPr>
                <w:rFonts w:ascii="Times New Roman" w:hAnsi="Times New Roman" w:cs="Times New Roman"/>
                <w:i/>
                <w:sz w:val="24"/>
                <w:szCs w:val="24"/>
                <w:lang w:val="ro-RO"/>
              </w:rPr>
              <w:t>Ș</w:t>
            </w:r>
            <w:r w:rsidR="00B360B8">
              <w:rPr>
                <w:rFonts w:ascii="Times New Roman" w:hAnsi="Times New Roman" w:cs="Times New Roman"/>
                <w:i/>
                <w:sz w:val="24"/>
                <w:szCs w:val="24"/>
                <w:lang w:val="ro-RO"/>
              </w:rPr>
              <w:t xml:space="preserve">tiințe umanistice, </w:t>
            </w:r>
            <w:r w:rsidRPr="00B360B8">
              <w:rPr>
                <w:rFonts w:ascii="Times New Roman" w:hAnsi="Times New Roman" w:cs="Times New Roman"/>
                <w:i/>
                <w:sz w:val="24"/>
                <w:szCs w:val="24"/>
                <w:lang w:val="ro-RO"/>
              </w:rPr>
              <w:t>42 Științe ale naturii, 44 Științe exacte</w:t>
            </w:r>
            <w:r w:rsidR="00B360B8">
              <w:rPr>
                <w:rFonts w:ascii="Times New Roman" w:hAnsi="Times New Roman" w:cs="Times New Roman"/>
                <w:sz w:val="24"/>
                <w:szCs w:val="24"/>
                <w:lang w:val="ro-RO"/>
              </w:rPr>
              <w:t xml:space="preserve">, </w:t>
            </w:r>
            <w:r w:rsidRPr="00B360B8">
              <w:rPr>
                <w:rFonts w:ascii="Times New Roman" w:hAnsi="Times New Roman" w:cs="Times New Roman"/>
                <w:sz w:val="24"/>
                <w:szCs w:val="24"/>
                <w:lang w:val="ro-RO"/>
              </w:rPr>
              <w:t>52  I</w:t>
            </w:r>
            <w:r w:rsidRPr="00B360B8">
              <w:rPr>
                <w:rFonts w:ascii="Times New Roman" w:hAnsi="Times New Roman" w:cs="Times New Roman"/>
                <w:bCs/>
                <w:i/>
                <w:sz w:val="24"/>
                <w:szCs w:val="24"/>
                <w:lang w:val="ro-RO"/>
              </w:rPr>
              <w:t>nginerie şi activităţi inginerești</w:t>
            </w:r>
            <w:r w:rsidRPr="00B360B8">
              <w:rPr>
                <w:rFonts w:ascii="Times New Roman" w:hAnsi="Times New Roman" w:cs="Times New Roman"/>
                <w:bCs/>
                <w:sz w:val="24"/>
                <w:szCs w:val="24"/>
                <w:lang w:val="ro-RO"/>
              </w:rPr>
              <w:t xml:space="preserve">, 54 </w:t>
            </w:r>
            <w:r w:rsidRPr="00B360B8">
              <w:rPr>
                <w:rFonts w:ascii="Times New Roman" w:hAnsi="Times New Roman" w:cs="Times New Roman"/>
                <w:bCs/>
                <w:i/>
                <w:sz w:val="24"/>
                <w:szCs w:val="24"/>
                <w:lang w:val="ro-RO"/>
              </w:rPr>
              <w:t>Tehnologii de fabricare şi prelucrare</w:t>
            </w:r>
            <w:r w:rsidRPr="00B360B8">
              <w:rPr>
                <w:rFonts w:ascii="Times New Roman" w:hAnsi="Times New Roman" w:cs="Times New Roman"/>
                <w:sz w:val="24"/>
                <w:szCs w:val="24"/>
                <w:lang w:val="ro-RO"/>
              </w:rPr>
              <w:t xml:space="preserve"> și </w:t>
            </w:r>
            <w:r w:rsidRPr="00B360B8">
              <w:rPr>
                <w:rFonts w:ascii="Times New Roman" w:hAnsi="Times New Roman" w:cs="Times New Roman"/>
                <w:i/>
                <w:sz w:val="24"/>
                <w:szCs w:val="24"/>
                <w:lang w:val="ro-RO"/>
              </w:rPr>
              <w:t>81</w:t>
            </w:r>
            <w:r w:rsidRPr="00B360B8">
              <w:rPr>
                <w:rFonts w:ascii="Times New Roman" w:hAnsi="Times New Roman" w:cs="Times New Roman"/>
                <w:sz w:val="24"/>
                <w:szCs w:val="24"/>
                <w:lang w:val="ro-RO"/>
              </w:rPr>
              <w:t xml:space="preserve"> </w:t>
            </w:r>
            <w:r w:rsidRPr="00B360B8">
              <w:rPr>
                <w:rFonts w:ascii="Times New Roman" w:hAnsi="Times New Roman" w:cs="Times New Roman"/>
                <w:bCs/>
                <w:i/>
                <w:sz w:val="24"/>
                <w:szCs w:val="24"/>
                <w:lang w:val="ro-RO"/>
              </w:rPr>
              <w:t>Servicii publice</w:t>
            </w:r>
            <w:r w:rsidRPr="00B360B8">
              <w:rPr>
                <w:rFonts w:ascii="Times New Roman" w:hAnsi="Times New Roman" w:cs="Times New Roman"/>
                <w:sz w:val="24"/>
                <w:szCs w:val="24"/>
                <w:lang w:val="ro-RO"/>
              </w:rPr>
              <w:t xml:space="preserve"> .</w:t>
            </w:r>
          </w:p>
          <w:p w:rsidR="00DE0E3A" w:rsidRPr="00B360B8" w:rsidRDefault="00DE0E3A" w:rsidP="00B360B8">
            <w:pPr>
              <w:shd w:val="clear" w:color="auto" w:fill="FFFFFF"/>
              <w:spacing w:line="276" w:lineRule="auto"/>
              <w:ind w:firstLine="720"/>
              <w:jc w:val="both"/>
              <w:rPr>
                <w:rFonts w:ascii="Times New Roman" w:eastAsia="Times New Roman" w:hAnsi="Times New Roman" w:cs="Times New Roman"/>
                <w:sz w:val="24"/>
                <w:szCs w:val="24"/>
                <w:bdr w:val="none" w:sz="0" w:space="0" w:color="auto" w:frame="1"/>
                <w:lang w:val="ro-RO" w:eastAsia="ru-RU"/>
              </w:rPr>
            </w:pPr>
            <w:r w:rsidRPr="00B360B8">
              <w:rPr>
                <w:rFonts w:ascii="Times New Roman" w:eastAsia="Times New Roman" w:hAnsi="Times New Roman" w:cs="Times New Roman"/>
                <w:sz w:val="24"/>
                <w:szCs w:val="24"/>
                <w:bdr w:val="none" w:sz="0" w:space="0" w:color="auto" w:frame="1"/>
                <w:lang w:val="ro-RO" w:eastAsia="ru-RU"/>
              </w:rPr>
              <w:t>Referindu-ne la necesitatea d</w:t>
            </w:r>
            <w:r w:rsidR="00B360B8">
              <w:rPr>
                <w:rFonts w:ascii="Times New Roman" w:eastAsia="Times New Roman" w:hAnsi="Times New Roman" w:cs="Times New Roman"/>
                <w:sz w:val="24"/>
                <w:szCs w:val="24"/>
                <w:bdr w:val="none" w:sz="0" w:space="0" w:color="auto" w:frame="1"/>
                <w:lang w:val="ro-RO" w:eastAsia="ru-RU"/>
              </w:rPr>
              <w:t>esfășurării evaluării externe, precizăm că,</w:t>
            </w:r>
            <w:r w:rsidRPr="00B360B8">
              <w:rPr>
                <w:rFonts w:ascii="Times New Roman" w:eastAsia="Times New Roman" w:hAnsi="Times New Roman" w:cs="Times New Roman"/>
                <w:sz w:val="24"/>
                <w:szCs w:val="24"/>
                <w:bdr w:val="none" w:sz="0" w:space="0" w:color="auto" w:frame="1"/>
                <w:lang w:val="ro-RO" w:eastAsia="ru-RU"/>
              </w:rPr>
              <w:t xml:space="preserve"> mai bine de 8 ani</w:t>
            </w:r>
            <w:r w:rsidR="00B360B8">
              <w:rPr>
                <w:rFonts w:ascii="Times New Roman" w:eastAsia="Times New Roman" w:hAnsi="Times New Roman" w:cs="Times New Roman"/>
                <w:sz w:val="24"/>
                <w:szCs w:val="24"/>
                <w:bdr w:val="none" w:sz="0" w:space="0" w:color="auto" w:frame="1"/>
                <w:lang w:val="ro-RO" w:eastAsia="ru-RU"/>
              </w:rPr>
              <w:t>,</w:t>
            </w:r>
            <w:r w:rsidRPr="00B360B8">
              <w:rPr>
                <w:rFonts w:ascii="Times New Roman" w:eastAsia="Times New Roman" w:hAnsi="Times New Roman" w:cs="Times New Roman"/>
                <w:sz w:val="24"/>
                <w:szCs w:val="24"/>
                <w:bdr w:val="none" w:sz="0" w:space="0" w:color="auto" w:frame="1"/>
                <w:lang w:val="ro-RO" w:eastAsia="ru-RU"/>
              </w:rPr>
              <w:t xml:space="preserve"> în Republica Moldova nu a avut loc o evaluare a programelor de studii de licență. Odată cu fondarea</w:t>
            </w:r>
            <w:r w:rsidRPr="00B360B8">
              <w:rPr>
                <w:rFonts w:ascii="Times New Roman" w:eastAsia="Times New Roman" w:hAnsi="Times New Roman" w:cs="Times New Roman"/>
                <w:bCs/>
                <w:sz w:val="24"/>
                <w:szCs w:val="24"/>
                <w:bdr w:val="none" w:sz="0" w:space="0" w:color="auto" w:frame="1"/>
                <w:lang w:val="ro-RO" w:eastAsia="ru-RU"/>
              </w:rPr>
              <w:t xml:space="preserve"> Agenției Naționale de Asigurare a Calității în Înv</w:t>
            </w:r>
            <w:r w:rsidR="00B360B8">
              <w:rPr>
                <w:rFonts w:ascii="Times New Roman" w:eastAsia="Times New Roman" w:hAnsi="Times New Roman" w:cs="Times New Roman"/>
                <w:bCs/>
                <w:sz w:val="24"/>
                <w:szCs w:val="24"/>
                <w:bdr w:val="none" w:sz="0" w:space="0" w:color="auto" w:frame="1"/>
                <w:lang w:val="ro-RO" w:eastAsia="ru-RU"/>
              </w:rPr>
              <w:t>ățământul Profesional (ANACIP)</w:t>
            </w:r>
            <w:r w:rsidRPr="00B360B8">
              <w:rPr>
                <w:rFonts w:ascii="Times New Roman" w:eastAsia="Times New Roman" w:hAnsi="Times New Roman" w:cs="Times New Roman"/>
                <w:sz w:val="24"/>
                <w:szCs w:val="24"/>
                <w:bdr w:val="none" w:sz="0" w:space="0" w:color="auto" w:frame="1"/>
                <w:lang w:val="ro-RO" w:eastAsia="ru-RU"/>
              </w:rPr>
              <w:t xml:space="preserve"> și aprobarea instrumentelor pentru evaluare și acreditare, Ministerul Educației, Culturii și Cercetării a demarat acest proces ca prioritate națională.</w:t>
            </w:r>
          </w:p>
          <w:p w:rsidR="00DE0E3A" w:rsidRPr="00B360B8" w:rsidRDefault="00DE0E3A" w:rsidP="00B360B8">
            <w:pPr>
              <w:spacing w:line="276" w:lineRule="auto"/>
              <w:ind w:firstLine="720"/>
              <w:jc w:val="both"/>
              <w:textAlignment w:val="baseline"/>
              <w:rPr>
                <w:rFonts w:ascii="Times New Roman" w:eastAsia="Times New Roman" w:hAnsi="Times New Roman" w:cs="Times New Roman"/>
                <w:sz w:val="24"/>
                <w:szCs w:val="24"/>
                <w:lang w:val="ro-RO" w:eastAsia="ru-RU"/>
              </w:rPr>
            </w:pPr>
            <w:r w:rsidRPr="00B360B8">
              <w:rPr>
                <w:rFonts w:ascii="Times New Roman" w:eastAsia="Times New Roman" w:hAnsi="Times New Roman" w:cs="Times New Roman"/>
                <w:bCs/>
                <w:sz w:val="24"/>
                <w:szCs w:val="24"/>
                <w:bdr w:val="none" w:sz="0" w:space="0" w:color="auto" w:frame="1"/>
                <w:lang w:val="ro-RO" w:eastAsia="ru-RU"/>
              </w:rPr>
              <w:t xml:space="preserve">Evaluarea externă a fost realizată în perioada septembrie 2016 - septembrie 2017 de către ANACIP, iar în total au fost supuse evaluării externe 108 programe de studii superioare de licență de la 8 instituții de învățământ în </w:t>
            </w:r>
            <w:r w:rsidR="00B360B8" w:rsidRPr="00B360B8">
              <w:rPr>
                <w:rFonts w:ascii="Times New Roman" w:eastAsia="Times New Roman" w:hAnsi="Times New Roman" w:cs="Times New Roman"/>
                <w:bCs/>
                <w:sz w:val="24"/>
                <w:szCs w:val="24"/>
                <w:bdr w:val="none" w:sz="0" w:space="0" w:color="auto" w:frame="1"/>
                <w:lang w:val="ro-RO" w:eastAsia="ru-RU"/>
              </w:rPr>
              <w:t>domeniile</w:t>
            </w:r>
            <w:r w:rsidR="00B360B8">
              <w:rPr>
                <w:rFonts w:ascii="Times New Roman" w:eastAsia="Times New Roman" w:hAnsi="Times New Roman" w:cs="Times New Roman"/>
                <w:bCs/>
                <w:sz w:val="24"/>
                <w:szCs w:val="24"/>
                <w:bdr w:val="none" w:sz="0" w:space="0" w:color="auto" w:frame="1"/>
                <w:lang w:val="ro-RO" w:eastAsia="ru-RU"/>
              </w:rPr>
              <w:t>:</w:t>
            </w:r>
            <w:r w:rsidRPr="00B360B8">
              <w:rPr>
                <w:rFonts w:ascii="Times New Roman" w:eastAsia="Times New Roman" w:hAnsi="Times New Roman" w:cs="Times New Roman"/>
                <w:bCs/>
                <w:sz w:val="24"/>
                <w:szCs w:val="24"/>
                <w:bdr w:val="none" w:sz="0" w:space="0" w:color="auto" w:frame="1"/>
                <w:lang w:val="ro-RO" w:eastAsia="ru-RU"/>
              </w:rPr>
              <w:t xml:space="preserve"> </w:t>
            </w:r>
            <w:r w:rsidRPr="00B360B8">
              <w:rPr>
                <w:rFonts w:ascii="Times New Roman" w:eastAsia="Times New Roman" w:hAnsi="Times New Roman" w:cs="Times New Roman"/>
                <w:bCs/>
                <w:i/>
                <w:sz w:val="24"/>
                <w:szCs w:val="24"/>
                <w:bdr w:val="none" w:sz="0" w:space="0" w:color="auto" w:frame="1"/>
                <w:lang w:val="ro-RO" w:eastAsia="ru-RU"/>
              </w:rPr>
              <w:t xml:space="preserve">Științe ale educației, Științe </w:t>
            </w:r>
            <w:r w:rsidR="00B360B8" w:rsidRPr="00B360B8">
              <w:rPr>
                <w:rFonts w:ascii="Times New Roman" w:eastAsia="Times New Roman" w:hAnsi="Times New Roman" w:cs="Times New Roman"/>
                <w:bCs/>
                <w:i/>
                <w:sz w:val="24"/>
                <w:szCs w:val="24"/>
                <w:bdr w:val="none" w:sz="0" w:space="0" w:color="auto" w:frame="1"/>
                <w:lang w:val="ro-RO" w:eastAsia="ru-RU"/>
              </w:rPr>
              <w:t>umanistice</w:t>
            </w:r>
            <w:r w:rsidRPr="00B360B8">
              <w:rPr>
                <w:rFonts w:ascii="Times New Roman" w:eastAsia="Times New Roman" w:hAnsi="Times New Roman" w:cs="Times New Roman"/>
                <w:bCs/>
                <w:i/>
                <w:sz w:val="24"/>
                <w:szCs w:val="24"/>
                <w:bdr w:val="none" w:sz="0" w:space="0" w:color="auto" w:frame="1"/>
                <w:lang w:val="ro-RO" w:eastAsia="ru-RU"/>
              </w:rPr>
              <w:t xml:space="preserve">, </w:t>
            </w:r>
            <w:r w:rsidRPr="00B360B8">
              <w:rPr>
                <w:rFonts w:ascii="Times New Roman" w:hAnsi="Times New Roman" w:cs="Times New Roman"/>
                <w:i/>
                <w:sz w:val="24"/>
                <w:szCs w:val="24"/>
                <w:lang w:val="ro-RO"/>
              </w:rPr>
              <w:t>Științe ale naturii</w:t>
            </w:r>
            <w:r w:rsidR="00B360B8">
              <w:rPr>
                <w:rFonts w:ascii="Times New Roman" w:hAnsi="Times New Roman" w:cs="Times New Roman"/>
                <w:sz w:val="24"/>
                <w:szCs w:val="24"/>
                <w:lang w:val="ro-RO"/>
              </w:rPr>
              <w:t xml:space="preserve"> și</w:t>
            </w:r>
            <w:r w:rsidRPr="00B360B8">
              <w:rPr>
                <w:rFonts w:ascii="Times New Roman" w:hAnsi="Times New Roman" w:cs="Times New Roman"/>
                <w:sz w:val="24"/>
                <w:szCs w:val="24"/>
                <w:lang w:val="ro-RO"/>
              </w:rPr>
              <w:t xml:space="preserve"> </w:t>
            </w:r>
            <w:r w:rsidRPr="00B360B8">
              <w:rPr>
                <w:rFonts w:ascii="Times New Roman" w:hAnsi="Times New Roman" w:cs="Times New Roman"/>
                <w:i/>
                <w:sz w:val="24"/>
                <w:szCs w:val="24"/>
                <w:lang w:val="ro-RO"/>
              </w:rPr>
              <w:t>Științe exacte</w:t>
            </w:r>
            <w:r w:rsidR="00B360B8">
              <w:rPr>
                <w:rFonts w:ascii="Times New Roman" w:eastAsia="Times New Roman" w:hAnsi="Times New Roman" w:cs="Times New Roman"/>
                <w:bCs/>
                <w:sz w:val="24"/>
                <w:szCs w:val="24"/>
                <w:bdr w:val="none" w:sz="0" w:space="0" w:color="auto" w:frame="1"/>
                <w:lang w:val="ro-RO" w:eastAsia="ru-RU"/>
              </w:rPr>
              <w:t>, precum și</w:t>
            </w:r>
            <w:r w:rsidRPr="00B360B8">
              <w:rPr>
                <w:rFonts w:ascii="Times New Roman" w:eastAsia="Times New Roman" w:hAnsi="Times New Roman" w:cs="Times New Roman"/>
                <w:bCs/>
                <w:sz w:val="24"/>
                <w:szCs w:val="24"/>
                <w:bdr w:val="none" w:sz="0" w:space="0" w:color="auto" w:frame="1"/>
                <w:lang w:val="ro-RO" w:eastAsia="ru-RU"/>
              </w:rPr>
              <w:t xml:space="preserve"> 9 programe de studii superioare de licență la domeniile</w:t>
            </w:r>
            <w:r w:rsidR="00B360B8">
              <w:rPr>
                <w:rFonts w:ascii="Times New Roman" w:eastAsia="Times New Roman" w:hAnsi="Times New Roman" w:cs="Times New Roman"/>
                <w:bCs/>
                <w:sz w:val="24"/>
                <w:szCs w:val="24"/>
                <w:bdr w:val="none" w:sz="0" w:space="0" w:color="auto" w:frame="1"/>
                <w:lang w:val="ro-RO" w:eastAsia="ru-RU"/>
              </w:rPr>
              <w:t>:</w:t>
            </w:r>
            <w:r w:rsidRPr="00B360B8">
              <w:rPr>
                <w:rFonts w:ascii="Times New Roman" w:eastAsia="Times New Roman" w:hAnsi="Times New Roman" w:cs="Times New Roman"/>
                <w:bCs/>
                <w:sz w:val="24"/>
                <w:szCs w:val="24"/>
                <w:bdr w:val="none" w:sz="0" w:space="0" w:color="auto" w:frame="1"/>
                <w:lang w:val="ro-RO" w:eastAsia="ru-RU"/>
              </w:rPr>
              <w:t xml:space="preserve"> </w:t>
            </w:r>
            <w:r w:rsidRPr="00B360B8">
              <w:rPr>
                <w:rFonts w:ascii="Times New Roman" w:hAnsi="Times New Roman" w:cs="Times New Roman"/>
                <w:sz w:val="24"/>
                <w:szCs w:val="24"/>
                <w:lang w:val="ro-RO"/>
              </w:rPr>
              <w:t>I</w:t>
            </w:r>
            <w:r w:rsidRPr="00B360B8">
              <w:rPr>
                <w:rFonts w:ascii="Times New Roman" w:hAnsi="Times New Roman" w:cs="Times New Roman"/>
                <w:bCs/>
                <w:i/>
                <w:sz w:val="24"/>
                <w:szCs w:val="24"/>
                <w:lang w:val="ro-RO"/>
              </w:rPr>
              <w:t>nginerie şi activităţi inginerești</w:t>
            </w:r>
            <w:r w:rsidRPr="00B360B8">
              <w:rPr>
                <w:rFonts w:ascii="Times New Roman" w:hAnsi="Times New Roman" w:cs="Times New Roman"/>
                <w:bCs/>
                <w:sz w:val="24"/>
                <w:szCs w:val="24"/>
                <w:lang w:val="ro-RO"/>
              </w:rPr>
              <w:t xml:space="preserve">, </w:t>
            </w:r>
            <w:r w:rsidRPr="00B360B8">
              <w:rPr>
                <w:rFonts w:ascii="Times New Roman" w:hAnsi="Times New Roman" w:cs="Times New Roman"/>
                <w:bCs/>
                <w:i/>
                <w:sz w:val="24"/>
                <w:szCs w:val="24"/>
                <w:lang w:val="ro-RO"/>
              </w:rPr>
              <w:t>Tehnologii de fabricare şi prelucrare</w:t>
            </w:r>
            <w:r w:rsidRPr="00B360B8">
              <w:rPr>
                <w:rFonts w:ascii="Times New Roman" w:hAnsi="Times New Roman" w:cs="Times New Roman"/>
                <w:sz w:val="24"/>
                <w:szCs w:val="24"/>
                <w:lang w:val="ro-RO"/>
              </w:rPr>
              <w:t xml:space="preserve"> și </w:t>
            </w:r>
            <w:r w:rsidRPr="00B360B8">
              <w:rPr>
                <w:rFonts w:ascii="Times New Roman" w:hAnsi="Times New Roman" w:cs="Times New Roman"/>
                <w:bCs/>
                <w:i/>
                <w:sz w:val="24"/>
                <w:szCs w:val="24"/>
                <w:lang w:val="ro-RO"/>
              </w:rPr>
              <w:t xml:space="preserve">Servicii publice </w:t>
            </w:r>
            <w:r w:rsidRPr="00B360B8">
              <w:rPr>
                <w:rFonts w:ascii="Times New Roman" w:hAnsi="Times New Roman" w:cs="Times New Roman"/>
                <w:bCs/>
                <w:sz w:val="24"/>
                <w:szCs w:val="24"/>
                <w:lang w:val="ro-RO"/>
              </w:rPr>
              <w:t>în cadrul a 5 universități.</w:t>
            </w:r>
          </w:p>
          <w:p w:rsidR="00DE0E3A" w:rsidRPr="00B360B8" w:rsidRDefault="00DE0E3A" w:rsidP="00B360B8">
            <w:pPr>
              <w:shd w:val="clear" w:color="auto" w:fill="FFFFFF"/>
              <w:spacing w:line="276" w:lineRule="auto"/>
              <w:ind w:firstLine="720"/>
              <w:jc w:val="both"/>
              <w:rPr>
                <w:rFonts w:ascii="Times New Roman" w:eastAsia="Times New Roman" w:hAnsi="Times New Roman" w:cs="Times New Roman"/>
                <w:sz w:val="24"/>
                <w:szCs w:val="24"/>
                <w:lang w:val="ro-RO"/>
              </w:rPr>
            </w:pPr>
            <w:r w:rsidRPr="00B360B8">
              <w:rPr>
                <w:rFonts w:ascii="Times New Roman" w:eastAsia="Times New Roman" w:hAnsi="Times New Roman" w:cs="Times New Roman"/>
                <w:sz w:val="24"/>
                <w:szCs w:val="24"/>
                <w:lang w:val="ro-RO"/>
              </w:rPr>
              <w:t>Pentru o mai bună informare a reprezentanților instituțiilor de învățământ superior, a căror programe de studii superioare de licență urmau a fi evaluate în vederea a</w:t>
            </w:r>
            <w:r w:rsidR="00FD3DA9">
              <w:rPr>
                <w:rFonts w:ascii="Times New Roman" w:eastAsia="Times New Roman" w:hAnsi="Times New Roman" w:cs="Times New Roman"/>
                <w:sz w:val="24"/>
                <w:szCs w:val="24"/>
                <w:lang w:val="ro-RO"/>
              </w:rPr>
              <w:t xml:space="preserve">creditării, </w:t>
            </w:r>
            <w:r w:rsidRPr="00B360B8">
              <w:rPr>
                <w:rFonts w:ascii="Times New Roman" w:eastAsia="Times New Roman" w:hAnsi="Times New Roman" w:cs="Times New Roman"/>
                <w:sz w:val="24"/>
                <w:szCs w:val="24"/>
                <w:lang w:val="ro-RO"/>
              </w:rPr>
              <w:t>Agenția Națională de Asigurare a Calităț</w:t>
            </w:r>
            <w:r w:rsidR="00FD3DA9">
              <w:rPr>
                <w:rFonts w:ascii="Times New Roman" w:eastAsia="Times New Roman" w:hAnsi="Times New Roman" w:cs="Times New Roman"/>
                <w:sz w:val="24"/>
                <w:szCs w:val="24"/>
                <w:lang w:val="ro-RO"/>
              </w:rPr>
              <w:t xml:space="preserve">ii în Învățământul Profesional </w:t>
            </w:r>
            <w:r w:rsidRPr="00B360B8">
              <w:rPr>
                <w:rFonts w:ascii="Times New Roman" w:eastAsia="Times New Roman" w:hAnsi="Times New Roman" w:cs="Times New Roman"/>
                <w:sz w:val="24"/>
                <w:szCs w:val="24"/>
                <w:lang w:val="ro-RO"/>
              </w:rPr>
              <w:t>a organizat sesiuni de informare cu privire la procesul de evaluare externă a calității programelor de studii și standardele de acreditare aplicate în procesul de evaluare.</w:t>
            </w:r>
          </w:p>
          <w:p w:rsidR="00D43EB2" w:rsidRPr="00FD3DA9" w:rsidRDefault="00DE0E3A" w:rsidP="00FD3DA9">
            <w:pPr>
              <w:shd w:val="clear" w:color="auto" w:fill="FFFFFF"/>
              <w:spacing w:line="276" w:lineRule="auto"/>
              <w:ind w:firstLine="720"/>
              <w:jc w:val="both"/>
              <w:rPr>
                <w:rFonts w:ascii="Times New Roman" w:eastAsia="Times New Roman" w:hAnsi="Times New Roman" w:cs="Times New Roman"/>
                <w:sz w:val="24"/>
                <w:szCs w:val="24"/>
                <w:lang w:val="ro-RO"/>
              </w:rPr>
            </w:pPr>
            <w:r w:rsidRPr="00B360B8">
              <w:rPr>
                <w:rFonts w:ascii="Times New Roman" w:eastAsia="Times New Roman" w:hAnsi="Times New Roman" w:cs="Times New Roman"/>
                <w:sz w:val="24"/>
                <w:szCs w:val="24"/>
                <w:lang w:val="ro-RO"/>
              </w:rPr>
              <w:t>La sesiunile de informare au participat circa 150 de persoane din cadrul instituțiilor de învățământ superior care au fost desemnați responsabili de elaborarea rapoartelor de autoevaluare.</w:t>
            </w:r>
          </w:p>
        </w:tc>
      </w:tr>
      <w:tr w:rsidR="00D43EB2" w:rsidRPr="00B360B8" w:rsidTr="006C4246">
        <w:tc>
          <w:tcPr>
            <w:tcW w:w="10008" w:type="dxa"/>
          </w:tcPr>
          <w:p w:rsidR="00D43EB2" w:rsidRPr="00B360B8" w:rsidRDefault="001E55BD" w:rsidP="00D43EB2">
            <w:pPr>
              <w:ind w:left="360"/>
              <w:rPr>
                <w:rFonts w:ascii="Times New Roman" w:hAnsi="Times New Roman" w:cs="Times New Roman"/>
                <w:b/>
                <w:sz w:val="24"/>
                <w:szCs w:val="24"/>
                <w:lang w:val="ro-RO"/>
              </w:rPr>
            </w:pPr>
            <w:r w:rsidRPr="00B360B8">
              <w:rPr>
                <w:rFonts w:ascii="Times New Roman" w:hAnsi="Times New Roman" w:cs="Times New Roman"/>
                <w:b/>
                <w:sz w:val="24"/>
                <w:szCs w:val="24"/>
                <w:lang w:val="ro-RO"/>
              </w:rPr>
              <w:t>2</w:t>
            </w:r>
            <w:r w:rsidR="00D43EB2" w:rsidRPr="00B360B8">
              <w:rPr>
                <w:rFonts w:ascii="Times New Roman" w:hAnsi="Times New Roman" w:cs="Times New Roman"/>
                <w:b/>
                <w:sz w:val="24"/>
                <w:szCs w:val="24"/>
                <w:lang w:val="ro-RO"/>
              </w:rPr>
              <w:t>.</w:t>
            </w:r>
            <w:r w:rsidRPr="00B360B8">
              <w:rPr>
                <w:rFonts w:ascii="Times New Roman" w:hAnsi="Times New Roman" w:cs="Times New Roman"/>
                <w:b/>
                <w:sz w:val="24"/>
                <w:szCs w:val="24"/>
                <w:lang w:val="ro-RO"/>
              </w:rPr>
              <w:t xml:space="preserve"> </w:t>
            </w:r>
            <w:r w:rsidR="00D43EB2" w:rsidRPr="00B360B8">
              <w:rPr>
                <w:rFonts w:ascii="Times New Roman" w:hAnsi="Times New Roman" w:cs="Times New Roman"/>
                <w:b/>
                <w:sz w:val="24"/>
                <w:szCs w:val="24"/>
                <w:lang w:val="ro-RO"/>
              </w:rPr>
              <w:t>Esența proiectului</w:t>
            </w:r>
          </w:p>
        </w:tc>
      </w:tr>
      <w:tr w:rsidR="00D43EB2" w:rsidRPr="00B360B8" w:rsidTr="006C4246">
        <w:tc>
          <w:tcPr>
            <w:tcW w:w="10008" w:type="dxa"/>
          </w:tcPr>
          <w:p w:rsidR="00DE0E3A" w:rsidRPr="00B360B8" w:rsidRDefault="001E55BD" w:rsidP="00DE0E3A">
            <w:pPr>
              <w:spacing w:line="276" w:lineRule="auto"/>
              <w:jc w:val="both"/>
              <w:rPr>
                <w:rFonts w:ascii="Times New Roman" w:eastAsia="Verdana" w:hAnsi="Times New Roman" w:cs="Times New Roman"/>
                <w:color w:val="000000"/>
                <w:sz w:val="24"/>
                <w:szCs w:val="24"/>
                <w:lang w:val="ro-RO"/>
              </w:rPr>
            </w:pPr>
            <w:r w:rsidRPr="00B360B8">
              <w:rPr>
                <w:rFonts w:ascii="Times New Roman" w:hAnsi="Times New Roman" w:cs="Times New Roman"/>
                <w:sz w:val="24"/>
                <w:szCs w:val="24"/>
                <w:lang w:val="ro-RO"/>
              </w:rPr>
              <w:t xml:space="preserve">          </w:t>
            </w:r>
            <w:r w:rsidR="00DE0E3A" w:rsidRPr="00B360B8">
              <w:rPr>
                <w:rFonts w:ascii="Times New Roman" w:hAnsi="Times New Roman" w:cs="Times New Roman"/>
                <w:snapToGrid w:val="0"/>
                <w:color w:val="000000"/>
                <w:sz w:val="24"/>
                <w:szCs w:val="24"/>
                <w:lang w:val="ro-RO"/>
              </w:rPr>
              <w:t>Procesul de evaluare externă a</w:t>
            </w:r>
            <w:r w:rsidR="00DE0E3A" w:rsidRPr="00B360B8">
              <w:rPr>
                <w:rFonts w:ascii="Times New Roman" w:hAnsi="Times New Roman" w:cs="Times New Roman"/>
                <w:sz w:val="24"/>
                <w:szCs w:val="24"/>
                <w:lang w:val="ro-RO"/>
              </w:rPr>
              <w:t xml:space="preserve"> programelor de studii superioare de licență în domeniile menționate </w:t>
            </w:r>
            <w:r w:rsidR="00DE0E3A" w:rsidRPr="00B360B8">
              <w:rPr>
                <w:rFonts w:ascii="Times New Roman" w:hAnsi="Times New Roman" w:cs="Times New Roman"/>
                <w:snapToGrid w:val="0"/>
                <w:color w:val="000000"/>
                <w:sz w:val="24"/>
                <w:szCs w:val="24"/>
                <w:lang w:val="ro-RO"/>
              </w:rPr>
              <w:t>a fost realizat în baza prevederilor Codului Educației (Titlul V. Învățământul superior), a standardelor de acreditare, criteriilor și a indicatoril</w:t>
            </w:r>
            <w:r w:rsidR="00FD3DA9">
              <w:rPr>
                <w:rFonts w:ascii="Times New Roman" w:hAnsi="Times New Roman" w:cs="Times New Roman"/>
                <w:snapToGrid w:val="0"/>
                <w:color w:val="000000"/>
                <w:sz w:val="24"/>
                <w:szCs w:val="24"/>
                <w:lang w:val="ro-RO"/>
              </w:rPr>
              <w:t xml:space="preserve">or de performanță stabiliți în </w:t>
            </w:r>
            <w:r w:rsidR="00DE0E3A" w:rsidRPr="00B360B8">
              <w:rPr>
                <w:rFonts w:ascii="Times New Roman" w:eastAsia="Verdana" w:hAnsi="Times New Roman" w:cs="Times New Roman"/>
                <w:color w:val="000000"/>
                <w:sz w:val="24"/>
                <w:szCs w:val="24"/>
                <w:lang w:val="ro-RO"/>
              </w:rPr>
              <w:t xml:space="preserve">Metodologia de evaluare externă a calității în vederea autorizării de funcționare provizorie și acreditării programelor de studii și a instituțiilor de învățământ profesional tehnic, superior și de formare continuă, aprobată prin Hotărârea de </w:t>
            </w:r>
            <w:r w:rsidR="00DE0E3A" w:rsidRPr="00B360B8">
              <w:rPr>
                <w:rFonts w:ascii="Times New Roman" w:eastAsia="Verdana" w:hAnsi="Times New Roman" w:cs="Times New Roman"/>
                <w:color w:val="000000"/>
                <w:sz w:val="24"/>
                <w:szCs w:val="24"/>
                <w:lang w:val="ro-RO"/>
              </w:rPr>
              <w:lastRenderedPageBreak/>
              <w:t xml:space="preserve">Guvern nr.616 din 18 mai 2016 ( în continuare </w:t>
            </w:r>
            <w:r w:rsidR="00DE0E3A" w:rsidRPr="00B360B8">
              <w:rPr>
                <w:rFonts w:ascii="Times New Roman" w:eastAsia="Verdana" w:hAnsi="Times New Roman" w:cs="Times New Roman"/>
                <w:i/>
                <w:color w:val="000000"/>
                <w:sz w:val="24"/>
                <w:szCs w:val="24"/>
                <w:lang w:val="ro-RO"/>
              </w:rPr>
              <w:t>Metodologia</w:t>
            </w:r>
            <w:r w:rsidR="00DE0E3A" w:rsidRPr="00B360B8">
              <w:rPr>
                <w:rFonts w:ascii="Times New Roman" w:eastAsia="Verdana" w:hAnsi="Times New Roman" w:cs="Times New Roman"/>
                <w:color w:val="000000"/>
                <w:sz w:val="24"/>
                <w:szCs w:val="24"/>
                <w:lang w:val="ro-RO"/>
              </w:rPr>
              <w:t>).</w:t>
            </w:r>
          </w:p>
          <w:p w:rsidR="00DE0E3A" w:rsidRPr="00B360B8" w:rsidRDefault="00DE0E3A" w:rsidP="00DE0E3A">
            <w:pPr>
              <w:spacing w:line="276" w:lineRule="auto"/>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Standardele de acreditare sunt conforme cu documentele internaționale de referință în vigoare ,,Standardele și liniile directoare pentru asigurarea calității în Spațiul European al Învățământului Superior  (ESG), versiunea 2015.</w:t>
            </w:r>
          </w:p>
          <w:p w:rsidR="00DE0E3A" w:rsidRPr="00B360B8" w:rsidRDefault="00DE0E3A" w:rsidP="00DE0E3A">
            <w:pPr>
              <w:spacing w:before="240" w:after="240" w:line="276" w:lineRule="auto"/>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Standardele de acreditare aplicate de evaluatori conform Metodologei menționate sunt: </w:t>
            </w:r>
          </w:p>
          <w:p w:rsidR="00DE0E3A" w:rsidRPr="00B360B8" w:rsidRDefault="00DE0E3A" w:rsidP="00DE0E3A">
            <w:pPr>
              <w:numPr>
                <w:ilvl w:val="0"/>
                <w:numId w:val="8"/>
              </w:numPr>
              <w:spacing w:before="240" w:after="240" w:line="276" w:lineRule="auto"/>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Politic</w:t>
            </w:r>
            <w:r w:rsidR="00FD3DA9">
              <w:rPr>
                <w:rFonts w:ascii="Times New Roman" w:eastAsia="Verdana" w:hAnsi="Times New Roman" w:cs="Times New Roman"/>
                <w:color w:val="000000"/>
                <w:sz w:val="24"/>
                <w:szCs w:val="24"/>
                <w:lang w:val="ro-RO"/>
              </w:rPr>
              <w:t>i pentru asigurarea calității (</w:t>
            </w:r>
            <w:r w:rsidRPr="00B360B8">
              <w:rPr>
                <w:rFonts w:ascii="Times New Roman" w:eastAsia="Verdana" w:hAnsi="Times New Roman" w:cs="Times New Roman"/>
                <w:color w:val="000000"/>
                <w:sz w:val="24"/>
                <w:szCs w:val="24"/>
                <w:lang w:val="ro-RO"/>
              </w:rPr>
              <w:t>8,0 pct.); 2. Proiectarea și aprobarea programelor (12,0 pct.); 3. Învățarea, predarea și evaluarea centrate pe student (14,0 pct.);</w:t>
            </w:r>
            <w:r w:rsidR="00FD3DA9">
              <w:rPr>
                <w:rFonts w:ascii="Times New Roman" w:eastAsia="Verdana" w:hAnsi="Times New Roman" w:cs="Times New Roman"/>
                <w:color w:val="000000"/>
                <w:sz w:val="24"/>
                <w:szCs w:val="24"/>
                <w:lang w:val="ro-RO"/>
              </w:rPr>
              <w:t xml:space="preserve"> </w:t>
            </w:r>
            <w:r w:rsidRPr="00B360B8">
              <w:rPr>
                <w:rFonts w:ascii="Times New Roman" w:eastAsia="Verdana" w:hAnsi="Times New Roman" w:cs="Times New Roman"/>
                <w:color w:val="000000"/>
                <w:sz w:val="24"/>
                <w:szCs w:val="24"/>
                <w:lang w:val="ro-RO"/>
              </w:rPr>
              <w:t>4. Admiterea, evoluția, recunoașterea și dobândirea de certificări de către student (8,0 pct.); 5.Personalul academic (22,0 pct.); 6. Resurse de învățare și sprijin pentru student (15,0 pct.); 7. Managementul informației (4,0 pct.); 8. Informații de interes public (3,0 pct.); 9. Monitorizarea continuă și evaluarea periodică a programelor (12,0 pct.);</w:t>
            </w:r>
            <w:r w:rsidR="00FD3DA9">
              <w:rPr>
                <w:rFonts w:ascii="Times New Roman" w:eastAsia="Verdana" w:hAnsi="Times New Roman" w:cs="Times New Roman"/>
                <w:color w:val="000000"/>
                <w:sz w:val="24"/>
                <w:szCs w:val="24"/>
                <w:lang w:val="ro-RO"/>
              </w:rPr>
              <w:t xml:space="preserve"> </w:t>
            </w:r>
            <w:r w:rsidRPr="00B360B8">
              <w:rPr>
                <w:rFonts w:ascii="Times New Roman" w:eastAsia="Verdana" w:hAnsi="Times New Roman" w:cs="Times New Roman"/>
                <w:color w:val="000000"/>
                <w:sz w:val="24"/>
                <w:szCs w:val="24"/>
                <w:lang w:val="ro-RO"/>
              </w:rPr>
              <w:t>10. Asigurarea externă a calității în mod ciclic (2,0 pct.)</w:t>
            </w:r>
          </w:p>
          <w:p w:rsidR="00DE0E3A" w:rsidRPr="00FD3DA9" w:rsidRDefault="00DE0E3A" w:rsidP="00DE0E3A">
            <w:pPr>
              <w:spacing w:before="240" w:after="240" w:line="276" w:lineRule="auto"/>
              <w:jc w:val="both"/>
              <w:rPr>
                <w:rFonts w:ascii="Times New Roman" w:hAnsi="Times New Roman" w:cs="Times New Roman"/>
                <w:sz w:val="24"/>
                <w:szCs w:val="24"/>
                <w:lang w:val="ro-RO"/>
              </w:rPr>
            </w:pPr>
            <w:r w:rsidRPr="00FD3DA9">
              <w:rPr>
                <w:rFonts w:ascii="Times New Roman" w:eastAsia="Verdana" w:hAnsi="Times New Roman" w:cs="Times New Roman"/>
                <w:color w:val="000000"/>
                <w:sz w:val="24"/>
                <w:szCs w:val="24"/>
                <w:lang w:val="ro-RO"/>
              </w:rPr>
              <w:t xml:space="preserve">Analiza deciziilor Consiliului de Conducere al ANACIP privind evaluarea externă a programelor de studii superioare de licență în dom. 14 </w:t>
            </w:r>
            <w:r w:rsidRPr="00FD3DA9">
              <w:rPr>
                <w:rFonts w:ascii="Times New Roman" w:eastAsia="Verdana" w:hAnsi="Times New Roman" w:cs="Times New Roman"/>
                <w:i/>
                <w:color w:val="000000"/>
                <w:sz w:val="24"/>
                <w:szCs w:val="24"/>
                <w:lang w:val="ro-RO"/>
              </w:rPr>
              <w:t xml:space="preserve">Științe ale educației </w:t>
            </w:r>
            <w:r w:rsidRPr="00FD3DA9">
              <w:rPr>
                <w:rFonts w:ascii="Times New Roman" w:eastAsia="Verdana" w:hAnsi="Times New Roman" w:cs="Times New Roman"/>
                <w:color w:val="000000"/>
                <w:sz w:val="24"/>
                <w:szCs w:val="24"/>
                <w:lang w:val="ro-RO"/>
              </w:rPr>
              <w:t>ne demonstrează următoarea situație: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191"/>
              <w:gridCol w:w="2202"/>
              <w:gridCol w:w="2202"/>
              <w:gridCol w:w="2026"/>
            </w:tblGrid>
            <w:tr w:rsidR="00DE0E3A" w:rsidRPr="00FD3DA9" w:rsidTr="00DE0E3A">
              <w:trPr>
                <w:trHeight w:val="2260"/>
              </w:trPr>
              <w:tc>
                <w:tcPr>
                  <w:tcW w:w="1552" w:type="dxa"/>
                  <w:shd w:val="clear" w:color="auto" w:fill="auto"/>
                </w:tcPr>
                <w:p w:rsidR="00DE0E3A" w:rsidRPr="00FD3DA9" w:rsidRDefault="00DE0E3A" w:rsidP="00DE0E3A">
                  <w:pPr>
                    <w:jc w:val="both"/>
                    <w:rPr>
                      <w:rFonts w:ascii="Times New Roman" w:hAnsi="Times New Roman" w:cs="Times New Roman"/>
                      <w:b/>
                      <w:sz w:val="24"/>
                      <w:szCs w:val="24"/>
                      <w:lang w:val="ro-RO"/>
                    </w:rPr>
                  </w:pPr>
                </w:p>
                <w:p w:rsidR="00DE0E3A" w:rsidRPr="00FD3DA9" w:rsidRDefault="00DE0E3A" w:rsidP="00DE0E3A">
                  <w:pPr>
                    <w:spacing w:line="240" w:lineRule="auto"/>
                    <w:jc w:val="both"/>
                    <w:rPr>
                      <w:rFonts w:ascii="Times New Roman" w:hAnsi="Times New Roman" w:cs="Times New Roman"/>
                      <w:b/>
                      <w:sz w:val="24"/>
                      <w:szCs w:val="24"/>
                      <w:lang w:val="ro-RO"/>
                    </w:rPr>
                  </w:pPr>
                  <w:r w:rsidRPr="00FD3DA9">
                    <w:rPr>
                      <w:rFonts w:ascii="Times New Roman" w:hAnsi="Times New Roman" w:cs="Times New Roman"/>
                      <w:b/>
                      <w:sz w:val="24"/>
                      <w:szCs w:val="24"/>
                      <w:lang w:val="ro-RO"/>
                    </w:rPr>
                    <w:t>Total</w:t>
                  </w:r>
                </w:p>
                <w:p w:rsidR="00DE0E3A" w:rsidRPr="00FD3DA9" w:rsidRDefault="00DE0E3A" w:rsidP="00DE0E3A">
                  <w:pPr>
                    <w:spacing w:line="240" w:lineRule="auto"/>
                    <w:jc w:val="both"/>
                    <w:rPr>
                      <w:rFonts w:ascii="Times New Roman" w:hAnsi="Times New Roman" w:cs="Times New Roman"/>
                      <w:b/>
                      <w:sz w:val="24"/>
                      <w:szCs w:val="24"/>
                      <w:lang w:val="ro-RO"/>
                    </w:rPr>
                  </w:pPr>
                  <w:r w:rsidRPr="00FD3DA9">
                    <w:rPr>
                      <w:rFonts w:ascii="Times New Roman" w:hAnsi="Times New Roman" w:cs="Times New Roman"/>
                      <w:b/>
                      <w:sz w:val="24"/>
                      <w:szCs w:val="24"/>
                      <w:lang w:val="ro-RO"/>
                    </w:rPr>
                    <w:t xml:space="preserve">programe </w:t>
                  </w:r>
                </w:p>
                <w:p w:rsidR="00DE0E3A" w:rsidRPr="00FD3DA9" w:rsidRDefault="00DE0E3A" w:rsidP="00DE0E3A">
                  <w:pPr>
                    <w:spacing w:line="240" w:lineRule="auto"/>
                    <w:jc w:val="both"/>
                    <w:rPr>
                      <w:rFonts w:ascii="Times New Roman" w:hAnsi="Times New Roman" w:cs="Times New Roman"/>
                      <w:sz w:val="24"/>
                      <w:szCs w:val="24"/>
                      <w:lang w:val="ro-RO"/>
                    </w:rPr>
                  </w:pPr>
                  <w:r w:rsidRPr="00FD3DA9">
                    <w:rPr>
                      <w:rFonts w:ascii="Times New Roman" w:hAnsi="Times New Roman" w:cs="Times New Roman"/>
                      <w:b/>
                      <w:sz w:val="24"/>
                      <w:szCs w:val="24"/>
                      <w:lang w:val="ro-RO"/>
                    </w:rPr>
                    <w:t>evaluate</w:t>
                  </w:r>
                </w:p>
              </w:tc>
              <w:tc>
                <w:tcPr>
                  <w:tcW w:w="2191"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Programe acreditate pentru </w:t>
                  </w:r>
                  <w:r w:rsidRPr="00FD3DA9">
                    <w:rPr>
                      <w:rFonts w:ascii="Times New Roman" w:hAnsi="Times New Roman" w:cs="Times New Roman"/>
                      <w:b/>
                      <w:sz w:val="24"/>
                      <w:szCs w:val="24"/>
                      <w:lang w:val="ro-RO"/>
                    </w:rPr>
                    <w:t>5 ani</w:t>
                  </w:r>
                </w:p>
                <w:p w:rsidR="00DE0E3A" w:rsidRPr="00FD3DA9" w:rsidRDefault="00DE0E3A" w:rsidP="00DE0E3A">
                  <w:pPr>
                    <w:jc w:val="both"/>
                    <w:rPr>
                      <w:rFonts w:ascii="Times New Roman" w:hAnsi="Times New Roman" w:cs="Times New Roman"/>
                      <w:i/>
                      <w:sz w:val="24"/>
                      <w:szCs w:val="24"/>
                      <w:lang w:val="ro-RO"/>
                    </w:rPr>
                  </w:pPr>
                  <w:r w:rsidRPr="00FD3DA9">
                    <w:rPr>
                      <w:rFonts w:ascii="Times New Roman" w:hAnsi="Times New Roman" w:cs="Times New Roman"/>
                      <w:sz w:val="24"/>
                      <w:szCs w:val="24"/>
                      <w:lang w:val="ro-RO"/>
                    </w:rPr>
                    <w:t xml:space="preserve">corespund cerințelor </w:t>
                  </w:r>
                  <w:r w:rsidRPr="00FD3DA9">
                    <w:rPr>
                      <w:rFonts w:ascii="Times New Roman" w:hAnsi="Times New Roman" w:cs="Times New Roman"/>
                      <w:i/>
                      <w:sz w:val="24"/>
                      <w:szCs w:val="24"/>
                      <w:lang w:val="ro-RO"/>
                    </w:rPr>
                    <w:t xml:space="preserve">(realizarea standardelor de acreditare de </w:t>
                  </w:r>
                  <w:r w:rsidRPr="00FD3DA9">
                    <w:rPr>
                      <w:rFonts w:ascii="Times New Roman" w:hAnsi="Times New Roman" w:cs="Times New Roman"/>
                      <w:b/>
                      <w:i/>
                      <w:sz w:val="24"/>
                      <w:szCs w:val="24"/>
                      <w:lang w:val="ro-RO"/>
                    </w:rPr>
                    <w:t>peste</w:t>
                  </w:r>
                  <w:r w:rsidRPr="00FD3DA9">
                    <w:rPr>
                      <w:rFonts w:ascii="Times New Roman" w:hAnsi="Times New Roman" w:cs="Times New Roman"/>
                      <w:i/>
                      <w:sz w:val="24"/>
                      <w:szCs w:val="24"/>
                      <w:lang w:val="ro-RO"/>
                    </w:rPr>
                    <w:t xml:space="preserve"> </w:t>
                  </w:r>
                  <w:r w:rsidRPr="00FD3DA9">
                    <w:rPr>
                      <w:rFonts w:ascii="Times New Roman" w:hAnsi="Times New Roman" w:cs="Times New Roman"/>
                      <w:b/>
                      <w:i/>
                      <w:sz w:val="24"/>
                      <w:szCs w:val="24"/>
                      <w:lang w:val="ro-RO"/>
                    </w:rPr>
                    <w:t>90,0 %)</w:t>
                  </w:r>
                </w:p>
              </w:tc>
              <w:tc>
                <w:tcPr>
                  <w:tcW w:w="2202" w:type="dxa"/>
                  <w:shd w:val="clear" w:color="auto" w:fill="auto"/>
                </w:tcPr>
                <w:p w:rsidR="00DE0E3A" w:rsidRPr="00FD3DA9" w:rsidRDefault="00DE0E3A" w:rsidP="00DE0E3A">
                  <w:pPr>
                    <w:jc w:val="both"/>
                    <w:rPr>
                      <w:rFonts w:ascii="Times New Roman" w:hAnsi="Times New Roman" w:cs="Times New Roman"/>
                      <w:b/>
                      <w:sz w:val="24"/>
                      <w:szCs w:val="24"/>
                      <w:lang w:val="ro-RO"/>
                    </w:rPr>
                  </w:pPr>
                  <w:r w:rsidRPr="00FD3DA9">
                    <w:rPr>
                      <w:rFonts w:ascii="Times New Roman" w:hAnsi="Times New Roman" w:cs="Times New Roman"/>
                      <w:sz w:val="24"/>
                      <w:szCs w:val="24"/>
                      <w:lang w:val="ro-RO"/>
                    </w:rPr>
                    <w:t xml:space="preserve">Programe acreditate condiționat pentru </w:t>
                  </w:r>
                  <w:r w:rsidRPr="00FD3DA9">
                    <w:rPr>
                      <w:rFonts w:ascii="Times New Roman" w:hAnsi="Times New Roman" w:cs="Times New Roman"/>
                      <w:b/>
                      <w:sz w:val="24"/>
                      <w:szCs w:val="24"/>
                      <w:lang w:val="ro-RO"/>
                    </w:rPr>
                    <w:t xml:space="preserve">3 ani </w:t>
                  </w:r>
                </w:p>
                <w:p w:rsidR="00DE0E3A" w:rsidRPr="00FD3DA9" w:rsidRDefault="00DE0E3A" w:rsidP="00FD3DA9">
                  <w:pPr>
                    <w:jc w:val="both"/>
                    <w:rPr>
                      <w:rFonts w:ascii="Times New Roman" w:hAnsi="Times New Roman" w:cs="Times New Roman"/>
                      <w:i/>
                      <w:sz w:val="24"/>
                      <w:szCs w:val="24"/>
                      <w:lang w:val="ro-RO"/>
                    </w:rPr>
                  </w:pPr>
                  <w:r w:rsidRPr="00FD3DA9">
                    <w:rPr>
                      <w:rFonts w:ascii="Times New Roman" w:hAnsi="Times New Roman" w:cs="Times New Roman"/>
                      <w:sz w:val="24"/>
                      <w:szCs w:val="24"/>
                      <w:lang w:val="ro-RO"/>
                    </w:rPr>
                    <w:t>corespund parțial cerințelor</w:t>
                  </w:r>
                  <w:r w:rsidRPr="00FD3DA9">
                    <w:rPr>
                      <w:rFonts w:ascii="Times New Roman" w:hAnsi="Times New Roman" w:cs="Times New Roman"/>
                      <w:i/>
                      <w:sz w:val="24"/>
                      <w:szCs w:val="24"/>
                      <w:lang w:val="ro-RO"/>
                    </w:rPr>
                    <w:t xml:space="preserve">(realizarea standardelor de acreditare </w:t>
                  </w:r>
                  <w:r w:rsidR="00FD3DA9" w:rsidRPr="00FD3DA9">
                    <w:rPr>
                      <w:rFonts w:ascii="Times New Roman" w:hAnsi="Times New Roman" w:cs="Times New Roman"/>
                      <w:i/>
                      <w:sz w:val="24"/>
                      <w:szCs w:val="24"/>
                      <w:lang w:val="ro-RO"/>
                    </w:rPr>
                    <w:t>(</w:t>
                  </w:r>
                  <w:r w:rsidRPr="00FD3DA9">
                    <w:rPr>
                      <w:rFonts w:ascii="Times New Roman" w:hAnsi="Times New Roman" w:cs="Times New Roman"/>
                      <w:b/>
                      <w:i/>
                      <w:sz w:val="24"/>
                      <w:szCs w:val="24"/>
                      <w:lang w:val="ro-RO"/>
                    </w:rPr>
                    <w:t>50,0-90,0 %)</w:t>
                  </w:r>
                </w:p>
              </w:tc>
              <w:tc>
                <w:tcPr>
                  <w:tcW w:w="2202" w:type="dxa"/>
                  <w:shd w:val="clear" w:color="auto" w:fill="auto"/>
                </w:tcPr>
                <w:p w:rsidR="00DE0E3A" w:rsidRPr="00FD3DA9" w:rsidRDefault="00DE0E3A" w:rsidP="00FD3DA9">
                  <w:pPr>
                    <w:spacing w:line="240" w:lineRule="auto"/>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Programe neacreditate</w:t>
                  </w:r>
                </w:p>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b/>
                      <w:sz w:val="24"/>
                      <w:szCs w:val="24"/>
                      <w:lang w:val="ro-RO"/>
                    </w:rPr>
                    <w:t xml:space="preserve">Nu </w:t>
                  </w:r>
                  <w:r w:rsidRPr="00FD3DA9">
                    <w:rPr>
                      <w:rFonts w:ascii="Times New Roman" w:hAnsi="Times New Roman" w:cs="Times New Roman"/>
                      <w:sz w:val="24"/>
                      <w:szCs w:val="24"/>
                      <w:lang w:val="ro-RO"/>
                    </w:rPr>
                    <w:t>corespund cerințelor</w:t>
                  </w:r>
                  <w:r w:rsidR="00FD3DA9" w:rsidRPr="00FD3DA9">
                    <w:rPr>
                      <w:rFonts w:ascii="Times New Roman" w:hAnsi="Times New Roman" w:cs="Times New Roman"/>
                      <w:sz w:val="24"/>
                      <w:szCs w:val="24"/>
                      <w:lang w:val="ro-RO"/>
                    </w:rPr>
                    <w:t xml:space="preserve"> </w:t>
                  </w:r>
                  <w:r w:rsidRPr="00FD3DA9">
                    <w:rPr>
                      <w:rFonts w:ascii="Times New Roman" w:hAnsi="Times New Roman" w:cs="Times New Roman"/>
                      <w:i/>
                      <w:sz w:val="24"/>
                      <w:szCs w:val="24"/>
                      <w:lang w:val="ro-RO"/>
                    </w:rPr>
                    <w:t xml:space="preserve">(realizarea standardelor de acreditare de mai </w:t>
                  </w:r>
                  <w:r w:rsidRPr="00FD3DA9">
                    <w:rPr>
                      <w:rFonts w:ascii="Times New Roman" w:hAnsi="Times New Roman" w:cs="Times New Roman"/>
                      <w:b/>
                      <w:i/>
                      <w:sz w:val="24"/>
                      <w:szCs w:val="24"/>
                      <w:lang w:val="ro-RO"/>
                    </w:rPr>
                    <w:t>puțin de 50%)</w:t>
                  </w:r>
                </w:p>
              </w:tc>
              <w:tc>
                <w:tcPr>
                  <w:tcW w:w="2026"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Procedura de evaluare externă a programelor </w:t>
                  </w:r>
                  <w:r w:rsidRPr="00FD3DA9">
                    <w:rPr>
                      <w:rFonts w:ascii="Times New Roman" w:hAnsi="Times New Roman" w:cs="Times New Roman"/>
                      <w:b/>
                      <w:sz w:val="24"/>
                      <w:szCs w:val="24"/>
                      <w:lang w:val="ro-RO"/>
                    </w:rPr>
                    <w:t>suspendată</w:t>
                  </w:r>
                  <w:r w:rsidRPr="00FD3DA9">
                    <w:rPr>
                      <w:rFonts w:ascii="Times New Roman" w:hAnsi="Times New Roman" w:cs="Times New Roman"/>
                      <w:sz w:val="24"/>
                      <w:szCs w:val="24"/>
                      <w:lang w:val="ro-RO"/>
                    </w:rPr>
                    <w:t xml:space="preserve"> pentru un an</w:t>
                  </w:r>
                </w:p>
              </w:tc>
            </w:tr>
            <w:tr w:rsidR="00DE0E3A" w:rsidRPr="00FD3DA9" w:rsidTr="00DE0E3A">
              <w:trPr>
                <w:trHeight w:val="407"/>
              </w:trPr>
              <w:tc>
                <w:tcPr>
                  <w:tcW w:w="1552"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b/>
                      <w:sz w:val="24"/>
                      <w:szCs w:val="24"/>
                      <w:lang w:val="ro-RO"/>
                    </w:rPr>
                    <w:t>103</w:t>
                  </w:r>
                </w:p>
              </w:tc>
              <w:tc>
                <w:tcPr>
                  <w:tcW w:w="2191"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24 </w:t>
                  </w:r>
                  <w:r w:rsidRPr="00FD3DA9">
                    <w:rPr>
                      <w:rFonts w:ascii="Times New Roman" w:hAnsi="Times New Roman" w:cs="Times New Roman"/>
                      <w:i/>
                      <w:sz w:val="24"/>
                      <w:szCs w:val="24"/>
                      <w:lang w:val="ro-RO"/>
                    </w:rPr>
                    <w:t>(23%)</w:t>
                  </w:r>
                </w:p>
              </w:tc>
              <w:tc>
                <w:tcPr>
                  <w:tcW w:w="2202"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60 </w:t>
                  </w:r>
                  <w:r w:rsidRPr="00FD3DA9">
                    <w:rPr>
                      <w:rFonts w:ascii="Times New Roman" w:hAnsi="Times New Roman" w:cs="Times New Roman"/>
                      <w:i/>
                      <w:sz w:val="24"/>
                      <w:szCs w:val="24"/>
                      <w:lang w:val="ro-RO"/>
                    </w:rPr>
                    <w:t>(58%)</w:t>
                  </w:r>
                </w:p>
              </w:tc>
              <w:tc>
                <w:tcPr>
                  <w:tcW w:w="2202"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2 </w:t>
                  </w:r>
                  <w:r w:rsidRPr="00FD3DA9">
                    <w:rPr>
                      <w:rFonts w:ascii="Times New Roman" w:hAnsi="Times New Roman" w:cs="Times New Roman"/>
                      <w:i/>
                      <w:sz w:val="24"/>
                      <w:szCs w:val="24"/>
                      <w:lang w:val="ro-RO"/>
                    </w:rPr>
                    <w:t>(2%)</w:t>
                  </w:r>
                </w:p>
              </w:tc>
              <w:tc>
                <w:tcPr>
                  <w:tcW w:w="2026" w:type="dxa"/>
                  <w:shd w:val="clear" w:color="auto" w:fill="auto"/>
                </w:tcPr>
                <w:p w:rsidR="00DE0E3A" w:rsidRPr="00FD3DA9" w:rsidRDefault="00DE0E3A" w:rsidP="00DE0E3A">
                  <w:pPr>
                    <w:jc w:val="both"/>
                    <w:rPr>
                      <w:rFonts w:ascii="Times New Roman" w:hAnsi="Times New Roman" w:cs="Times New Roman"/>
                      <w:sz w:val="24"/>
                      <w:szCs w:val="24"/>
                      <w:lang w:val="ro-RO"/>
                    </w:rPr>
                  </w:pPr>
                  <w:r w:rsidRPr="00FD3DA9">
                    <w:rPr>
                      <w:rFonts w:ascii="Times New Roman" w:hAnsi="Times New Roman" w:cs="Times New Roman"/>
                      <w:sz w:val="24"/>
                      <w:szCs w:val="24"/>
                      <w:lang w:val="ro-RO"/>
                    </w:rPr>
                    <w:t xml:space="preserve">17 </w:t>
                  </w:r>
                  <w:r w:rsidRPr="00FD3DA9">
                    <w:rPr>
                      <w:rFonts w:ascii="Times New Roman" w:hAnsi="Times New Roman" w:cs="Times New Roman"/>
                      <w:i/>
                      <w:sz w:val="24"/>
                      <w:szCs w:val="24"/>
                      <w:lang w:val="ro-RO"/>
                    </w:rPr>
                    <w:t>(</w:t>
                  </w:r>
                  <w:r w:rsidRPr="00FD3DA9">
                    <w:rPr>
                      <w:rFonts w:ascii="Times New Roman" w:hAnsi="Times New Roman" w:cs="Times New Roman"/>
                      <w:b/>
                      <w:i/>
                      <w:sz w:val="24"/>
                      <w:szCs w:val="24"/>
                      <w:lang w:val="ro-RO"/>
                    </w:rPr>
                    <w:t>17%)</w:t>
                  </w:r>
                </w:p>
              </w:tc>
            </w:tr>
          </w:tbl>
          <w:p w:rsidR="0002373C" w:rsidRPr="00B360B8" w:rsidRDefault="00FD3DA9" w:rsidP="00DE0E3A">
            <w:pPr>
              <w:spacing w:before="240" w:after="240" w:line="276" w:lineRule="auto"/>
              <w:jc w:val="both"/>
              <w:rPr>
                <w:rFonts w:ascii="Times New Roman" w:eastAsia="Verdana" w:hAnsi="Times New Roman" w:cs="Times New Roman"/>
                <w:color w:val="000000"/>
                <w:sz w:val="24"/>
                <w:szCs w:val="24"/>
                <w:lang w:val="ro-RO"/>
              </w:rPr>
            </w:pPr>
            <w:r>
              <w:rPr>
                <w:rFonts w:ascii="Times New Roman" w:eastAsia="Verdana" w:hAnsi="Times New Roman" w:cs="Times New Roman"/>
                <w:color w:val="000000"/>
                <w:sz w:val="24"/>
                <w:szCs w:val="24"/>
                <w:lang w:val="ro-RO"/>
              </w:rPr>
              <w:t>Analizând situația</w:t>
            </w:r>
            <w:r w:rsidR="00DE0E3A" w:rsidRPr="00B360B8">
              <w:rPr>
                <w:rFonts w:ascii="Times New Roman" w:eastAsia="Verdana" w:hAnsi="Times New Roman" w:cs="Times New Roman"/>
                <w:color w:val="000000"/>
                <w:sz w:val="24"/>
                <w:szCs w:val="24"/>
                <w:lang w:val="ro-RO"/>
              </w:rPr>
              <w:t xml:space="preserve"> general</w:t>
            </w:r>
            <w:r>
              <w:rPr>
                <w:rFonts w:ascii="Times New Roman" w:eastAsia="Verdana" w:hAnsi="Times New Roman" w:cs="Times New Roman"/>
                <w:color w:val="000000"/>
                <w:sz w:val="24"/>
                <w:szCs w:val="24"/>
                <w:lang w:val="ro-RO"/>
              </w:rPr>
              <w:t xml:space="preserve">ă din </w:t>
            </w:r>
            <w:r w:rsidR="00DE0E3A" w:rsidRPr="00B360B8">
              <w:rPr>
                <w:rFonts w:ascii="Times New Roman" w:eastAsia="Verdana" w:hAnsi="Times New Roman" w:cs="Times New Roman"/>
                <w:color w:val="000000"/>
                <w:sz w:val="24"/>
                <w:szCs w:val="24"/>
                <w:lang w:val="ro-RO"/>
              </w:rPr>
              <w:t xml:space="preserve">domeniul </w:t>
            </w:r>
            <w:r w:rsidR="00DE0E3A" w:rsidRPr="00B360B8">
              <w:rPr>
                <w:rFonts w:ascii="Times New Roman" w:eastAsia="Verdana" w:hAnsi="Times New Roman" w:cs="Times New Roman"/>
                <w:i/>
                <w:color w:val="000000"/>
                <w:sz w:val="24"/>
                <w:szCs w:val="24"/>
                <w:lang w:val="ro-RO"/>
              </w:rPr>
              <w:t>Științe ale educației</w:t>
            </w:r>
            <w:r w:rsidR="00DE0E3A" w:rsidRPr="00B360B8">
              <w:rPr>
                <w:rFonts w:ascii="Times New Roman" w:eastAsia="Verdana" w:hAnsi="Times New Roman" w:cs="Times New Roman"/>
                <w:color w:val="000000"/>
                <w:sz w:val="24"/>
                <w:szCs w:val="24"/>
                <w:lang w:val="ro-RO"/>
              </w:rPr>
              <w:t>, constatăm că mai bine de 60% din programe au obținut acreditare doar pentru 3 ani fiind condiționate de un șir d</w:t>
            </w:r>
            <w:r>
              <w:rPr>
                <w:rFonts w:ascii="Times New Roman" w:eastAsia="Verdana" w:hAnsi="Times New Roman" w:cs="Times New Roman"/>
                <w:color w:val="000000"/>
                <w:sz w:val="24"/>
                <w:szCs w:val="24"/>
                <w:lang w:val="ro-RO"/>
              </w:rPr>
              <w:t>e recomandări serioase, informația</w:t>
            </w:r>
            <w:r w:rsidR="00DE0E3A" w:rsidRPr="00B360B8">
              <w:rPr>
                <w:rFonts w:ascii="Times New Roman" w:eastAsia="Verdana" w:hAnsi="Times New Roman" w:cs="Times New Roman"/>
                <w:color w:val="000000"/>
                <w:sz w:val="24"/>
                <w:szCs w:val="24"/>
                <w:lang w:val="ro-RO"/>
              </w:rPr>
              <w:t xml:space="preserve"> fiind prezentată în tabelul de mai jos. La circa 17 % de programe din același domeniu a fost suspendat procesul de evaluare externă pe o perioadă de un an, astfel </w:t>
            </w:r>
            <w:r w:rsidRPr="00B360B8">
              <w:rPr>
                <w:rFonts w:ascii="Times New Roman" w:eastAsia="Verdana" w:hAnsi="Times New Roman" w:cs="Times New Roman"/>
                <w:color w:val="000000"/>
                <w:sz w:val="24"/>
                <w:szCs w:val="24"/>
                <w:lang w:val="ro-RO"/>
              </w:rPr>
              <w:t>constatând</w:t>
            </w:r>
            <w:r w:rsidR="00DE0E3A" w:rsidRPr="00B360B8">
              <w:rPr>
                <w:rFonts w:ascii="Times New Roman" w:eastAsia="Verdana" w:hAnsi="Times New Roman" w:cs="Times New Roman"/>
                <w:color w:val="000000"/>
                <w:sz w:val="24"/>
                <w:szCs w:val="24"/>
                <w:lang w:val="ro-RO"/>
              </w:rPr>
              <w:t xml:space="preserve"> că unul sau două din standardele de  acreditare nu corespund cerințelor.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650"/>
              <w:gridCol w:w="1139"/>
              <w:gridCol w:w="1179"/>
              <w:gridCol w:w="1131"/>
              <w:gridCol w:w="1004"/>
              <w:gridCol w:w="851"/>
              <w:gridCol w:w="1054"/>
              <w:gridCol w:w="1188"/>
            </w:tblGrid>
            <w:tr w:rsidR="0002373C" w:rsidRPr="00B360B8" w:rsidTr="0002373C">
              <w:tc>
                <w:tcPr>
                  <w:tcW w:w="1977"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650"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USM</w:t>
                  </w:r>
                </w:p>
              </w:tc>
              <w:tc>
                <w:tcPr>
                  <w:tcW w:w="113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02373C">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USTiraspol</w:t>
                  </w:r>
                </w:p>
              </w:tc>
              <w:tc>
                <w:tcPr>
                  <w:tcW w:w="117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02373C">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w:t>
                  </w:r>
                  <w:r w:rsidR="0002373C" w:rsidRPr="00B360B8">
                    <w:rPr>
                      <w:rFonts w:ascii="Times New Roman" w:hAnsi="Times New Roman" w:cs="Times New Roman"/>
                      <w:sz w:val="20"/>
                      <w:szCs w:val="20"/>
                      <w:lang w:val="ro-RO"/>
                    </w:rPr>
                    <w:t xml:space="preserve"> </w:t>
                  </w:r>
                  <w:r w:rsidRPr="00B360B8">
                    <w:rPr>
                      <w:rFonts w:ascii="Times New Roman" w:hAnsi="Times New Roman" w:cs="Times New Roman"/>
                      <w:sz w:val="20"/>
                      <w:szCs w:val="20"/>
                      <w:lang w:val="ro-RO"/>
                    </w:rPr>
                    <w:t>Taraclia</w:t>
                  </w:r>
                </w:p>
              </w:tc>
              <w:tc>
                <w:tcPr>
                  <w:tcW w:w="113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02373C">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w:t>
                  </w:r>
                  <w:r w:rsidR="0002373C" w:rsidRPr="00B360B8">
                    <w:rPr>
                      <w:rFonts w:ascii="Times New Roman" w:hAnsi="Times New Roman" w:cs="Times New Roman"/>
                      <w:sz w:val="20"/>
                      <w:szCs w:val="20"/>
                      <w:lang w:val="ro-RO"/>
                    </w:rPr>
                    <w:t xml:space="preserve"> </w:t>
                  </w:r>
                  <w:r w:rsidRPr="00B360B8">
                    <w:rPr>
                      <w:rFonts w:ascii="Times New Roman" w:hAnsi="Times New Roman" w:cs="Times New Roman"/>
                      <w:sz w:val="20"/>
                      <w:szCs w:val="20"/>
                      <w:lang w:val="ro-RO"/>
                    </w:rPr>
                    <w:t>Comrat</w:t>
                  </w:r>
                </w:p>
              </w:tc>
              <w:tc>
                <w:tcPr>
                  <w:tcW w:w="100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02373C">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w:t>
                  </w:r>
                  <w:r w:rsidR="0002373C" w:rsidRPr="00B360B8">
                    <w:rPr>
                      <w:rFonts w:ascii="Times New Roman" w:hAnsi="Times New Roman" w:cs="Times New Roman"/>
                      <w:sz w:val="20"/>
                      <w:szCs w:val="20"/>
                      <w:lang w:val="ro-RO"/>
                    </w:rPr>
                    <w:t xml:space="preserve"> </w:t>
                  </w:r>
                  <w:r w:rsidRPr="00B360B8">
                    <w:rPr>
                      <w:rFonts w:ascii="Times New Roman" w:hAnsi="Times New Roman" w:cs="Times New Roman"/>
                      <w:sz w:val="20"/>
                      <w:szCs w:val="20"/>
                      <w:lang w:val="ro-RO"/>
                    </w:rPr>
                    <w:t>Cahul</w:t>
                  </w:r>
                </w:p>
              </w:tc>
              <w:tc>
                <w:tcPr>
                  <w:tcW w:w="85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02373C">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w:t>
                  </w:r>
                  <w:r w:rsidR="0002373C" w:rsidRPr="00B360B8">
                    <w:rPr>
                      <w:rFonts w:ascii="Times New Roman" w:hAnsi="Times New Roman" w:cs="Times New Roman"/>
                      <w:sz w:val="20"/>
                      <w:szCs w:val="20"/>
                      <w:lang w:val="ro-RO"/>
                    </w:rPr>
                    <w:t xml:space="preserve"> </w:t>
                  </w:r>
                  <w:r w:rsidR="00FD3DA9" w:rsidRPr="00B360B8">
                    <w:rPr>
                      <w:rFonts w:ascii="Times New Roman" w:hAnsi="Times New Roman" w:cs="Times New Roman"/>
                      <w:sz w:val="20"/>
                      <w:szCs w:val="20"/>
                      <w:lang w:val="ro-RO"/>
                    </w:rPr>
                    <w:t>Bălți</w:t>
                  </w:r>
                </w:p>
              </w:tc>
              <w:tc>
                <w:tcPr>
                  <w:tcW w:w="105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USEFS</w:t>
                  </w:r>
                </w:p>
              </w:tc>
              <w:tc>
                <w:tcPr>
                  <w:tcW w:w="1188"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UPS</w:t>
                  </w: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w:t>
                  </w:r>
                  <w:r w:rsidR="00FD3DA9">
                    <w:rPr>
                      <w:rFonts w:ascii="Times New Roman" w:hAnsi="Times New Roman" w:cs="Times New Roman"/>
                      <w:sz w:val="20"/>
                      <w:szCs w:val="20"/>
                      <w:lang w:val="ro-RO"/>
                    </w:rPr>
                    <w:t>I.</w:t>
                  </w:r>
                  <w:r w:rsidR="00FD3DA9" w:rsidRPr="00B360B8">
                    <w:rPr>
                      <w:rFonts w:ascii="Times New Roman" w:hAnsi="Times New Roman" w:cs="Times New Roman"/>
                      <w:sz w:val="20"/>
                      <w:szCs w:val="20"/>
                      <w:lang w:val="ro-RO"/>
                    </w:rPr>
                    <w:t>Creangă</w:t>
                  </w:r>
                  <w:r w:rsidRPr="00B360B8">
                    <w:rPr>
                      <w:rFonts w:ascii="Times New Roman" w:hAnsi="Times New Roman" w:cs="Times New Roman"/>
                      <w:sz w:val="20"/>
                      <w:szCs w:val="20"/>
                      <w:lang w:val="ro-RO"/>
                    </w:rPr>
                    <w:t>”</w:t>
                  </w:r>
                </w:p>
              </w:tc>
            </w:tr>
            <w:tr w:rsidR="0002373C" w:rsidRPr="00B360B8" w:rsidTr="0002373C">
              <w:trPr>
                <w:trHeight w:val="899"/>
              </w:trPr>
              <w:tc>
                <w:tcPr>
                  <w:tcW w:w="1977"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Total programe evaluate</w:t>
                  </w:r>
                </w:p>
              </w:tc>
              <w:tc>
                <w:tcPr>
                  <w:tcW w:w="650"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7</w:t>
                  </w:r>
                </w:p>
              </w:tc>
              <w:tc>
                <w:tcPr>
                  <w:tcW w:w="113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20</w:t>
                  </w:r>
                </w:p>
              </w:tc>
              <w:tc>
                <w:tcPr>
                  <w:tcW w:w="117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5</w:t>
                  </w:r>
                </w:p>
              </w:tc>
              <w:tc>
                <w:tcPr>
                  <w:tcW w:w="113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6</w:t>
                  </w:r>
                </w:p>
              </w:tc>
              <w:tc>
                <w:tcPr>
                  <w:tcW w:w="100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8</w:t>
                  </w:r>
                </w:p>
              </w:tc>
              <w:tc>
                <w:tcPr>
                  <w:tcW w:w="85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18</w:t>
                  </w:r>
                </w:p>
              </w:tc>
              <w:tc>
                <w:tcPr>
                  <w:tcW w:w="105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1</w:t>
                  </w:r>
                </w:p>
              </w:tc>
              <w:tc>
                <w:tcPr>
                  <w:tcW w:w="1188"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b/>
                      <w:sz w:val="20"/>
                      <w:szCs w:val="20"/>
                      <w:lang w:val="ro-RO"/>
                    </w:rPr>
                  </w:pPr>
                  <w:r w:rsidRPr="00B360B8">
                    <w:rPr>
                      <w:rFonts w:ascii="Times New Roman" w:hAnsi="Times New Roman" w:cs="Times New Roman"/>
                      <w:b/>
                      <w:sz w:val="20"/>
                      <w:szCs w:val="20"/>
                      <w:lang w:val="ro-RO"/>
                    </w:rPr>
                    <w:t>38</w:t>
                  </w:r>
                </w:p>
              </w:tc>
            </w:tr>
            <w:tr w:rsidR="0002373C" w:rsidRPr="00B360B8" w:rsidTr="0002373C">
              <w:trPr>
                <w:trHeight w:val="613"/>
              </w:trPr>
              <w:tc>
                <w:tcPr>
                  <w:tcW w:w="1977" w:type="dxa"/>
                  <w:tcBorders>
                    <w:top w:val="single" w:sz="4" w:space="0" w:color="000000"/>
                    <w:left w:val="single" w:sz="4" w:space="0" w:color="000000"/>
                    <w:bottom w:val="single" w:sz="4" w:space="0" w:color="000000"/>
                    <w:right w:val="single" w:sz="4" w:space="0" w:color="000000"/>
                  </w:tcBorders>
                </w:tcPr>
                <w:p w:rsidR="00DE0E3A" w:rsidRPr="00B360B8" w:rsidRDefault="00DE0E3A" w:rsidP="00E03DB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lastRenderedPageBreak/>
                    <w:t>Programe</w:t>
                  </w:r>
                  <w:r w:rsidR="00E03DBA" w:rsidRPr="00B360B8">
                    <w:rPr>
                      <w:rFonts w:ascii="Times New Roman" w:hAnsi="Times New Roman" w:cs="Times New Roman"/>
                      <w:sz w:val="20"/>
                      <w:szCs w:val="20"/>
                      <w:lang w:val="ro-RO"/>
                    </w:rPr>
                    <w:t xml:space="preserve"> </w:t>
                  </w:r>
                  <w:r w:rsidRPr="00B360B8">
                    <w:rPr>
                      <w:rFonts w:ascii="Times New Roman" w:hAnsi="Times New Roman" w:cs="Times New Roman"/>
                      <w:sz w:val="20"/>
                      <w:szCs w:val="20"/>
                      <w:lang w:val="ro-RO"/>
                    </w:rPr>
                    <w:t>acreditate pentru 5 ani</w:t>
                  </w:r>
                </w:p>
              </w:tc>
              <w:tc>
                <w:tcPr>
                  <w:tcW w:w="650"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6</w:t>
                  </w:r>
                </w:p>
              </w:tc>
              <w:tc>
                <w:tcPr>
                  <w:tcW w:w="113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4</w:t>
                  </w:r>
                </w:p>
              </w:tc>
              <w:tc>
                <w:tcPr>
                  <w:tcW w:w="117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3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00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85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4</w:t>
                  </w:r>
                </w:p>
              </w:tc>
              <w:tc>
                <w:tcPr>
                  <w:tcW w:w="105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88"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10</w:t>
                  </w:r>
                </w:p>
              </w:tc>
            </w:tr>
            <w:tr w:rsidR="0002373C" w:rsidRPr="00B360B8" w:rsidTr="0002373C">
              <w:trPr>
                <w:trHeight w:val="797"/>
              </w:trPr>
              <w:tc>
                <w:tcPr>
                  <w:tcW w:w="1977"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Programe acreditate condiționat pentru 3 ani</w:t>
                  </w:r>
                </w:p>
              </w:tc>
              <w:tc>
                <w:tcPr>
                  <w:tcW w:w="650"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w:t>
                  </w:r>
                </w:p>
              </w:tc>
              <w:tc>
                <w:tcPr>
                  <w:tcW w:w="113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16</w:t>
                  </w:r>
                </w:p>
              </w:tc>
              <w:tc>
                <w:tcPr>
                  <w:tcW w:w="117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3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5</w:t>
                  </w:r>
                </w:p>
              </w:tc>
              <w:tc>
                <w:tcPr>
                  <w:tcW w:w="100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3</w:t>
                  </w:r>
                </w:p>
              </w:tc>
              <w:tc>
                <w:tcPr>
                  <w:tcW w:w="851"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10</w:t>
                  </w:r>
                </w:p>
              </w:tc>
              <w:tc>
                <w:tcPr>
                  <w:tcW w:w="1054"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w:t>
                  </w:r>
                </w:p>
              </w:tc>
              <w:tc>
                <w:tcPr>
                  <w:tcW w:w="1188"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24</w:t>
                  </w:r>
                </w:p>
              </w:tc>
            </w:tr>
            <w:tr w:rsidR="0002373C" w:rsidRPr="00B360B8" w:rsidTr="0002373C">
              <w:trPr>
                <w:trHeight w:val="357"/>
              </w:trPr>
              <w:tc>
                <w:tcPr>
                  <w:tcW w:w="1977"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Programe neacreditate</w:t>
                  </w:r>
                </w:p>
              </w:tc>
              <w:tc>
                <w:tcPr>
                  <w:tcW w:w="650"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3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79"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w:t>
                  </w:r>
                </w:p>
              </w:tc>
              <w:tc>
                <w:tcPr>
                  <w:tcW w:w="113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00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85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05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88" w:type="dxa"/>
                  <w:tcBorders>
                    <w:top w:val="single" w:sz="4" w:space="0" w:color="000000"/>
                    <w:left w:val="single" w:sz="4" w:space="0" w:color="000000"/>
                    <w:bottom w:val="single" w:sz="4" w:space="0" w:color="000000"/>
                    <w:right w:val="single" w:sz="4" w:space="0" w:color="000000"/>
                  </w:tcBorders>
                  <w:hideMark/>
                </w:tcPr>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w:t>
                  </w:r>
                </w:p>
              </w:tc>
            </w:tr>
            <w:tr w:rsidR="0002373C" w:rsidRPr="00B360B8" w:rsidTr="0002373C">
              <w:trPr>
                <w:trHeight w:val="804"/>
              </w:trPr>
              <w:tc>
                <w:tcPr>
                  <w:tcW w:w="1977" w:type="dxa"/>
                  <w:tcBorders>
                    <w:top w:val="single" w:sz="4" w:space="0" w:color="000000"/>
                    <w:left w:val="single" w:sz="4" w:space="0" w:color="000000"/>
                    <w:bottom w:val="single" w:sz="4" w:space="0" w:color="000000"/>
                    <w:right w:val="single" w:sz="4" w:space="0" w:color="000000"/>
                  </w:tcBorders>
                </w:tcPr>
                <w:p w:rsidR="00DE0E3A" w:rsidRPr="00B360B8" w:rsidRDefault="00DE0E3A" w:rsidP="00E03DB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Procedura de evaluare suspendată pentru un an</w:t>
                  </w:r>
                  <w:r w:rsidR="00E03DBA" w:rsidRPr="00B360B8">
                    <w:rPr>
                      <w:rFonts w:ascii="Times New Roman" w:hAnsi="Times New Roman" w:cs="Times New Roman"/>
                      <w:sz w:val="20"/>
                      <w:szCs w:val="20"/>
                      <w:lang w:val="ro-RO"/>
                    </w:rPr>
                    <w:t xml:space="preserve"> </w:t>
                  </w:r>
                  <w:r w:rsidRPr="00B360B8">
                    <w:rPr>
                      <w:rFonts w:ascii="Times New Roman" w:hAnsi="Times New Roman" w:cs="Times New Roman"/>
                      <w:sz w:val="20"/>
                      <w:szCs w:val="20"/>
                      <w:lang w:val="ro-RO"/>
                    </w:rPr>
                    <w:t>la programe</w:t>
                  </w:r>
                </w:p>
              </w:tc>
              <w:tc>
                <w:tcPr>
                  <w:tcW w:w="650"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3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79"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4</w:t>
                  </w:r>
                </w:p>
              </w:tc>
              <w:tc>
                <w:tcPr>
                  <w:tcW w:w="113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1</w:t>
                  </w:r>
                </w:p>
              </w:tc>
              <w:tc>
                <w:tcPr>
                  <w:tcW w:w="100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5</w:t>
                  </w:r>
                </w:p>
              </w:tc>
              <w:tc>
                <w:tcPr>
                  <w:tcW w:w="851"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4</w:t>
                  </w:r>
                </w:p>
              </w:tc>
              <w:tc>
                <w:tcPr>
                  <w:tcW w:w="1054"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tc>
              <w:tc>
                <w:tcPr>
                  <w:tcW w:w="1188" w:type="dxa"/>
                  <w:tcBorders>
                    <w:top w:val="single" w:sz="4" w:space="0" w:color="000000"/>
                    <w:left w:val="single" w:sz="4" w:space="0" w:color="000000"/>
                    <w:bottom w:val="single" w:sz="4" w:space="0" w:color="000000"/>
                    <w:right w:val="single" w:sz="4" w:space="0" w:color="000000"/>
                  </w:tcBorders>
                </w:tcPr>
                <w:p w:rsidR="00DE0E3A" w:rsidRPr="00B360B8" w:rsidRDefault="00DE0E3A" w:rsidP="00DE0E3A">
                  <w:pPr>
                    <w:jc w:val="both"/>
                    <w:rPr>
                      <w:rFonts w:ascii="Times New Roman" w:hAnsi="Times New Roman" w:cs="Times New Roman"/>
                      <w:sz w:val="20"/>
                      <w:szCs w:val="20"/>
                      <w:lang w:val="ro-RO"/>
                    </w:rPr>
                  </w:pPr>
                </w:p>
                <w:p w:rsidR="00DE0E3A" w:rsidRPr="00B360B8" w:rsidRDefault="00DE0E3A" w:rsidP="00DE0E3A">
                  <w:pPr>
                    <w:jc w:val="both"/>
                    <w:rPr>
                      <w:rFonts w:ascii="Times New Roman" w:hAnsi="Times New Roman" w:cs="Times New Roman"/>
                      <w:sz w:val="20"/>
                      <w:szCs w:val="20"/>
                      <w:lang w:val="ro-RO"/>
                    </w:rPr>
                  </w:pPr>
                  <w:r w:rsidRPr="00B360B8">
                    <w:rPr>
                      <w:rFonts w:ascii="Times New Roman" w:hAnsi="Times New Roman" w:cs="Times New Roman"/>
                      <w:sz w:val="20"/>
                      <w:szCs w:val="20"/>
                      <w:lang w:val="ro-RO"/>
                    </w:rPr>
                    <w:t>3</w:t>
                  </w:r>
                </w:p>
              </w:tc>
            </w:tr>
          </w:tbl>
          <w:p w:rsidR="00DE0E3A" w:rsidRPr="00B360B8" w:rsidRDefault="00DE0E3A" w:rsidP="00DE0E3A">
            <w:pPr>
              <w:spacing w:before="240" w:after="240" w:line="276" w:lineRule="auto"/>
              <w:jc w:val="both"/>
              <w:rPr>
                <w:rFonts w:ascii="Times New Roman" w:hAnsi="Times New Roman" w:cs="Times New Roman"/>
                <w:bCs/>
                <w:sz w:val="24"/>
                <w:szCs w:val="24"/>
                <w:lang w:val="ro-RO"/>
              </w:rPr>
            </w:pPr>
            <w:r w:rsidRPr="00B360B8">
              <w:rPr>
                <w:rFonts w:ascii="Times New Roman" w:eastAsia="Verdana" w:hAnsi="Times New Roman" w:cs="Times New Roman"/>
                <w:color w:val="000000"/>
                <w:sz w:val="24"/>
                <w:szCs w:val="24"/>
                <w:lang w:val="ro-RO"/>
              </w:rPr>
              <w:t xml:space="preserve">În urma evaluării externe a celor 9 programe de studii superioare de licență de la </w:t>
            </w:r>
            <w:r w:rsidR="00FD3DA9" w:rsidRPr="00B360B8">
              <w:rPr>
                <w:rFonts w:ascii="Times New Roman" w:eastAsia="Verdana" w:hAnsi="Times New Roman" w:cs="Times New Roman"/>
                <w:color w:val="000000"/>
                <w:sz w:val="24"/>
                <w:szCs w:val="24"/>
                <w:lang w:val="ro-RO"/>
              </w:rPr>
              <w:t>domeniile</w:t>
            </w:r>
            <w:r w:rsidRPr="00B360B8">
              <w:rPr>
                <w:rFonts w:ascii="Times New Roman" w:eastAsia="Verdana" w:hAnsi="Times New Roman" w:cs="Times New Roman"/>
                <w:color w:val="000000"/>
                <w:sz w:val="24"/>
                <w:szCs w:val="24"/>
                <w:lang w:val="ro-RO"/>
              </w:rPr>
              <w:t xml:space="preserve"> </w:t>
            </w:r>
            <w:r w:rsidR="00FD3DA9">
              <w:rPr>
                <w:rFonts w:ascii="Times New Roman" w:hAnsi="Times New Roman" w:cs="Times New Roman"/>
                <w:sz w:val="24"/>
                <w:szCs w:val="24"/>
                <w:lang w:val="ro-RO"/>
              </w:rPr>
              <w:t>52</w:t>
            </w:r>
            <w:r w:rsidRPr="00B360B8">
              <w:rPr>
                <w:rFonts w:ascii="Times New Roman" w:hAnsi="Times New Roman" w:cs="Times New Roman"/>
                <w:sz w:val="24"/>
                <w:szCs w:val="24"/>
                <w:lang w:val="ro-RO"/>
              </w:rPr>
              <w:t xml:space="preserve"> I</w:t>
            </w:r>
            <w:r w:rsidRPr="00B360B8">
              <w:rPr>
                <w:rFonts w:ascii="Times New Roman" w:hAnsi="Times New Roman" w:cs="Times New Roman"/>
                <w:bCs/>
                <w:i/>
                <w:sz w:val="24"/>
                <w:szCs w:val="24"/>
                <w:lang w:val="ro-RO"/>
              </w:rPr>
              <w:t>nginerie şi activităţi inginerești</w:t>
            </w:r>
            <w:r w:rsidRPr="00B360B8">
              <w:rPr>
                <w:rFonts w:ascii="Times New Roman" w:hAnsi="Times New Roman" w:cs="Times New Roman"/>
                <w:bCs/>
                <w:sz w:val="24"/>
                <w:szCs w:val="24"/>
                <w:lang w:val="ro-RO"/>
              </w:rPr>
              <w:t xml:space="preserve">, 54 </w:t>
            </w:r>
            <w:r w:rsidRPr="00B360B8">
              <w:rPr>
                <w:rFonts w:ascii="Times New Roman" w:hAnsi="Times New Roman" w:cs="Times New Roman"/>
                <w:bCs/>
                <w:i/>
                <w:sz w:val="24"/>
                <w:szCs w:val="24"/>
                <w:lang w:val="ro-RO"/>
              </w:rPr>
              <w:t>Tehnologii de fabricare şi prelucrare</w:t>
            </w:r>
            <w:r w:rsidRPr="00B360B8">
              <w:rPr>
                <w:rFonts w:ascii="Times New Roman" w:hAnsi="Times New Roman" w:cs="Times New Roman"/>
                <w:sz w:val="24"/>
                <w:szCs w:val="24"/>
                <w:lang w:val="ro-RO"/>
              </w:rPr>
              <w:t xml:space="preserve"> și 81 </w:t>
            </w:r>
            <w:r w:rsidRPr="00B360B8">
              <w:rPr>
                <w:rFonts w:ascii="Times New Roman" w:hAnsi="Times New Roman" w:cs="Times New Roman"/>
                <w:bCs/>
                <w:i/>
                <w:sz w:val="24"/>
                <w:szCs w:val="24"/>
                <w:lang w:val="ro-RO"/>
              </w:rPr>
              <w:t>Servicii publice</w:t>
            </w:r>
            <w:r w:rsidR="00FD3DA9">
              <w:rPr>
                <w:rFonts w:ascii="Times New Roman" w:hAnsi="Times New Roman" w:cs="Times New Roman"/>
                <w:bCs/>
                <w:i/>
                <w:sz w:val="24"/>
                <w:szCs w:val="24"/>
                <w:lang w:val="ro-RO"/>
              </w:rPr>
              <w:t>,</w:t>
            </w:r>
            <w:r w:rsidRPr="00B360B8">
              <w:rPr>
                <w:rFonts w:ascii="Times New Roman" w:hAnsi="Times New Roman" w:cs="Times New Roman"/>
                <w:bCs/>
                <w:i/>
                <w:sz w:val="24"/>
                <w:szCs w:val="24"/>
                <w:lang w:val="ro-RO"/>
              </w:rPr>
              <w:t xml:space="preserve"> </w:t>
            </w:r>
            <w:r w:rsidRPr="00B360B8">
              <w:rPr>
                <w:rFonts w:ascii="Times New Roman" w:hAnsi="Times New Roman" w:cs="Times New Roman"/>
                <w:bCs/>
                <w:sz w:val="24"/>
                <w:szCs w:val="24"/>
                <w:lang w:val="ro-RO"/>
              </w:rPr>
              <w:t xml:space="preserve">constatăm că doar două au obținut acreditare pentru 5 ani, șase din ele au obținut acreditare pentru 3 ani și la un program a fost suspendată evaluarea pentru o </w:t>
            </w:r>
            <w:r w:rsidR="00FD3DA9" w:rsidRPr="00B360B8">
              <w:rPr>
                <w:rFonts w:ascii="Times New Roman" w:hAnsi="Times New Roman" w:cs="Times New Roman"/>
                <w:bCs/>
                <w:sz w:val="24"/>
                <w:szCs w:val="24"/>
                <w:lang w:val="ro-RO"/>
              </w:rPr>
              <w:t>perioadă</w:t>
            </w:r>
            <w:r w:rsidRPr="00B360B8">
              <w:rPr>
                <w:rFonts w:ascii="Times New Roman" w:hAnsi="Times New Roman" w:cs="Times New Roman"/>
                <w:bCs/>
                <w:sz w:val="24"/>
                <w:szCs w:val="24"/>
                <w:lang w:val="ro-RO"/>
              </w:rPr>
              <w:t xml:space="preserve"> de un an.</w:t>
            </w:r>
          </w:p>
          <w:p w:rsidR="0002373C" w:rsidRPr="00B360B8" w:rsidRDefault="00DE0E3A" w:rsidP="0002373C">
            <w:pPr>
              <w:spacing w:before="240" w:after="240" w:line="276" w:lineRule="auto"/>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Referindu-ne la evaluarea</w:t>
            </w:r>
            <w:r w:rsidR="00FD3DA9">
              <w:rPr>
                <w:rFonts w:ascii="Times New Roman" w:eastAsia="Verdana" w:hAnsi="Times New Roman" w:cs="Times New Roman"/>
                <w:color w:val="000000"/>
                <w:sz w:val="24"/>
                <w:szCs w:val="24"/>
                <w:lang w:val="ro-RO"/>
              </w:rPr>
              <w:t xml:space="preserve"> fiecărui program în parte, constatăm</w:t>
            </w:r>
            <w:r w:rsidRPr="00B360B8">
              <w:rPr>
                <w:rFonts w:ascii="Times New Roman" w:eastAsia="Verdana" w:hAnsi="Times New Roman" w:cs="Times New Roman"/>
                <w:color w:val="000000"/>
                <w:sz w:val="24"/>
                <w:szCs w:val="24"/>
                <w:lang w:val="ro-RO"/>
              </w:rPr>
              <w:t xml:space="preserve"> că cele mai multe dificultăţi au fost identificate pe următoarele poziții:</w:t>
            </w:r>
          </w:p>
          <w:p w:rsidR="00DE0E3A" w:rsidRPr="00B360B8" w:rsidRDefault="00DE0E3A" w:rsidP="0002373C">
            <w:pPr>
              <w:spacing w:before="240" w:after="240" w:line="276" w:lineRule="auto"/>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Lipsă curricula la unele discipline din planurile </w:t>
            </w:r>
            <w:r w:rsidR="00FD3DA9">
              <w:rPr>
                <w:rFonts w:ascii="Times New Roman" w:eastAsia="Verdana" w:hAnsi="Times New Roman" w:cs="Times New Roman"/>
                <w:color w:val="000000"/>
                <w:sz w:val="24"/>
                <w:szCs w:val="24"/>
                <w:lang w:val="ro-RO"/>
              </w:rPr>
              <w:t xml:space="preserve">de învățământ, inclusiv pentru </w:t>
            </w:r>
            <w:r w:rsidRPr="00B360B8">
              <w:rPr>
                <w:rFonts w:ascii="Times New Roman" w:eastAsia="Verdana" w:hAnsi="Times New Roman" w:cs="Times New Roman"/>
                <w:color w:val="000000"/>
                <w:sz w:val="24"/>
                <w:szCs w:val="24"/>
                <w:lang w:val="ro-RO"/>
              </w:rPr>
              <w:t xml:space="preserve">stagiile de practică; </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Sistemul de evaluare academică a studenților necesită perfectare;</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Suportul didactic necesită actualizare </w:t>
            </w:r>
            <w:r w:rsidR="00A33E1B" w:rsidRPr="00B360B8">
              <w:rPr>
                <w:rFonts w:ascii="Times New Roman" w:eastAsia="Verdana" w:hAnsi="Times New Roman" w:cs="Times New Roman"/>
                <w:color w:val="000000"/>
                <w:sz w:val="24"/>
                <w:szCs w:val="24"/>
                <w:lang w:val="ro-RO"/>
              </w:rPr>
              <w:t xml:space="preserve">și noi elaborări </w:t>
            </w:r>
            <w:r w:rsidRPr="00B360B8">
              <w:rPr>
                <w:rFonts w:ascii="Times New Roman" w:eastAsia="Verdana" w:hAnsi="Times New Roman" w:cs="Times New Roman"/>
                <w:color w:val="000000"/>
                <w:sz w:val="24"/>
                <w:szCs w:val="24"/>
                <w:lang w:val="ro-RO"/>
              </w:rPr>
              <w:t>conform cerințelor moderne de elaborare și redactare;</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Urgent sunt necesare proceduri de îmbunătățire a stagiilor de practică;</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Insuficiența de baze-practice în unele domenii, cum ar fi alimentația publică și alte programe;</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Mecanism slab de evidență a </w:t>
            </w:r>
            <w:r w:rsidR="00FD3DA9">
              <w:rPr>
                <w:rFonts w:ascii="Times New Roman" w:eastAsia="Verdana" w:hAnsi="Times New Roman" w:cs="Times New Roman"/>
                <w:color w:val="000000"/>
                <w:sz w:val="24"/>
                <w:szCs w:val="24"/>
                <w:lang w:val="ro-RO"/>
              </w:rPr>
              <w:t xml:space="preserve">plasării </w:t>
            </w:r>
            <w:r w:rsidRPr="00B360B8">
              <w:rPr>
                <w:rFonts w:ascii="Times New Roman" w:eastAsia="Verdana" w:hAnsi="Times New Roman" w:cs="Times New Roman"/>
                <w:color w:val="000000"/>
                <w:sz w:val="24"/>
                <w:szCs w:val="24"/>
                <w:lang w:val="ro-RO"/>
              </w:rPr>
              <w:t xml:space="preserve">absolvenților în </w:t>
            </w:r>
            <w:r w:rsidR="00FD3DA9" w:rsidRPr="00B360B8">
              <w:rPr>
                <w:rFonts w:ascii="Times New Roman" w:eastAsia="Verdana" w:hAnsi="Times New Roman" w:cs="Times New Roman"/>
                <w:color w:val="000000"/>
                <w:sz w:val="24"/>
                <w:szCs w:val="24"/>
                <w:lang w:val="ro-RO"/>
              </w:rPr>
              <w:t>câmpul</w:t>
            </w:r>
            <w:r w:rsidRPr="00B360B8">
              <w:rPr>
                <w:rFonts w:ascii="Times New Roman" w:eastAsia="Verdana" w:hAnsi="Times New Roman" w:cs="Times New Roman"/>
                <w:color w:val="000000"/>
                <w:sz w:val="24"/>
                <w:szCs w:val="24"/>
                <w:lang w:val="ro-RO"/>
              </w:rPr>
              <w:t xml:space="preserve"> muncii pentru fiecare program;</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Puține discipline și </w:t>
            </w:r>
            <w:r w:rsidR="00FD3DA9" w:rsidRPr="00B360B8">
              <w:rPr>
                <w:rFonts w:ascii="Times New Roman" w:eastAsia="Verdana" w:hAnsi="Times New Roman" w:cs="Times New Roman"/>
                <w:color w:val="000000"/>
                <w:sz w:val="24"/>
                <w:szCs w:val="24"/>
                <w:lang w:val="ro-RO"/>
              </w:rPr>
              <w:t>conținuturi</w:t>
            </w:r>
            <w:r w:rsidRPr="00B360B8">
              <w:rPr>
                <w:rFonts w:ascii="Times New Roman" w:eastAsia="Verdana" w:hAnsi="Times New Roman" w:cs="Times New Roman"/>
                <w:color w:val="000000"/>
                <w:sz w:val="24"/>
                <w:szCs w:val="24"/>
                <w:lang w:val="ro-RO"/>
              </w:rPr>
              <w:t xml:space="preserve"> digitale </w:t>
            </w:r>
            <w:r w:rsidR="00FD3DA9" w:rsidRPr="00B360B8">
              <w:rPr>
                <w:rFonts w:ascii="Times New Roman" w:eastAsia="Verdana" w:hAnsi="Times New Roman" w:cs="Times New Roman"/>
                <w:color w:val="000000"/>
                <w:sz w:val="24"/>
                <w:szCs w:val="24"/>
                <w:lang w:val="ro-RO"/>
              </w:rPr>
              <w:t>incluse</w:t>
            </w:r>
            <w:r w:rsidRPr="00B360B8">
              <w:rPr>
                <w:rFonts w:ascii="Times New Roman" w:eastAsia="Verdana" w:hAnsi="Times New Roman" w:cs="Times New Roman"/>
                <w:color w:val="000000"/>
                <w:sz w:val="24"/>
                <w:szCs w:val="24"/>
                <w:lang w:val="ro-RO"/>
              </w:rPr>
              <w:t xml:space="preserve"> pe platforma MOODLE;</w:t>
            </w:r>
          </w:p>
          <w:p w:rsidR="00DE0E3A" w:rsidRPr="00B360B8" w:rsidRDefault="00DE0E3A" w:rsidP="00A33E1B">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 xml:space="preserve"> Ponderea insuficientă a persoanelor cu titluri științifice și științifico-didactice la majoritatea </w:t>
            </w:r>
            <w:r w:rsidR="00FD3DA9" w:rsidRPr="00B360B8">
              <w:rPr>
                <w:rFonts w:ascii="Times New Roman" w:eastAsia="Verdana" w:hAnsi="Times New Roman" w:cs="Times New Roman"/>
                <w:color w:val="000000"/>
                <w:sz w:val="24"/>
                <w:szCs w:val="24"/>
                <w:lang w:val="ro-RO"/>
              </w:rPr>
              <w:t>programelor</w:t>
            </w:r>
            <w:r w:rsidRPr="00B360B8">
              <w:rPr>
                <w:rFonts w:ascii="Times New Roman" w:eastAsia="Verdana" w:hAnsi="Times New Roman" w:cs="Times New Roman"/>
                <w:color w:val="000000"/>
                <w:sz w:val="24"/>
                <w:szCs w:val="24"/>
                <w:lang w:val="ro-RO"/>
              </w:rPr>
              <w:t>;</w:t>
            </w:r>
          </w:p>
          <w:p w:rsidR="00DE0E3A" w:rsidRPr="00B360B8" w:rsidRDefault="00DE0E3A" w:rsidP="00DE0E3A">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Număr foarte mic de cadre didactice tinere cu titluri științifico-didactice implicate în programele de studii ;</w:t>
            </w:r>
          </w:p>
          <w:p w:rsidR="00DE0E3A" w:rsidRPr="00B360B8" w:rsidRDefault="00DE0E3A" w:rsidP="00DE0E3A">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t>Număr mic de studenți în cadrul anumitor specialități pe parcursul studiilor sau lipsa lor la finalul studiilor;</w:t>
            </w:r>
          </w:p>
          <w:p w:rsidR="00DE0E3A" w:rsidRPr="00B360B8" w:rsidRDefault="00DE0E3A" w:rsidP="00DE0E3A">
            <w:pPr>
              <w:numPr>
                <w:ilvl w:val="0"/>
                <w:numId w:val="7"/>
              </w:numPr>
              <w:spacing w:before="240" w:after="240"/>
              <w:jc w:val="both"/>
              <w:rPr>
                <w:rFonts w:ascii="Times New Roman" w:eastAsia="Verdana" w:hAnsi="Times New Roman" w:cs="Times New Roman"/>
                <w:color w:val="000000"/>
                <w:sz w:val="24"/>
                <w:szCs w:val="24"/>
                <w:lang w:val="ro-RO"/>
              </w:rPr>
            </w:pPr>
            <w:r w:rsidRPr="00B360B8">
              <w:rPr>
                <w:rFonts w:ascii="Times New Roman" w:eastAsia="Verdana" w:hAnsi="Times New Roman" w:cs="Times New Roman"/>
                <w:color w:val="000000"/>
                <w:sz w:val="24"/>
                <w:szCs w:val="24"/>
                <w:lang w:val="ro-RO"/>
              </w:rPr>
              <w:lastRenderedPageBreak/>
              <w:t>Ghidarea, motivarea și implicarea slabă a studenților în mobilități, dar și  a cadrelor didactice;</w:t>
            </w:r>
          </w:p>
          <w:p w:rsidR="00D43EB2" w:rsidRPr="00B360B8" w:rsidRDefault="00DE0E3A" w:rsidP="00E03DBA">
            <w:pPr>
              <w:numPr>
                <w:ilvl w:val="0"/>
                <w:numId w:val="7"/>
              </w:numPr>
              <w:spacing w:before="240" w:after="240"/>
              <w:jc w:val="both"/>
              <w:rPr>
                <w:rFonts w:ascii="Times New Roman" w:hAnsi="Times New Roman" w:cs="Times New Roman"/>
                <w:sz w:val="28"/>
                <w:szCs w:val="28"/>
                <w:lang w:val="ro-RO"/>
              </w:rPr>
            </w:pPr>
            <w:r w:rsidRPr="00B360B8">
              <w:rPr>
                <w:rFonts w:ascii="Times New Roman" w:eastAsia="Verdana" w:hAnsi="Times New Roman" w:cs="Times New Roman"/>
                <w:color w:val="000000"/>
                <w:sz w:val="24"/>
                <w:szCs w:val="24"/>
                <w:lang w:val="ro-RO"/>
              </w:rPr>
              <w:t>Activități insuficiente pentru cercetarea științifică la majoritatea programelor de studii.</w:t>
            </w:r>
          </w:p>
        </w:tc>
      </w:tr>
      <w:tr w:rsidR="00DA3782" w:rsidRPr="00B360B8" w:rsidTr="006C4246">
        <w:tc>
          <w:tcPr>
            <w:tcW w:w="10008" w:type="dxa"/>
          </w:tcPr>
          <w:p w:rsidR="00DA3782" w:rsidRPr="00B360B8" w:rsidRDefault="00DA3782" w:rsidP="00DA3782">
            <w:pPr>
              <w:pStyle w:val="ListParagraph"/>
              <w:numPr>
                <w:ilvl w:val="0"/>
                <w:numId w:val="4"/>
              </w:numPr>
              <w:rPr>
                <w:rFonts w:ascii="Times New Roman" w:hAnsi="Times New Roman" w:cs="Times New Roman"/>
                <w:b/>
                <w:sz w:val="24"/>
                <w:szCs w:val="24"/>
                <w:lang w:val="ro-RO"/>
              </w:rPr>
            </w:pPr>
            <w:r w:rsidRPr="00B360B8">
              <w:rPr>
                <w:rFonts w:ascii="Times New Roman" w:hAnsi="Times New Roman" w:cs="Times New Roman"/>
                <w:b/>
                <w:sz w:val="24"/>
                <w:szCs w:val="24"/>
                <w:lang w:val="ro-RO"/>
              </w:rPr>
              <w:lastRenderedPageBreak/>
              <w:t>Costul implementării</w:t>
            </w:r>
          </w:p>
        </w:tc>
      </w:tr>
      <w:tr w:rsidR="00DA3782" w:rsidRPr="00B360B8" w:rsidTr="006C4246">
        <w:tc>
          <w:tcPr>
            <w:tcW w:w="10008" w:type="dxa"/>
          </w:tcPr>
          <w:p w:rsidR="0002373C" w:rsidRPr="00B360B8" w:rsidRDefault="001E55BD" w:rsidP="0002373C">
            <w:pPr>
              <w:spacing w:line="276" w:lineRule="auto"/>
              <w:jc w:val="both"/>
              <w:rPr>
                <w:bCs/>
                <w:snapToGrid w:val="0"/>
                <w:sz w:val="24"/>
                <w:szCs w:val="24"/>
                <w:lang w:val="ro-RO"/>
              </w:rPr>
            </w:pPr>
            <w:r w:rsidRPr="00B360B8">
              <w:rPr>
                <w:rFonts w:ascii="Times New Roman" w:hAnsi="Times New Roman" w:cs="Times New Roman"/>
                <w:sz w:val="28"/>
                <w:szCs w:val="28"/>
                <w:lang w:val="ro-RO"/>
              </w:rPr>
              <w:t xml:space="preserve">         </w:t>
            </w:r>
            <w:r w:rsidR="00DA3782" w:rsidRPr="00B360B8">
              <w:rPr>
                <w:rFonts w:ascii="Times New Roman" w:hAnsi="Times New Roman" w:cs="Times New Roman"/>
                <w:sz w:val="24"/>
                <w:szCs w:val="24"/>
                <w:lang w:val="ro-RO"/>
              </w:rPr>
              <w:t>Implementarea prezentei hotărâri nu necesită cheltuiel</w:t>
            </w:r>
            <w:r w:rsidR="00A934F4" w:rsidRPr="00B360B8">
              <w:rPr>
                <w:rFonts w:ascii="Times New Roman" w:hAnsi="Times New Roman" w:cs="Times New Roman"/>
                <w:sz w:val="24"/>
                <w:szCs w:val="24"/>
                <w:lang w:val="ro-RO"/>
              </w:rPr>
              <w:t xml:space="preserve">i financiare suplimentare și se </w:t>
            </w:r>
            <w:r w:rsidR="00DA3782" w:rsidRPr="00B360B8">
              <w:rPr>
                <w:rFonts w:ascii="Times New Roman" w:hAnsi="Times New Roman" w:cs="Times New Roman"/>
                <w:sz w:val="24"/>
                <w:szCs w:val="24"/>
                <w:lang w:val="ro-RO"/>
              </w:rPr>
              <w:t>încadreaz</w:t>
            </w:r>
            <w:r w:rsidR="0002373C" w:rsidRPr="00B360B8">
              <w:rPr>
                <w:rFonts w:ascii="Times New Roman" w:hAnsi="Times New Roman" w:cs="Times New Roman"/>
                <w:sz w:val="24"/>
                <w:szCs w:val="24"/>
                <w:lang w:val="ro-RO"/>
              </w:rPr>
              <w:t>ă în limita</w:t>
            </w:r>
            <w:r w:rsidR="0002373C" w:rsidRPr="00B360B8">
              <w:rPr>
                <w:bCs/>
                <w:snapToGrid w:val="0"/>
                <w:sz w:val="24"/>
                <w:szCs w:val="24"/>
                <w:lang w:val="ro-RO"/>
              </w:rPr>
              <w:t xml:space="preserve"> bugetului de stat aprobat</w:t>
            </w:r>
          </w:p>
          <w:p w:rsidR="00DA3782" w:rsidRPr="00B360B8" w:rsidRDefault="00DA3782" w:rsidP="00DA3782">
            <w:pPr>
              <w:pStyle w:val="ListParagraph"/>
              <w:tabs>
                <w:tab w:val="left" w:pos="851"/>
              </w:tabs>
              <w:ind w:left="426"/>
              <w:jc w:val="both"/>
              <w:rPr>
                <w:rFonts w:ascii="Times New Roman" w:hAnsi="Times New Roman" w:cs="Times New Roman"/>
                <w:sz w:val="28"/>
                <w:szCs w:val="28"/>
                <w:lang w:val="ro-RO"/>
              </w:rPr>
            </w:pPr>
          </w:p>
        </w:tc>
      </w:tr>
      <w:tr w:rsidR="00DA3782" w:rsidRPr="00B360B8" w:rsidTr="006C4246">
        <w:tc>
          <w:tcPr>
            <w:tcW w:w="10008" w:type="dxa"/>
          </w:tcPr>
          <w:p w:rsidR="00DA3782" w:rsidRPr="00B360B8" w:rsidRDefault="00DA3782" w:rsidP="008034E4">
            <w:pPr>
              <w:pStyle w:val="ListParagraph"/>
              <w:numPr>
                <w:ilvl w:val="0"/>
                <w:numId w:val="4"/>
              </w:numPr>
              <w:rPr>
                <w:rFonts w:ascii="Times New Roman" w:hAnsi="Times New Roman" w:cs="Times New Roman"/>
                <w:b/>
                <w:sz w:val="24"/>
                <w:szCs w:val="24"/>
                <w:lang w:val="ro-RO"/>
              </w:rPr>
            </w:pPr>
            <w:r w:rsidRPr="00B360B8">
              <w:rPr>
                <w:rFonts w:ascii="Times New Roman" w:hAnsi="Times New Roman" w:cs="Times New Roman"/>
                <w:b/>
                <w:sz w:val="24"/>
                <w:szCs w:val="24"/>
                <w:lang w:val="ro-RO"/>
              </w:rPr>
              <w:t>Impactul implementării</w:t>
            </w:r>
          </w:p>
        </w:tc>
      </w:tr>
      <w:tr w:rsidR="00DA3782" w:rsidRPr="00B360B8" w:rsidTr="006C4246">
        <w:tc>
          <w:tcPr>
            <w:tcW w:w="10008" w:type="dxa"/>
          </w:tcPr>
          <w:p w:rsidR="0002373C" w:rsidRPr="00B360B8" w:rsidRDefault="0002373C" w:rsidP="0002373C">
            <w:pPr>
              <w:spacing w:line="276" w:lineRule="auto"/>
              <w:jc w:val="both"/>
              <w:rPr>
                <w:rFonts w:ascii="Times New Roman" w:hAnsi="Times New Roman" w:cs="Times New Roman"/>
                <w:bCs/>
                <w:snapToGrid w:val="0"/>
                <w:sz w:val="24"/>
                <w:szCs w:val="24"/>
                <w:lang w:val="ro-RO"/>
              </w:rPr>
            </w:pPr>
            <w:r w:rsidRPr="00B360B8">
              <w:rPr>
                <w:rFonts w:ascii="Times New Roman" w:hAnsi="Times New Roman" w:cs="Times New Roman"/>
                <w:bCs/>
                <w:snapToGrid w:val="0"/>
                <w:sz w:val="24"/>
                <w:szCs w:val="24"/>
                <w:lang w:val="ro-RO"/>
              </w:rPr>
              <w:t xml:space="preserve">Având în vedere faptul că în perioada 2008-2014, din varii motive, procesul de acreditare a fost stopat, demararea procesului de </w:t>
            </w:r>
            <w:r w:rsidRPr="00B360B8">
              <w:rPr>
                <w:rFonts w:ascii="Times New Roman" w:hAnsi="Times New Roman" w:cs="Times New Roman"/>
                <w:sz w:val="24"/>
                <w:szCs w:val="24"/>
                <w:lang w:val="ro-RO"/>
              </w:rPr>
              <w:t>evaluare externă în vederea acreditării</w:t>
            </w:r>
            <w:r w:rsidRPr="00B360B8">
              <w:rPr>
                <w:rFonts w:ascii="Times New Roman" w:hAnsi="Times New Roman" w:cs="Times New Roman"/>
                <w:i/>
                <w:sz w:val="24"/>
                <w:szCs w:val="24"/>
                <w:lang w:val="ro-RO"/>
              </w:rPr>
              <w:t xml:space="preserve"> programelor de studii superioare de licență în domeniul 14 Științe ale Educației</w:t>
            </w:r>
            <w:r w:rsidRPr="00B360B8">
              <w:rPr>
                <w:rFonts w:ascii="Times New Roman" w:hAnsi="Times New Roman" w:cs="Times New Roman"/>
                <w:sz w:val="24"/>
                <w:szCs w:val="24"/>
                <w:lang w:val="ro-RO"/>
              </w:rPr>
              <w:t xml:space="preserve"> dar și la celelate domenii </w:t>
            </w:r>
            <w:r w:rsidRPr="00B360B8">
              <w:rPr>
                <w:rFonts w:ascii="Times New Roman" w:hAnsi="Times New Roman" w:cs="Times New Roman"/>
                <w:bCs/>
                <w:snapToGrid w:val="0"/>
                <w:sz w:val="24"/>
                <w:szCs w:val="24"/>
                <w:lang w:val="ro-RO"/>
              </w:rPr>
              <w:t>a contribuit la conştientizarea de către instituţiile de învăţământ superior, în special cele cu profil pedagogic a importanţei conceptului  de  asigurare  a  calităţii  în  domeniile menționate.</w:t>
            </w:r>
          </w:p>
          <w:p w:rsidR="0002373C" w:rsidRPr="00B360B8" w:rsidRDefault="0002373C" w:rsidP="0002373C">
            <w:pPr>
              <w:spacing w:line="276" w:lineRule="auto"/>
              <w:jc w:val="both"/>
              <w:rPr>
                <w:rFonts w:ascii="Times New Roman" w:hAnsi="Times New Roman" w:cs="Times New Roman"/>
                <w:b/>
                <w:sz w:val="24"/>
                <w:szCs w:val="24"/>
                <w:lang w:val="ro-RO"/>
              </w:rPr>
            </w:pPr>
            <w:r w:rsidRPr="00B360B8">
              <w:rPr>
                <w:rFonts w:ascii="Times New Roman" w:eastAsia="Times New Roman" w:hAnsi="Times New Roman" w:cs="Times New Roman"/>
                <w:sz w:val="24"/>
                <w:szCs w:val="24"/>
                <w:bdr w:val="none" w:sz="0" w:space="0" w:color="auto" w:frame="1"/>
                <w:lang w:val="ro-RO" w:eastAsia="ru-RU"/>
              </w:rPr>
              <w:t>De calitatea acestor programe depinde pregătirea cadrelor tinere care vor activa în învățământul secundar general, adică pregătirea viitorilor profesori și educatori.</w:t>
            </w:r>
          </w:p>
          <w:p w:rsidR="0002373C" w:rsidRPr="00B360B8" w:rsidRDefault="0002373C" w:rsidP="0002373C">
            <w:pPr>
              <w:spacing w:line="276" w:lineRule="auto"/>
              <w:jc w:val="both"/>
              <w:rPr>
                <w:rFonts w:ascii="Times New Roman" w:eastAsia="Times New Roman" w:hAnsi="Times New Roman" w:cs="Times New Roman"/>
                <w:color w:val="000000"/>
                <w:sz w:val="24"/>
                <w:szCs w:val="24"/>
                <w:lang w:val="ro-RO"/>
              </w:rPr>
            </w:pPr>
            <w:r w:rsidRPr="00B360B8">
              <w:rPr>
                <w:rFonts w:ascii="Times New Roman" w:eastAsia="Times New Roman" w:hAnsi="Times New Roman" w:cs="Times New Roman"/>
                <w:color w:val="000000"/>
                <w:sz w:val="24"/>
                <w:szCs w:val="24"/>
                <w:lang w:val="ro-RO"/>
              </w:rPr>
              <w:t xml:space="preserve">În pofida existenţei punctelor critice descrise mai sus, totuşi există </w:t>
            </w:r>
            <w:r w:rsidR="00FD3DA9" w:rsidRPr="00B360B8">
              <w:rPr>
                <w:rFonts w:ascii="Times New Roman" w:eastAsia="Times New Roman" w:hAnsi="Times New Roman" w:cs="Times New Roman"/>
                <w:color w:val="000000"/>
                <w:sz w:val="24"/>
                <w:szCs w:val="24"/>
                <w:lang w:val="ro-RO"/>
              </w:rPr>
              <w:t>câteva</w:t>
            </w:r>
            <w:r w:rsidRPr="00B360B8">
              <w:rPr>
                <w:rFonts w:ascii="Times New Roman" w:eastAsia="Times New Roman" w:hAnsi="Times New Roman" w:cs="Times New Roman"/>
                <w:color w:val="000000"/>
                <w:sz w:val="24"/>
                <w:szCs w:val="24"/>
                <w:lang w:val="ro-RO"/>
              </w:rPr>
              <w:t xml:space="preserve"> universităţi din Republica Moldova care oferă un şir de programe</w:t>
            </w:r>
            <w:r w:rsidRPr="00B360B8">
              <w:rPr>
                <w:rFonts w:ascii="Times New Roman" w:hAnsi="Times New Roman" w:cs="Times New Roman"/>
                <w:i/>
                <w:sz w:val="24"/>
                <w:szCs w:val="24"/>
                <w:lang w:val="ro-RO"/>
              </w:rPr>
              <w:t xml:space="preserve"> </w:t>
            </w:r>
            <w:r w:rsidRPr="00B360B8">
              <w:rPr>
                <w:rFonts w:ascii="Times New Roman" w:hAnsi="Times New Roman" w:cs="Times New Roman"/>
                <w:sz w:val="24"/>
                <w:szCs w:val="24"/>
                <w:lang w:val="ro-RO"/>
              </w:rPr>
              <w:t>de studii superioare de licență de calitate în domeniile menționate</w:t>
            </w:r>
            <w:r w:rsidRPr="00B360B8">
              <w:rPr>
                <w:rFonts w:ascii="Times New Roman" w:eastAsia="Times New Roman" w:hAnsi="Times New Roman" w:cs="Times New Roman"/>
                <w:color w:val="000000"/>
                <w:sz w:val="24"/>
                <w:szCs w:val="24"/>
                <w:lang w:val="ro-RO"/>
              </w:rPr>
              <w:t>.   Imaginea pozitivă a acestor programe de studii pe piaţa muncii, relaţiile bune de cooperare ale acestora cu angajatorii precum şi participarea personalului didactic în reţele şi activităţi de cercetare internaţionale ar putea servi drept exemple de urmat şi chiar puncte de referinţă  pentru dezvoltarea altor programe de studii similare.</w:t>
            </w:r>
          </w:p>
          <w:p w:rsidR="00DA3782" w:rsidRPr="00B360B8" w:rsidRDefault="00DA3782" w:rsidP="0002373C">
            <w:pPr>
              <w:ind w:firstLine="426"/>
              <w:jc w:val="both"/>
              <w:rPr>
                <w:rFonts w:ascii="Times New Roman" w:hAnsi="Times New Roman" w:cs="Times New Roman"/>
                <w:sz w:val="24"/>
                <w:szCs w:val="24"/>
                <w:lang w:val="ro-RO"/>
              </w:rPr>
            </w:pPr>
          </w:p>
        </w:tc>
      </w:tr>
    </w:tbl>
    <w:p w:rsidR="00DA3782" w:rsidRPr="00B360B8" w:rsidRDefault="00DA3782" w:rsidP="00DA3782">
      <w:pPr>
        <w:ind w:firstLine="708"/>
        <w:jc w:val="both"/>
        <w:rPr>
          <w:rStyle w:val="docbody1"/>
          <w:lang w:val="ro-RO"/>
        </w:rPr>
      </w:pPr>
    </w:p>
    <w:p w:rsidR="00DA3782" w:rsidRPr="00B360B8" w:rsidRDefault="00DA3782" w:rsidP="006C4246">
      <w:pPr>
        <w:ind w:left="720" w:firstLine="720"/>
        <w:jc w:val="both"/>
        <w:rPr>
          <w:rFonts w:ascii="Times New Roman" w:hAnsi="Times New Roman" w:cs="Times New Roman"/>
          <w:sz w:val="28"/>
          <w:szCs w:val="28"/>
          <w:lang w:val="ro-RO"/>
        </w:rPr>
      </w:pPr>
      <w:r w:rsidRPr="00B360B8">
        <w:rPr>
          <w:rStyle w:val="docbody1"/>
          <w:b/>
          <w:sz w:val="28"/>
          <w:szCs w:val="28"/>
          <w:lang w:val="ro-RO"/>
        </w:rPr>
        <w:t xml:space="preserve">      Ministru          </w:t>
      </w:r>
      <w:r w:rsidRPr="00B360B8">
        <w:rPr>
          <w:rStyle w:val="docbody1"/>
          <w:b/>
          <w:sz w:val="28"/>
          <w:szCs w:val="28"/>
          <w:lang w:val="ro-RO"/>
        </w:rPr>
        <w:tab/>
      </w:r>
      <w:r w:rsidRPr="00B360B8">
        <w:rPr>
          <w:rStyle w:val="docbody1"/>
          <w:b/>
          <w:sz w:val="28"/>
          <w:szCs w:val="28"/>
          <w:lang w:val="ro-RO"/>
        </w:rPr>
        <w:tab/>
      </w:r>
      <w:r w:rsidRPr="00B360B8">
        <w:rPr>
          <w:rStyle w:val="docbody1"/>
          <w:b/>
          <w:sz w:val="28"/>
          <w:szCs w:val="28"/>
          <w:lang w:val="ro-RO"/>
        </w:rPr>
        <w:tab/>
      </w:r>
      <w:r w:rsidRPr="00B360B8">
        <w:rPr>
          <w:rStyle w:val="docbody1"/>
          <w:b/>
          <w:sz w:val="28"/>
          <w:szCs w:val="28"/>
          <w:lang w:val="ro-RO"/>
        </w:rPr>
        <w:tab/>
        <w:t>Monica BABUC</w:t>
      </w:r>
    </w:p>
    <w:sectPr w:rsidR="00DA3782" w:rsidRPr="00B360B8" w:rsidSect="00C714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0BD5"/>
    <w:multiLevelType w:val="hybridMultilevel"/>
    <w:tmpl w:val="94D090AA"/>
    <w:lvl w:ilvl="0" w:tplc="60980420">
      <w:start w:val="1"/>
      <w:numFmt w:val="bullet"/>
      <w:lvlText w:val="-"/>
      <w:lvlJc w:val="left"/>
      <w:pPr>
        <w:ind w:left="360" w:hanging="360"/>
      </w:pPr>
      <w:rPr>
        <w:rFonts w:ascii="Times New Roman" w:eastAsia="Verdan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D335682"/>
    <w:multiLevelType w:val="hybridMultilevel"/>
    <w:tmpl w:val="EDE659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BE3465"/>
    <w:multiLevelType w:val="hybridMultilevel"/>
    <w:tmpl w:val="B6AA33B8"/>
    <w:lvl w:ilvl="0" w:tplc="1F462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CE51673"/>
    <w:multiLevelType w:val="hybridMultilevel"/>
    <w:tmpl w:val="552E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4048A"/>
    <w:multiLevelType w:val="hybridMultilevel"/>
    <w:tmpl w:val="9F728950"/>
    <w:lvl w:ilvl="0" w:tplc="1D3E195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3C662F"/>
    <w:multiLevelType w:val="hybridMultilevel"/>
    <w:tmpl w:val="9F728950"/>
    <w:lvl w:ilvl="0" w:tplc="1D3E195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7B2F8E"/>
    <w:multiLevelType w:val="hybridMultilevel"/>
    <w:tmpl w:val="9F728950"/>
    <w:lvl w:ilvl="0" w:tplc="1D3E195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7A387C"/>
    <w:multiLevelType w:val="hybridMultilevel"/>
    <w:tmpl w:val="F60248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B2"/>
    <w:rsid w:val="0002373C"/>
    <w:rsid w:val="001364D4"/>
    <w:rsid w:val="00157827"/>
    <w:rsid w:val="00192292"/>
    <w:rsid w:val="001E55BD"/>
    <w:rsid w:val="0037718F"/>
    <w:rsid w:val="00445C29"/>
    <w:rsid w:val="006C4246"/>
    <w:rsid w:val="006D0500"/>
    <w:rsid w:val="00885D60"/>
    <w:rsid w:val="008A7D1B"/>
    <w:rsid w:val="00A33E1B"/>
    <w:rsid w:val="00A8616F"/>
    <w:rsid w:val="00A934F4"/>
    <w:rsid w:val="00AE6E1F"/>
    <w:rsid w:val="00B03C12"/>
    <w:rsid w:val="00B360B8"/>
    <w:rsid w:val="00C61D85"/>
    <w:rsid w:val="00C7144F"/>
    <w:rsid w:val="00D40587"/>
    <w:rsid w:val="00D43EB2"/>
    <w:rsid w:val="00DA3782"/>
    <w:rsid w:val="00DE0E3A"/>
    <w:rsid w:val="00E03DBA"/>
    <w:rsid w:val="00FD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391A4-DC00-4ABB-868E-A556F77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4F"/>
  </w:style>
  <w:style w:type="paragraph" w:styleId="Heading2">
    <w:name w:val="heading 2"/>
    <w:basedOn w:val="Normal"/>
    <w:next w:val="Normal"/>
    <w:link w:val="Heading2Char"/>
    <w:qFormat/>
    <w:rsid w:val="00DE0E3A"/>
    <w:pPr>
      <w:keepNext/>
      <w:tabs>
        <w:tab w:val="left" w:pos="8580"/>
      </w:tabs>
      <w:spacing w:after="0" w:line="360" w:lineRule="auto"/>
      <w:ind w:firstLine="720"/>
      <w:jc w:val="center"/>
      <w:outlineLvl w:val="1"/>
    </w:pPr>
    <w:rPr>
      <w:rFonts w:ascii="Times New Roman" w:eastAsia="Calibri" w:hAnsi="Times New Roman" w:cs="Times New Roman"/>
      <w:sz w:val="24"/>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1">
    <w:name w:val="doc_header1"/>
    <w:rsid w:val="00D43EB2"/>
    <w:rPr>
      <w:rFonts w:ascii="Times New Roman" w:hAnsi="Times New Roman" w:cs="Times New Roman" w:hint="default"/>
      <w:b/>
      <w:bCs/>
      <w:color w:val="000000"/>
      <w:sz w:val="24"/>
      <w:szCs w:val="24"/>
    </w:rPr>
  </w:style>
  <w:style w:type="character" w:customStyle="1" w:styleId="docbody1">
    <w:name w:val="doc_body1"/>
    <w:rsid w:val="00D43EB2"/>
    <w:rPr>
      <w:rFonts w:ascii="Times New Roman" w:hAnsi="Times New Roman" w:cs="Times New Roman" w:hint="default"/>
      <w:color w:val="000000"/>
      <w:sz w:val="24"/>
      <w:szCs w:val="24"/>
    </w:rPr>
  </w:style>
  <w:style w:type="paragraph" w:styleId="ListParagraph">
    <w:name w:val="List Paragraph"/>
    <w:basedOn w:val="Normal"/>
    <w:uiPriority w:val="34"/>
    <w:qFormat/>
    <w:rsid w:val="00D43EB2"/>
    <w:pPr>
      <w:ind w:left="720"/>
      <w:contextualSpacing/>
    </w:pPr>
  </w:style>
  <w:style w:type="paragraph" w:styleId="NormalWeb">
    <w:name w:val="Normal (Web)"/>
    <w:basedOn w:val="Normal"/>
    <w:uiPriority w:val="99"/>
    <w:semiHidden/>
    <w:unhideWhenUsed/>
    <w:rsid w:val="008A7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E0E3A"/>
    <w:rPr>
      <w:rFonts w:ascii="Times New Roman" w:eastAsia="Calibri" w:hAnsi="Times New Roman" w:cs="Times New Roman"/>
      <w:sz w:val="24"/>
      <w:szCs w:val="24"/>
      <w:u w:val="single"/>
      <w:lang w:val="ro-RO"/>
    </w:rPr>
  </w:style>
  <w:style w:type="paragraph" w:customStyle="1" w:styleId="12titlu">
    <w:name w:val="1.2.titlu"/>
    <w:basedOn w:val="Normal"/>
    <w:rsid w:val="00DE0E3A"/>
    <w:pPr>
      <w:spacing w:after="0" w:line="360" w:lineRule="auto"/>
      <w:ind w:firstLine="720"/>
      <w:jc w:val="both"/>
    </w:pPr>
    <w:rPr>
      <w:rFonts w:ascii="Times New Roman" w:eastAsia="Calibri" w:hAnsi="Times New Roman" w:cs="Times New Roman"/>
      <w:b/>
      <w:i/>
      <w:sz w:val="28"/>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Nadejda Velisco</cp:lastModifiedBy>
  <cp:revision>2</cp:revision>
  <cp:lastPrinted>2017-09-29T11:11:00Z</cp:lastPrinted>
  <dcterms:created xsi:type="dcterms:W3CDTF">2017-11-02T11:35:00Z</dcterms:created>
  <dcterms:modified xsi:type="dcterms:W3CDTF">2017-11-02T11:35:00Z</dcterms:modified>
</cp:coreProperties>
</file>