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79455C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79455C">
        <w:rPr>
          <w:rFonts w:ascii="Times New Roman" w:hAnsi="Times New Roman"/>
          <w:b/>
          <w:sz w:val="28"/>
          <w:szCs w:val="28"/>
          <w:lang w:val="ro-MO"/>
        </w:rPr>
        <w:t>NOTĂ INFORMATIVĂ</w:t>
      </w:r>
    </w:p>
    <w:p w:rsidR="005B6A94" w:rsidRPr="0079455C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8"/>
          <w:szCs w:val="28"/>
          <w:lang w:val="ro-MO"/>
        </w:rPr>
      </w:pPr>
      <w:r w:rsidRPr="0079455C">
        <w:rPr>
          <w:rFonts w:ascii="Times New Roman" w:hAnsi="Times New Roman"/>
          <w:b/>
          <w:i/>
          <w:sz w:val="28"/>
          <w:szCs w:val="28"/>
          <w:lang w:val="ro-MO"/>
        </w:rPr>
        <w:t xml:space="preserve">la proiectul hotărârii Guvernului „Cu privire la aprobarea proiectului de lege pentru modificarea </w:t>
      </w:r>
      <w:r w:rsidR="00720666" w:rsidRPr="0079455C">
        <w:rPr>
          <w:rFonts w:ascii="Times New Roman" w:hAnsi="Times New Roman"/>
          <w:b/>
          <w:i/>
          <w:sz w:val="28"/>
          <w:szCs w:val="28"/>
          <w:lang w:val="ro-MO"/>
        </w:rPr>
        <w:t xml:space="preserve">și completarea </w:t>
      </w:r>
      <w:r w:rsidRPr="0079455C">
        <w:rPr>
          <w:rFonts w:ascii="Times New Roman" w:hAnsi="Times New Roman"/>
          <w:b/>
          <w:i/>
          <w:sz w:val="28"/>
          <w:szCs w:val="28"/>
          <w:lang w:val="ro-MO"/>
        </w:rPr>
        <w:t>unor acte legislative”</w:t>
      </w:r>
    </w:p>
    <w:p w:rsidR="005B6A94" w:rsidRPr="0079455C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p w:rsidR="00932756" w:rsidRPr="0079455C" w:rsidRDefault="00932756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360"/>
      </w:tblGrid>
      <w:tr w:rsidR="005B6A94" w:rsidRPr="006C6277" w:rsidTr="002C3455">
        <w:tc>
          <w:tcPr>
            <w:tcW w:w="9360" w:type="dxa"/>
            <w:shd w:val="clear" w:color="auto" w:fill="D9D9D9"/>
          </w:tcPr>
          <w:p w:rsidR="005B6A94" w:rsidRPr="0079455C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79455C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6C6277" w:rsidTr="002C3455">
        <w:tc>
          <w:tcPr>
            <w:tcW w:w="9360" w:type="dxa"/>
            <w:shd w:val="clear" w:color="auto" w:fill="auto"/>
          </w:tcPr>
          <w:p w:rsidR="009B6E25" w:rsidRPr="0079455C" w:rsidRDefault="009B6E25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6"/>
                <w:szCs w:val="28"/>
                <w:lang w:val="ro-MO"/>
              </w:rPr>
            </w:pPr>
          </w:p>
          <w:p w:rsidR="005B6A94" w:rsidRPr="0079455C" w:rsidRDefault="005B6A94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Reforma administrației publice este un obiectiv prioritar asumat de Guvern în Programul de activitate pe anii 2016-2018.</w:t>
            </w:r>
          </w:p>
          <w:p w:rsidR="005B6A94" w:rsidRPr="0079455C" w:rsidRDefault="00040179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</w:t>
            </w:r>
            <w:r w:rsidR="006C2939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primă etapă</w:t>
            </w:r>
            <w:r w:rsidR="00344BE2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reformare a administrației publice a </w:t>
            </w:r>
            <w:r w:rsidR="00FF73E2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fost aprobarea de către Parlament</w:t>
            </w: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 Listei ministerelor</w:t>
            </w:r>
            <w:r w:rsidR="007206D3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prin Hotărâ</w:t>
            </w:r>
            <w:r w:rsidR="00FF73E2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rea </w:t>
            </w: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nr.189/2017</w:t>
            </w:r>
            <w:r w:rsidR="00FF73E2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. </w:t>
            </w: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Pentru realizarea acestor prevederi, Guvernul a restructurat administrația</w:t>
            </w:r>
            <w:r w:rsidR="00344BE2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</w:t>
            </w: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ublică centrală</w:t>
            </w:r>
            <w:r w:rsidR="00FF73E2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specialitate și </w:t>
            </w: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determinat domeniile</w:t>
            </w:r>
            <w:r w:rsidR="00FF73E2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activitate a </w:t>
            </w: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ministerelor prin aprobarea regulamentelor de organizare și funcționare a acestora.</w:t>
            </w:r>
          </w:p>
          <w:p w:rsidR="00E36F7B" w:rsidRPr="0079455C" w:rsidRDefault="00786778" w:rsidP="00876EA2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Totodată, în conformitate cu prevederile art.3 din </w:t>
            </w:r>
            <w:r w:rsidR="00876EA2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Hotărârea nr.189/2017, Guvernul</w:t>
            </w:r>
            <w:r w:rsidR="008F1831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va prezenta </w:t>
            </w:r>
            <w:r w:rsidR="008F1831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Parlamentului propuneri privind aducerea legislaţiei în vigoare în concordanţă cu noua structură a organelor centrale de specialitate ale administraţiei publice</w:t>
            </w:r>
            <w:r w:rsidR="00F74CD8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.</w:t>
            </w:r>
          </w:p>
          <w:p w:rsidR="00E36F7B" w:rsidRPr="0079455C" w:rsidRDefault="00F74CD8" w:rsidP="00F74CD8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lang w:val="ro-MO"/>
              </w:rPr>
            </w:pPr>
            <w:r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Întru executarea prevederilor menționate, a</w:t>
            </w:r>
            <w:r w:rsidR="00E36F7B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fost elaborat </w:t>
            </w: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 de lege pentru modificarea și completarea unor acte legislative</w:t>
            </w:r>
            <w:r w:rsidR="00935AEA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care vine cu ajustări ale</w:t>
            </w:r>
            <w:r w:rsidR="00E36F7B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prevederilor </w:t>
            </w:r>
            <w:r w:rsidR="00935AEA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legilor</w:t>
            </w:r>
            <w:r w:rsidR="00E36F7B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la noua structură a organelor centrale de specialitate ale administrației publice, </w:t>
            </w:r>
            <w:proofErr w:type="spellStart"/>
            <w:r w:rsidR="00E36F7B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ținînd</w:t>
            </w:r>
            <w:proofErr w:type="spellEnd"/>
            <w:r w:rsidR="00E36F7B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cont de noile denumiri ș</w:t>
            </w:r>
            <w:r w:rsidR="009E41BF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 domenii</w:t>
            </w:r>
            <w:r w:rsidR="00E36F7B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activitate ale ministerelor.</w:t>
            </w:r>
          </w:p>
          <w:p w:rsidR="00E34950" w:rsidRPr="0079455C" w:rsidRDefault="00E34950" w:rsidP="00F066F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0"/>
                <w:szCs w:val="26"/>
                <w:lang w:val="ro-MO"/>
              </w:rPr>
            </w:pPr>
          </w:p>
          <w:p w:rsidR="00F066F5" w:rsidRPr="0079455C" w:rsidRDefault="00F066F5" w:rsidP="00F066F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5B6A94" w:rsidRPr="006C6277" w:rsidTr="002C3455">
        <w:tc>
          <w:tcPr>
            <w:tcW w:w="9360" w:type="dxa"/>
            <w:shd w:val="clear" w:color="auto" w:fill="D9D9D9"/>
          </w:tcPr>
          <w:p w:rsidR="005B6A94" w:rsidRPr="0079455C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79455C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prevederi, locul actului în sistemul de acte normative, evidenţierea elementelor noi </w:t>
            </w:r>
          </w:p>
        </w:tc>
      </w:tr>
      <w:tr w:rsidR="005B6A94" w:rsidRPr="006C6277" w:rsidTr="002C3455">
        <w:tc>
          <w:tcPr>
            <w:tcW w:w="9360" w:type="dxa"/>
            <w:shd w:val="clear" w:color="auto" w:fill="auto"/>
          </w:tcPr>
          <w:p w:rsidR="00667C05" w:rsidRPr="0079455C" w:rsidRDefault="00667C05" w:rsidP="00A9028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Cs w:val="28"/>
                <w:lang w:val="ro-MO"/>
              </w:rPr>
            </w:pPr>
          </w:p>
          <w:p w:rsidR="00821518" w:rsidRPr="0079455C" w:rsidRDefault="001529A6" w:rsidP="00A9028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Prin proiectul de</w:t>
            </w:r>
            <w:r w:rsidR="004F54C7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lege pentru</w:t>
            </w: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modificare</w:t>
            </w:r>
            <w:r w:rsidR="004F54C7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și completare</w:t>
            </w: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unor acte legislat</w:t>
            </w:r>
            <w:r w:rsidR="00B85F0D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ive se propun </w:t>
            </w:r>
            <w:r w:rsidR="005A76A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intervenții la 276</w:t>
            </w: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080B1F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legi în care se face refer</w:t>
            </w:r>
            <w:r w:rsidR="00CB0823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ință la denumirile ministerelor de </w:t>
            </w:r>
            <w:proofErr w:type="spellStart"/>
            <w:r w:rsidR="00CB0823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pînă</w:t>
            </w:r>
            <w:proofErr w:type="spellEnd"/>
            <w:r w:rsidR="00CB0823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la reforma administrației publice centrale de specialitate</w:t>
            </w:r>
            <w:r w:rsidR="002E3DCE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. </w:t>
            </w:r>
            <w:r w:rsidR="00FC56E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Astfel, modificările propuse în proiect vizează </w:t>
            </w:r>
            <w:r w:rsidR="00CE23B9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schimbarea denumirilor ministerelor în conformitate noua structură a Guvernu</w:t>
            </w:r>
            <w:r w:rsidR="00594C12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lui, </w:t>
            </w:r>
            <w:proofErr w:type="spellStart"/>
            <w:r w:rsidR="00594C12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ținî</w:t>
            </w:r>
            <w:r w:rsidR="0007767E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ndu-se</w:t>
            </w:r>
            <w:proofErr w:type="spellEnd"/>
            <w:r w:rsidR="0007767E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cont </w:t>
            </w:r>
            <w:r w:rsidR="00CE23B9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de domeniile de activitate </w:t>
            </w:r>
            <w:r w:rsidR="009D128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date în competența </w:t>
            </w:r>
            <w:r w:rsidR="00821518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ministere</w:t>
            </w:r>
            <w:r w:rsidR="009D128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lor</w:t>
            </w:r>
            <w:r w:rsidR="00821518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B85F0D" w:rsidRPr="0079455C" w:rsidRDefault="00B85F0D" w:rsidP="00A9028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4"/>
                <w:szCs w:val="28"/>
                <w:lang w:val="ro-MO"/>
              </w:rPr>
            </w:pPr>
          </w:p>
          <w:p w:rsidR="00147D4E" w:rsidRPr="0079455C" w:rsidRDefault="00821518" w:rsidP="00A9028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De asemenea, </w:t>
            </w:r>
            <w:r w:rsidR="003C7559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 unele legi</w:t>
            </w:r>
            <w:r w:rsidR="00147D4E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proofErr w:type="spellStart"/>
            <w:r w:rsidR="00147D4E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avînd</w:t>
            </w:r>
            <w:proofErr w:type="spellEnd"/>
            <w:r w:rsidR="00147D4E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vedere că sunt prevăzute sarcini</w:t>
            </w:r>
            <w:r w:rsidR="0022616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/atribuții ale ministerelor care </w:t>
            </w:r>
            <w:proofErr w:type="spellStart"/>
            <w:r w:rsidR="0022616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pî</w:t>
            </w:r>
            <w:r w:rsidR="00147D4E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nă</w:t>
            </w:r>
            <w:proofErr w:type="spellEnd"/>
            <w:r w:rsidR="00147D4E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la reformă </w:t>
            </w:r>
            <w:r w:rsidR="0022616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erau entități separate, iar după </w:t>
            </w:r>
            <w:r w:rsidR="004A658C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reformă </w:t>
            </w:r>
            <w:r w:rsidR="0022616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au fost </w:t>
            </w:r>
            <w:r w:rsidR="004A658C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restructurate </w:t>
            </w:r>
            <w:r w:rsidR="009D128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într-un singur minister,</w:t>
            </w:r>
            <w:r w:rsidR="0070534D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 fost necesară comasarea sarcinilor prevăzute într-un singur articol, pentru a asigura corespunderea </w:t>
            </w:r>
            <w:r w:rsidR="007106A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structurii </w:t>
            </w:r>
            <w:r w:rsidR="00ED3F00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și conținutului actului legislativ </w:t>
            </w:r>
            <w:r w:rsidR="007106A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cerințelor stabilite de Legea privind actele legislative</w:t>
            </w:r>
            <w:r w:rsidR="00ED3F00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</w:t>
            </w:r>
            <w:r w:rsidR="007106A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nr.780/2001</w:t>
            </w:r>
            <w:r w:rsidR="00E4000C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50466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(spre exemplu: </w:t>
            </w:r>
            <w:proofErr w:type="spellStart"/>
            <w:r w:rsidR="0050466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art.XX</w:t>
            </w:r>
            <w:r w:rsidR="005D74C8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VII</w:t>
            </w:r>
            <w:proofErr w:type="spellEnd"/>
            <w:r w:rsidR="0050466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; CI</w:t>
            </w:r>
            <w:r w:rsidR="00DB05D2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; C</w:t>
            </w:r>
            <w:r w:rsidR="0050466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XCVI; CCXXV</w:t>
            </w:r>
            <w:r w:rsidR="005D74C8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I; CCLXX</w:t>
            </w:r>
            <w:r w:rsidR="00D3180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V</w:t>
            </w:r>
            <w:r w:rsidR="00DB05D2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)</w:t>
            </w:r>
            <w:r w:rsidR="0058241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B85F0D" w:rsidRPr="0079455C" w:rsidRDefault="00B85F0D" w:rsidP="00A9028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8"/>
                <w:lang w:val="ro-MO"/>
              </w:rPr>
            </w:pPr>
          </w:p>
          <w:p w:rsidR="00594C12" w:rsidRPr="0079455C" w:rsidRDefault="00B30A71" w:rsidP="00796B30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unele </w:t>
            </w:r>
            <w:r w:rsidR="00667C0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legi</w:t>
            </w:r>
            <w:r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r w:rsidR="003C7559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cu toate că se face referire la denumirea ministerului</w:t>
            </w:r>
            <w:r w:rsidR="00A373B5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(Ministerul Tehnologiei Informației și Comunicațiilor)</w:t>
            </w:r>
            <w:r w:rsidR="003C7559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r w:rsidR="00821518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proiectul vine să </w:t>
            </w:r>
            <w:r w:rsidR="00FD1980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substituie denumirea acest</w:t>
            </w:r>
            <w:r w:rsidR="00796B30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uia</w:t>
            </w:r>
            <w:r w:rsidR="00FD1980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cu instituția publică</w:t>
            </w:r>
            <w:r w:rsidR="007C43D7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– Agenția Servicii Publice </w:t>
            </w:r>
            <w:r w:rsidR="00796B30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–</w:t>
            </w:r>
            <w:r w:rsidR="00FD1980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proofErr w:type="spellStart"/>
            <w:r w:rsidR="00796B30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avînd</w:t>
            </w:r>
            <w:proofErr w:type="spellEnd"/>
            <w:r w:rsidR="00796B30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vedere</w:t>
            </w:r>
            <w:r w:rsidR="00FD1980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competențe</w:t>
            </w:r>
            <w:r w:rsidR="00796B30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le acesteia</w:t>
            </w:r>
            <w:r w:rsidR="00FD1980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</w:t>
            </w:r>
            <w:r w:rsidR="00006F24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domeniul evidenței de stat </w:t>
            </w:r>
            <w:r w:rsidR="00801B93" w:rsidRPr="0079455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și resurselor informaționale de stat, evidenței p</w:t>
            </w:r>
            <w:r w:rsidR="00006F24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opulaţiei, a mijloacelor de transport şi a</w:t>
            </w:r>
            <w:r w:rsidR="00796B30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796B30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lastRenderedPageBreak/>
              <w:t>conducătorilor de autovehicule (spre ex</w:t>
            </w:r>
            <w:r w:rsidR="009B6E25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e</w:t>
            </w:r>
            <w:r w:rsidR="00796B30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mplu: </w:t>
            </w:r>
            <w:proofErr w:type="spellStart"/>
            <w:r w:rsidR="00796B30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art.</w:t>
            </w:r>
            <w:r w:rsidR="00D318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XXX</w:t>
            </w:r>
            <w:proofErr w:type="spellEnd"/>
            <w:r w:rsidR="00A463A5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;</w:t>
            </w:r>
            <w:r w:rsidR="007622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CXLII; </w:t>
            </w:r>
            <w:proofErr w:type="spellStart"/>
            <w:r w:rsidR="007622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CCLII</w:t>
            </w:r>
            <w:r w:rsidR="004B7123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ș.a</w:t>
            </w:r>
            <w:proofErr w:type="spellEnd"/>
            <w:r w:rsidR="004B7123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).</w:t>
            </w:r>
          </w:p>
          <w:p w:rsidR="00B85F0D" w:rsidRPr="0079455C" w:rsidRDefault="00B85F0D" w:rsidP="00796B30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16"/>
                <w:szCs w:val="28"/>
                <w:shd w:val="clear" w:color="auto" w:fill="FFFFFF"/>
                <w:lang w:val="ro-MO"/>
              </w:rPr>
            </w:pPr>
          </w:p>
          <w:p w:rsidR="00B21A91" w:rsidRPr="0079455C" w:rsidRDefault="007622C2" w:rsidP="00B21A91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Totodată, în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art.CXXXIX</w:t>
            </w:r>
            <w:proofErr w:type="spellEnd"/>
            <w:r w:rsidR="008210E6" w:rsidRPr="0079455C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, ce vizează modificarea </w:t>
            </w:r>
            <w:r w:rsidR="008210E6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– Legii</w:t>
            </w:r>
            <w:r w:rsidR="008210E6" w:rsidRPr="007945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 xml:space="preserve"> cu privire la implementarea Convenţiei privind interzicerea dezvoltării, producerii, stocării şi folosirii armelor chimice şi distrugerea acestora, nr.358/2004,</w:t>
            </w:r>
            <w:r w:rsidR="00E573FC" w:rsidRPr="007945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a fost expus art.39 în redacție nouă, </w:t>
            </w:r>
            <w:r w:rsidR="00542992" w:rsidRPr="007945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pentru a asigura conformitatea cu </w:t>
            </w:r>
            <w:r w:rsidR="00E573FC" w:rsidRPr="007945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prevederile art. 36 alin. (1) din Legea comunicațiilor electronice nr.241-XVI din 15 noiembrie 2007, permisul tehnic pentru utilizarea stațiilor de radiocomunicații se eliberează de către Agenţia Naţională pentru Reglementare în Comunicaţii Electronice şi Tehnologia Informaţiei.</w:t>
            </w:r>
            <w:r w:rsidR="00B21A91" w:rsidRPr="007945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O</w:t>
            </w:r>
            <w:r w:rsidR="00726D85" w:rsidRPr="007945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r, nu este de competența </w:t>
            </w:r>
            <w:r w:rsidR="00B21A91" w:rsidRPr="007945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,,</w:t>
            </w:r>
            <w:r w:rsidR="00726D85" w:rsidRPr="007945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Ministerului </w:t>
            </w:r>
            <w:r w:rsidR="00B21A91" w:rsidRPr="007945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T</w:t>
            </w:r>
            <w:r w:rsidR="00FF49B9" w:rsidRPr="007945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ransporturilor și Comu</w:t>
            </w:r>
            <w:r w:rsidR="00B21A91" w:rsidRPr="007945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nicațiilor”</w:t>
            </w:r>
            <w:r w:rsidR="00E573FC" w:rsidRPr="007945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, </w:t>
            </w:r>
            <w:r w:rsidR="00B21A91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autorizarea folosirii de către echipa de inspecţie a mijloacelor de telecomunicaţii ale Organizaţiei pentru legături cu sediul acesteia, precum şi între membrii echipei de inspecţie</w:t>
            </w:r>
            <w:r w:rsidR="00FF49B9" w:rsidRPr="007945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.</w:t>
            </w:r>
          </w:p>
          <w:p w:rsidR="00E573FC" w:rsidRPr="0079455C" w:rsidRDefault="00FF49B9" w:rsidP="00B21A91">
            <w:pPr>
              <w:pStyle w:val="NoSpacing"/>
              <w:ind w:firstLine="54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</w:pPr>
            <w:r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 xml:space="preserve">Din care considerente </w:t>
            </w:r>
            <w:r w:rsidR="00E573FC"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 xml:space="preserve">art. 39 </w:t>
            </w:r>
            <w:r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>se</w:t>
            </w:r>
            <w:r w:rsidR="00E573FC"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 xml:space="preserve"> expune</w:t>
            </w:r>
            <w:r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E573FC"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>în următoarea redacție:</w:t>
            </w:r>
          </w:p>
          <w:p w:rsidR="00E573FC" w:rsidRPr="0079455C" w:rsidRDefault="00E573FC" w:rsidP="00E573FC">
            <w:pPr>
              <w:pStyle w:val="NoSpacing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o-MO"/>
              </w:rPr>
            </w:pPr>
            <w:r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 xml:space="preserve">             </w:t>
            </w:r>
            <w:r w:rsidRPr="0079455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o-MO"/>
              </w:rPr>
              <w:t>”Articolul 39. Competenţa Agenţiei Naţionale pentru Reglementare în Comunicaţii Electronice şi Tehnologia Informaţiei</w:t>
            </w:r>
          </w:p>
          <w:p w:rsidR="008210E6" w:rsidRPr="0079455C" w:rsidRDefault="00FF49B9" w:rsidP="00E573FC">
            <w:pPr>
              <w:pStyle w:val="NoSpacing"/>
              <w:ind w:firstLine="549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o-MO"/>
              </w:rPr>
            </w:pPr>
            <w:r w:rsidRPr="0079455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o-MO"/>
              </w:rPr>
              <w:t xml:space="preserve">      </w:t>
            </w:r>
            <w:r w:rsidR="00E573FC" w:rsidRPr="0079455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o-MO"/>
              </w:rPr>
              <w:t>Agenţia Naţională pentru Reglementare în Comunicaţii Electronice şi Tehnologia Informaţiei autorizează, în condițiile legislației în vigoare, utilizarea de către echipa de inspecţie a staţiilor de radiocomunicaţii ale Organizaţiei pentru legături cu sediul acesteia, precum şi între membrii echipei de inspecţie.”.</w:t>
            </w:r>
          </w:p>
          <w:p w:rsidR="00B85F0D" w:rsidRPr="0079455C" w:rsidRDefault="00B85F0D" w:rsidP="00E573FC">
            <w:pPr>
              <w:pStyle w:val="NoSpacing"/>
              <w:ind w:firstLine="549"/>
              <w:jc w:val="both"/>
              <w:rPr>
                <w:rFonts w:ascii="Times New Roman" w:hAnsi="Times New Roman"/>
                <w:i/>
                <w:sz w:val="16"/>
                <w:szCs w:val="28"/>
                <w:shd w:val="clear" w:color="auto" w:fill="FFFFFF"/>
                <w:lang w:val="ro-MO"/>
              </w:rPr>
            </w:pPr>
          </w:p>
          <w:p w:rsidR="00AA140C" w:rsidRPr="0079455C" w:rsidRDefault="00AA140C" w:rsidP="00E573FC">
            <w:pPr>
              <w:pStyle w:val="NoSpacing"/>
              <w:ind w:firstLine="54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</w:pPr>
            <w:r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 xml:space="preserve">De asemenea, </w:t>
            </w:r>
            <w:r w:rsidR="001F5F88"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 xml:space="preserve">la definitivarea proiectului s-a ținut cont și de </w:t>
            </w:r>
            <w:r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 xml:space="preserve">prevederile Legii </w:t>
            </w:r>
            <w:r w:rsidR="00F865E9"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 xml:space="preserve">pentru modificarea și completarea unor acte legislative </w:t>
            </w:r>
            <w:r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>nr.185/2017</w:t>
            </w:r>
            <w:r w:rsidR="001F5F88"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 xml:space="preserve">, în contextul reformei </w:t>
            </w:r>
            <w:r w:rsidR="002916C0"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>organelor</w:t>
            </w:r>
            <w:r w:rsidR="001F5F88"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 xml:space="preserve"> cu funcții de control</w:t>
            </w:r>
            <w:r w:rsidR="002916C0" w:rsidRPr="007945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>.</w:t>
            </w:r>
          </w:p>
          <w:p w:rsidR="0079455C" w:rsidRPr="0079455C" w:rsidRDefault="0079455C" w:rsidP="00E573FC">
            <w:pPr>
              <w:pStyle w:val="NoSpacing"/>
              <w:ind w:firstLine="549"/>
              <w:jc w:val="both"/>
              <w:rPr>
                <w:bCs/>
                <w:sz w:val="26"/>
                <w:szCs w:val="26"/>
                <w:lang w:val="ro-MO"/>
              </w:rPr>
            </w:pPr>
            <w:bookmarkStart w:id="0" w:name="_GoBack"/>
            <w:bookmarkEnd w:id="0"/>
          </w:p>
          <w:p w:rsidR="003C52E9" w:rsidRPr="00E03061" w:rsidRDefault="00210BB7" w:rsidP="00E573F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</w:pPr>
            <w:r w:rsidRPr="0079455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Suplimentar menționăm, că proiectul de lege a fost avizat de către </w:t>
            </w:r>
            <w:r w:rsidR="00F56D17" w:rsidRPr="0079455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toate ministerele</w:t>
            </w:r>
            <w:r w:rsidR="00F0207D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. Unele ministere</w:t>
            </w:r>
            <w:r w:rsidR="00F56D17" w:rsidRPr="0079455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(Ministerul Economiei și Infrastructurii și Ministerul Educației</w:t>
            </w:r>
            <w:r w:rsidR="004E630E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,</w:t>
            </w:r>
            <w:r w:rsidR="00F56D17" w:rsidRPr="0079455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Culturii și Cercetării</w:t>
            </w:r>
            <w:r w:rsidR="00F0207D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)</w:t>
            </w:r>
            <w:r w:rsidR="00F56D17" w:rsidRPr="0079455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– au înaintat </w:t>
            </w:r>
            <w:r w:rsidR="00906650" w:rsidRPr="0079455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și aviz</w:t>
            </w:r>
            <w:r w:rsidR="00F0207D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e suplimentare la cele inițiale</w:t>
            </w:r>
            <w:r w:rsidR="00906650" w:rsidRPr="0079455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. Propunerile înaintate de către acestea </w:t>
            </w:r>
            <w:r w:rsidR="00037A0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se re</w:t>
            </w:r>
            <w:r w:rsidR="00F303F4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găsesc în tabelul de divergențe, în baza căruia a fost definitivat proiectul de lege</w:t>
            </w:r>
            <w:r w:rsidR="00906650" w:rsidRPr="0079455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.</w:t>
            </w:r>
            <w:r w:rsidR="00E03061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</w:t>
            </w:r>
            <w:r w:rsidR="006C6277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P</w:t>
            </w:r>
            <w:r w:rsidR="003C52E9" w:rsidRPr="0079455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roiectul a fost supus expertizei </w:t>
            </w:r>
            <w:r w:rsidR="00F0207D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juridice și </w:t>
            </w:r>
            <w:r w:rsidR="003C52E9" w:rsidRPr="0079455C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anticorupție.</w:t>
            </w:r>
          </w:p>
          <w:p w:rsidR="00667C05" w:rsidRPr="0079455C" w:rsidRDefault="00667C05" w:rsidP="00193943">
            <w:pPr>
              <w:pStyle w:val="NoSpacing"/>
              <w:ind w:firstLine="549"/>
              <w:jc w:val="both"/>
              <w:rPr>
                <w:rFonts w:ascii="Times New Roman" w:hAnsi="Times New Roman"/>
                <w:sz w:val="14"/>
                <w:szCs w:val="26"/>
                <w:lang w:val="ro-MO"/>
              </w:rPr>
            </w:pPr>
          </w:p>
        </w:tc>
      </w:tr>
      <w:tr w:rsidR="005B6A94" w:rsidRPr="006C6277" w:rsidTr="002C3455">
        <w:tc>
          <w:tcPr>
            <w:tcW w:w="9360" w:type="dxa"/>
            <w:shd w:val="clear" w:color="auto" w:fill="D9D9D9"/>
          </w:tcPr>
          <w:p w:rsidR="005B6A94" w:rsidRPr="0079455C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79455C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6C6277" w:rsidTr="002C3455">
        <w:tc>
          <w:tcPr>
            <w:tcW w:w="9360" w:type="dxa"/>
            <w:shd w:val="clear" w:color="auto" w:fill="auto"/>
          </w:tcPr>
          <w:p w:rsidR="005B6A94" w:rsidRPr="0079455C" w:rsidRDefault="005B6A94" w:rsidP="00366FD7">
            <w:pPr>
              <w:spacing w:after="120"/>
              <w:ind w:firstLine="778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79455C">
              <w:rPr>
                <w:rFonts w:ascii="Times New Roman" w:hAnsi="Times New Roman"/>
                <w:sz w:val="28"/>
                <w:szCs w:val="28"/>
                <w:lang w:val="ro-MO"/>
              </w:rPr>
              <w:t>Prezentul proiect de nu contravine legislației Uniunii Europene.</w:t>
            </w:r>
          </w:p>
        </w:tc>
      </w:tr>
      <w:tr w:rsidR="005B6A94" w:rsidRPr="0079455C" w:rsidTr="002C3455">
        <w:tc>
          <w:tcPr>
            <w:tcW w:w="9360" w:type="dxa"/>
            <w:shd w:val="clear" w:color="auto" w:fill="D9D9D9"/>
          </w:tcPr>
          <w:p w:rsidR="005B6A94" w:rsidRPr="0079455C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79455C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6C6277" w:rsidTr="002C3455">
        <w:tc>
          <w:tcPr>
            <w:tcW w:w="9360" w:type="dxa"/>
            <w:shd w:val="clear" w:color="auto" w:fill="auto"/>
          </w:tcPr>
          <w:p w:rsidR="005B6A94" w:rsidRPr="0079455C" w:rsidRDefault="005B6A94" w:rsidP="00A82402">
            <w:pPr>
              <w:spacing w:after="0"/>
              <w:ind w:firstLine="778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79455C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Implementarea prevederilor proiectului nu necesită cheltuieli financiare suplimentare </w:t>
            </w:r>
            <w:r w:rsidR="00A82402" w:rsidRPr="0079455C">
              <w:rPr>
                <w:rFonts w:ascii="Times New Roman" w:hAnsi="Times New Roman"/>
                <w:sz w:val="28"/>
                <w:szCs w:val="28"/>
                <w:lang w:val="ro-MO"/>
              </w:rPr>
              <w:t>din bugetul de stat</w:t>
            </w:r>
            <w:r w:rsidRPr="0079455C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. </w:t>
            </w:r>
          </w:p>
        </w:tc>
      </w:tr>
    </w:tbl>
    <w:p w:rsidR="005B6A94" w:rsidRPr="0079455C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0B1B0A" w:rsidRPr="0079455C" w:rsidRDefault="000B1B0A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0B1B0A" w:rsidRPr="0079455C" w:rsidRDefault="000B1B0A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A4ECF" w:rsidRPr="0079455C" w:rsidRDefault="00CA4ECF" w:rsidP="00CA4ECF">
      <w:pPr>
        <w:pStyle w:val="NoSpacing"/>
        <w:rPr>
          <w:rFonts w:ascii="Times New Roman" w:hAnsi="Times New Roman" w:cs="Times New Roman"/>
          <w:sz w:val="28"/>
          <w:szCs w:val="28"/>
          <w:lang w:val="ro-MO"/>
        </w:rPr>
      </w:pPr>
      <w:r w:rsidRPr="0079455C">
        <w:rPr>
          <w:rFonts w:ascii="Times New Roman" w:hAnsi="Times New Roman" w:cs="Times New Roman"/>
          <w:sz w:val="28"/>
          <w:szCs w:val="28"/>
          <w:lang w:val="ro-MO"/>
        </w:rPr>
        <w:tab/>
        <w:t xml:space="preserve">Director                                                                                     </w:t>
      </w:r>
      <w:r w:rsidRPr="0079455C">
        <w:rPr>
          <w:rFonts w:ascii="Times New Roman" w:hAnsi="Times New Roman" w:cs="Times New Roman"/>
          <w:b/>
          <w:sz w:val="28"/>
          <w:szCs w:val="28"/>
          <w:lang w:val="ro-MO"/>
        </w:rPr>
        <w:t>Iurie CIOCAN</w:t>
      </w:r>
    </w:p>
    <w:p w:rsidR="00CA4ECF" w:rsidRPr="0079455C" w:rsidRDefault="00CA4ECF" w:rsidP="005B6A9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455C">
        <w:rPr>
          <w:rFonts w:ascii="Times New Roman" w:hAnsi="Times New Roman" w:cs="Times New Roman"/>
          <w:sz w:val="28"/>
          <w:szCs w:val="28"/>
          <w:lang w:val="ro-MO"/>
        </w:rPr>
        <w:t xml:space="preserve">al Centrului de Implementare a  Reformelor                                      </w:t>
      </w:r>
    </w:p>
    <w:p w:rsidR="000B363E" w:rsidRPr="0079455C" w:rsidRDefault="005B6A94" w:rsidP="003B5CE9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strike/>
          <w:color w:val="FF0000"/>
          <w:sz w:val="28"/>
          <w:szCs w:val="28"/>
          <w:lang w:val="ro-MO"/>
        </w:rPr>
      </w:pPr>
      <w:r w:rsidRPr="0079455C">
        <w:rPr>
          <w:sz w:val="28"/>
          <w:szCs w:val="28"/>
          <w:lang w:val="ro-MO"/>
        </w:rPr>
        <w:tab/>
      </w:r>
      <w:r w:rsidRPr="0079455C">
        <w:rPr>
          <w:sz w:val="28"/>
          <w:szCs w:val="28"/>
          <w:lang w:val="ro-MO"/>
        </w:rPr>
        <w:tab/>
      </w:r>
    </w:p>
    <w:p w:rsidR="00F67792" w:rsidRPr="0079455C" w:rsidRDefault="00F67792" w:rsidP="00A96FDA">
      <w:pPr>
        <w:pStyle w:val="NoSpacing"/>
        <w:jc w:val="both"/>
        <w:rPr>
          <w:lang w:val="ro-MO"/>
        </w:rPr>
      </w:pPr>
    </w:p>
    <w:sectPr w:rsidR="00F67792" w:rsidRPr="0079455C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6F24"/>
    <w:rsid w:val="0000757E"/>
    <w:rsid w:val="00024362"/>
    <w:rsid w:val="00036C50"/>
    <w:rsid w:val="00036DDF"/>
    <w:rsid w:val="00037A0C"/>
    <w:rsid w:val="00040179"/>
    <w:rsid w:val="00046261"/>
    <w:rsid w:val="0007767E"/>
    <w:rsid w:val="00080B1F"/>
    <w:rsid w:val="00083701"/>
    <w:rsid w:val="00092D5F"/>
    <w:rsid w:val="000B1B0A"/>
    <w:rsid w:val="000B363E"/>
    <w:rsid w:val="000C5BAE"/>
    <w:rsid w:val="000C66BA"/>
    <w:rsid w:val="000D118A"/>
    <w:rsid w:val="000D2111"/>
    <w:rsid w:val="00106395"/>
    <w:rsid w:val="001111AC"/>
    <w:rsid w:val="00142304"/>
    <w:rsid w:val="00147B1C"/>
    <w:rsid w:val="00147D4E"/>
    <w:rsid w:val="001529A6"/>
    <w:rsid w:val="00193943"/>
    <w:rsid w:val="001B2095"/>
    <w:rsid w:val="001C721B"/>
    <w:rsid w:val="001E362B"/>
    <w:rsid w:val="001E591D"/>
    <w:rsid w:val="001F4FDD"/>
    <w:rsid w:val="001F5F88"/>
    <w:rsid w:val="0020762E"/>
    <w:rsid w:val="00210BB7"/>
    <w:rsid w:val="002230B2"/>
    <w:rsid w:val="00226165"/>
    <w:rsid w:val="00230AC0"/>
    <w:rsid w:val="00250952"/>
    <w:rsid w:val="00251C46"/>
    <w:rsid w:val="00281139"/>
    <w:rsid w:val="00281E75"/>
    <w:rsid w:val="002916C0"/>
    <w:rsid w:val="002A18AF"/>
    <w:rsid w:val="002A7F68"/>
    <w:rsid w:val="002C0A44"/>
    <w:rsid w:val="002D43A4"/>
    <w:rsid w:val="002E3DCE"/>
    <w:rsid w:val="00303830"/>
    <w:rsid w:val="00323427"/>
    <w:rsid w:val="00326EB3"/>
    <w:rsid w:val="00336086"/>
    <w:rsid w:val="00344BE2"/>
    <w:rsid w:val="003468E1"/>
    <w:rsid w:val="0035504B"/>
    <w:rsid w:val="00363AB5"/>
    <w:rsid w:val="00366FD7"/>
    <w:rsid w:val="00371499"/>
    <w:rsid w:val="003723AF"/>
    <w:rsid w:val="00391A45"/>
    <w:rsid w:val="00394FAC"/>
    <w:rsid w:val="003A4D14"/>
    <w:rsid w:val="003B5CE9"/>
    <w:rsid w:val="003C52E9"/>
    <w:rsid w:val="003C7559"/>
    <w:rsid w:val="003D7C72"/>
    <w:rsid w:val="003E0A6E"/>
    <w:rsid w:val="003F4981"/>
    <w:rsid w:val="0040256E"/>
    <w:rsid w:val="00417B12"/>
    <w:rsid w:val="00445580"/>
    <w:rsid w:val="004565A2"/>
    <w:rsid w:val="00481193"/>
    <w:rsid w:val="00487747"/>
    <w:rsid w:val="0049661F"/>
    <w:rsid w:val="00496C64"/>
    <w:rsid w:val="004A658C"/>
    <w:rsid w:val="004B3E21"/>
    <w:rsid w:val="004B7123"/>
    <w:rsid w:val="004D3856"/>
    <w:rsid w:val="004E630E"/>
    <w:rsid w:val="004E68C5"/>
    <w:rsid w:val="004F4094"/>
    <w:rsid w:val="004F54C7"/>
    <w:rsid w:val="004F6607"/>
    <w:rsid w:val="00504664"/>
    <w:rsid w:val="005141E3"/>
    <w:rsid w:val="00522015"/>
    <w:rsid w:val="005247A9"/>
    <w:rsid w:val="005340F2"/>
    <w:rsid w:val="00537706"/>
    <w:rsid w:val="00542992"/>
    <w:rsid w:val="0056337A"/>
    <w:rsid w:val="00582415"/>
    <w:rsid w:val="0058409C"/>
    <w:rsid w:val="005862BC"/>
    <w:rsid w:val="00594C12"/>
    <w:rsid w:val="005A76AB"/>
    <w:rsid w:val="005B6A94"/>
    <w:rsid w:val="005C1D73"/>
    <w:rsid w:val="005C7297"/>
    <w:rsid w:val="005D74C8"/>
    <w:rsid w:val="005E3BBB"/>
    <w:rsid w:val="005E4126"/>
    <w:rsid w:val="005F263C"/>
    <w:rsid w:val="005F2DD3"/>
    <w:rsid w:val="005F3AC3"/>
    <w:rsid w:val="00617FC6"/>
    <w:rsid w:val="00624F20"/>
    <w:rsid w:val="0063059D"/>
    <w:rsid w:val="006355B3"/>
    <w:rsid w:val="00646333"/>
    <w:rsid w:val="006526D0"/>
    <w:rsid w:val="006527B3"/>
    <w:rsid w:val="006627C5"/>
    <w:rsid w:val="00667C05"/>
    <w:rsid w:val="006735B2"/>
    <w:rsid w:val="00676B73"/>
    <w:rsid w:val="00680BB7"/>
    <w:rsid w:val="006A114D"/>
    <w:rsid w:val="006B333B"/>
    <w:rsid w:val="006B7E6B"/>
    <w:rsid w:val="006C27F1"/>
    <w:rsid w:val="006C2939"/>
    <w:rsid w:val="006C6277"/>
    <w:rsid w:val="006D7330"/>
    <w:rsid w:val="0070534D"/>
    <w:rsid w:val="007106A5"/>
    <w:rsid w:val="00720666"/>
    <w:rsid w:val="007206D3"/>
    <w:rsid w:val="00726D85"/>
    <w:rsid w:val="007313B0"/>
    <w:rsid w:val="00740FA3"/>
    <w:rsid w:val="007622C2"/>
    <w:rsid w:val="00786778"/>
    <w:rsid w:val="0079455C"/>
    <w:rsid w:val="00796B30"/>
    <w:rsid w:val="007A68AD"/>
    <w:rsid w:val="007C242B"/>
    <w:rsid w:val="007C43D7"/>
    <w:rsid w:val="007D2636"/>
    <w:rsid w:val="007E68AD"/>
    <w:rsid w:val="007E6ECD"/>
    <w:rsid w:val="00801B93"/>
    <w:rsid w:val="00812745"/>
    <w:rsid w:val="008210E6"/>
    <w:rsid w:val="00821518"/>
    <w:rsid w:val="0082171F"/>
    <w:rsid w:val="00825A4F"/>
    <w:rsid w:val="008452C9"/>
    <w:rsid w:val="0085073D"/>
    <w:rsid w:val="008509BE"/>
    <w:rsid w:val="00852E2F"/>
    <w:rsid w:val="00876EA2"/>
    <w:rsid w:val="008A5565"/>
    <w:rsid w:val="008C0F76"/>
    <w:rsid w:val="008F1831"/>
    <w:rsid w:val="008F5CC2"/>
    <w:rsid w:val="00906650"/>
    <w:rsid w:val="009219DD"/>
    <w:rsid w:val="00932756"/>
    <w:rsid w:val="00935AEA"/>
    <w:rsid w:val="00941E99"/>
    <w:rsid w:val="00950353"/>
    <w:rsid w:val="0096161A"/>
    <w:rsid w:val="009736C4"/>
    <w:rsid w:val="00980FBE"/>
    <w:rsid w:val="00986C63"/>
    <w:rsid w:val="00987D23"/>
    <w:rsid w:val="00992E4C"/>
    <w:rsid w:val="00997AB6"/>
    <w:rsid w:val="009B6E25"/>
    <w:rsid w:val="009B72AA"/>
    <w:rsid w:val="009D1285"/>
    <w:rsid w:val="009E41BF"/>
    <w:rsid w:val="00A373B5"/>
    <w:rsid w:val="00A463A5"/>
    <w:rsid w:val="00A55156"/>
    <w:rsid w:val="00A65E11"/>
    <w:rsid w:val="00A665B2"/>
    <w:rsid w:val="00A767C7"/>
    <w:rsid w:val="00A82402"/>
    <w:rsid w:val="00A84B2F"/>
    <w:rsid w:val="00A864D1"/>
    <w:rsid w:val="00A9028C"/>
    <w:rsid w:val="00A96FDA"/>
    <w:rsid w:val="00AA140C"/>
    <w:rsid w:val="00AA35DC"/>
    <w:rsid w:val="00AA73C4"/>
    <w:rsid w:val="00AB2245"/>
    <w:rsid w:val="00AB71CA"/>
    <w:rsid w:val="00AD4C0B"/>
    <w:rsid w:val="00AD7FE1"/>
    <w:rsid w:val="00B101AA"/>
    <w:rsid w:val="00B1207E"/>
    <w:rsid w:val="00B21A91"/>
    <w:rsid w:val="00B21F76"/>
    <w:rsid w:val="00B30A71"/>
    <w:rsid w:val="00B44F67"/>
    <w:rsid w:val="00B526EF"/>
    <w:rsid w:val="00B85F0D"/>
    <w:rsid w:val="00BB2FF9"/>
    <w:rsid w:val="00BC0A05"/>
    <w:rsid w:val="00C16CCB"/>
    <w:rsid w:val="00C20F99"/>
    <w:rsid w:val="00C215DD"/>
    <w:rsid w:val="00C315FE"/>
    <w:rsid w:val="00C85DF9"/>
    <w:rsid w:val="00CA47C0"/>
    <w:rsid w:val="00CA4ECF"/>
    <w:rsid w:val="00CA7FB5"/>
    <w:rsid w:val="00CB0823"/>
    <w:rsid w:val="00CB40AF"/>
    <w:rsid w:val="00CB5D92"/>
    <w:rsid w:val="00CC23EE"/>
    <w:rsid w:val="00CE23B9"/>
    <w:rsid w:val="00D042FE"/>
    <w:rsid w:val="00D1315C"/>
    <w:rsid w:val="00D31805"/>
    <w:rsid w:val="00D64413"/>
    <w:rsid w:val="00DA2FA2"/>
    <w:rsid w:val="00DB05D2"/>
    <w:rsid w:val="00DB7216"/>
    <w:rsid w:val="00DD0923"/>
    <w:rsid w:val="00DE0DDE"/>
    <w:rsid w:val="00E03061"/>
    <w:rsid w:val="00E04FC4"/>
    <w:rsid w:val="00E171CA"/>
    <w:rsid w:val="00E34950"/>
    <w:rsid w:val="00E36F7B"/>
    <w:rsid w:val="00E4000C"/>
    <w:rsid w:val="00E573FC"/>
    <w:rsid w:val="00E575BD"/>
    <w:rsid w:val="00E611FB"/>
    <w:rsid w:val="00E92F49"/>
    <w:rsid w:val="00EB0FA6"/>
    <w:rsid w:val="00EC659B"/>
    <w:rsid w:val="00EC6CDD"/>
    <w:rsid w:val="00ED3F00"/>
    <w:rsid w:val="00EE0A17"/>
    <w:rsid w:val="00EF0844"/>
    <w:rsid w:val="00F0207D"/>
    <w:rsid w:val="00F066F5"/>
    <w:rsid w:val="00F105C5"/>
    <w:rsid w:val="00F109A4"/>
    <w:rsid w:val="00F17D26"/>
    <w:rsid w:val="00F26B34"/>
    <w:rsid w:val="00F27731"/>
    <w:rsid w:val="00F303F4"/>
    <w:rsid w:val="00F4267A"/>
    <w:rsid w:val="00F44815"/>
    <w:rsid w:val="00F46D29"/>
    <w:rsid w:val="00F56D17"/>
    <w:rsid w:val="00F67792"/>
    <w:rsid w:val="00F70914"/>
    <w:rsid w:val="00F72E1A"/>
    <w:rsid w:val="00F746E1"/>
    <w:rsid w:val="00F74CD8"/>
    <w:rsid w:val="00F865E9"/>
    <w:rsid w:val="00F90806"/>
    <w:rsid w:val="00F92EF2"/>
    <w:rsid w:val="00FB7398"/>
    <w:rsid w:val="00FC56E5"/>
    <w:rsid w:val="00FD1980"/>
    <w:rsid w:val="00FE4C09"/>
    <w:rsid w:val="00FF15E7"/>
    <w:rsid w:val="00FF49B9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t">
    <w:name w:val="tt"/>
    <w:basedOn w:val="Normal"/>
    <w:uiPriority w:val="99"/>
    <w:rsid w:val="000C6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573F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t">
    <w:name w:val="tt"/>
    <w:basedOn w:val="Normal"/>
    <w:uiPriority w:val="99"/>
    <w:rsid w:val="000C6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573F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58</cp:revision>
  <cp:lastPrinted>2017-11-29T15:01:00Z</cp:lastPrinted>
  <dcterms:created xsi:type="dcterms:W3CDTF">2017-09-27T05:06:00Z</dcterms:created>
  <dcterms:modified xsi:type="dcterms:W3CDTF">2018-01-30T05:46:00Z</dcterms:modified>
</cp:coreProperties>
</file>