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F9" w:rsidRPr="006C3100" w:rsidRDefault="00FA46F9" w:rsidP="00FA46F9">
      <w:pPr>
        <w:tabs>
          <w:tab w:val="left" w:pos="2295"/>
        </w:tabs>
        <w:ind w:left="1418" w:right="566"/>
        <w:jc w:val="center"/>
        <w:rPr>
          <w:b/>
          <w:sz w:val="28"/>
          <w:szCs w:val="28"/>
          <w:lang w:val="ro-RO"/>
        </w:rPr>
      </w:pPr>
      <w:r w:rsidRPr="006C3100">
        <w:rPr>
          <w:b/>
          <w:sz w:val="28"/>
          <w:szCs w:val="28"/>
          <w:lang w:val="ro-RO"/>
        </w:rPr>
        <w:t>Tabel de divergențe</w:t>
      </w:r>
    </w:p>
    <w:p w:rsidR="00297091" w:rsidRPr="006C3100" w:rsidRDefault="00FA46F9" w:rsidP="00FA46F9">
      <w:pPr>
        <w:jc w:val="center"/>
        <w:rPr>
          <w:b/>
          <w:sz w:val="28"/>
          <w:szCs w:val="28"/>
          <w:lang w:val="ro-RO"/>
        </w:rPr>
      </w:pPr>
      <w:r w:rsidRPr="006C3100">
        <w:rPr>
          <w:b/>
          <w:sz w:val="28"/>
          <w:szCs w:val="28"/>
          <w:lang w:val="ro-RO"/>
        </w:rPr>
        <w:t>la proiectul Hotăr</w:t>
      </w:r>
      <w:r w:rsidR="004B26E6" w:rsidRPr="006C3100">
        <w:rPr>
          <w:b/>
          <w:sz w:val="28"/>
          <w:szCs w:val="28"/>
          <w:lang w:val="ro-RO"/>
        </w:rPr>
        <w:t>î</w:t>
      </w:r>
      <w:r w:rsidRPr="006C3100">
        <w:rPr>
          <w:b/>
          <w:sz w:val="28"/>
          <w:szCs w:val="28"/>
          <w:lang w:val="ro-RO"/>
        </w:rPr>
        <w:t>rii Guvernului Republicii Moldova</w:t>
      </w:r>
    </w:p>
    <w:p w:rsidR="00FA46F9" w:rsidRPr="006C3100" w:rsidRDefault="00FA46F9" w:rsidP="00FA46F9">
      <w:pPr>
        <w:jc w:val="center"/>
        <w:rPr>
          <w:sz w:val="28"/>
          <w:szCs w:val="28"/>
          <w:lang w:val="ro-RO"/>
        </w:rPr>
      </w:pPr>
      <w:r w:rsidRPr="006C3100">
        <w:rPr>
          <w:b/>
          <w:sz w:val="28"/>
          <w:szCs w:val="28"/>
          <w:lang w:val="ro-RO"/>
        </w:rPr>
        <w:t xml:space="preserve"> cu privire </w:t>
      </w:r>
      <w:r w:rsidR="00297091" w:rsidRPr="006C3100">
        <w:rPr>
          <w:b/>
          <w:sz w:val="28"/>
          <w:szCs w:val="28"/>
          <w:lang w:val="ro-RO"/>
        </w:rPr>
        <w:t xml:space="preserve">la transmiterea </w:t>
      </w:r>
      <w:r w:rsidR="009E106E" w:rsidRPr="006C3100">
        <w:rPr>
          <w:b/>
          <w:sz w:val="28"/>
          <w:szCs w:val="28"/>
          <w:lang w:val="ro-RO"/>
        </w:rPr>
        <w:t xml:space="preserve"> unor </w:t>
      </w:r>
      <w:r w:rsidR="00A13E6D" w:rsidRPr="006C3100">
        <w:rPr>
          <w:b/>
          <w:sz w:val="28"/>
          <w:szCs w:val="28"/>
          <w:lang w:val="ro-RO"/>
        </w:rPr>
        <w:t>bunuri</w:t>
      </w:r>
      <w:r w:rsidRPr="006C3100">
        <w:rPr>
          <w:b/>
          <w:sz w:val="28"/>
          <w:szCs w:val="28"/>
          <w:lang w:val="ro-RO"/>
        </w:rPr>
        <w:t xml:space="preserve"> imobil</w:t>
      </w:r>
      <w:r w:rsidR="00297091" w:rsidRPr="006C3100">
        <w:rPr>
          <w:b/>
          <w:sz w:val="28"/>
          <w:szCs w:val="28"/>
          <w:lang w:val="ro-RO"/>
        </w:rPr>
        <w:t>e</w:t>
      </w:r>
      <w:r w:rsidRPr="006C3100">
        <w:rPr>
          <w:b/>
          <w:sz w:val="28"/>
          <w:szCs w:val="28"/>
          <w:lang w:val="ro-RO"/>
        </w:rPr>
        <w:t xml:space="preserve"> </w:t>
      </w:r>
    </w:p>
    <w:p w:rsidR="00FA46F9" w:rsidRPr="006C3100" w:rsidRDefault="00FA46F9" w:rsidP="00FA46F9">
      <w:pPr>
        <w:ind w:firstLine="720"/>
        <w:jc w:val="both"/>
        <w:rPr>
          <w:sz w:val="28"/>
          <w:szCs w:val="28"/>
          <w:lang w:val="en-US"/>
        </w:rPr>
      </w:pPr>
    </w:p>
    <w:p w:rsidR="00FA46F9" w:rsidRDefault="00FA46F9" w:rsidP="00FA46F9">
      <w:pPr>
        <w:ind w:firstLine="720"/>
        <w:jc w:val="both"/>
        <w:rPr>
          <w:sz w:val="28"/>
          <w:szCs w:val="28"/>
          <w:lang w:val="en-US"/>
        </w:rPr>
      </w:pPr>
    </w:p>
    <w:p w:rsidR="006C3100" w:rsidRPr="006C3100" w:rsidRDefault="006C3100" w:rsidP="00FA46F9">
      <w:pPr>
        <w:ind w:firstLine="720"/>
        <w:jc w:val="both"/>
        <w:rPr>
          <w:sz w:val="28"/>
          <w:szCs w:val="28"/>
          <w:lang w:val="en-US"/>
        </w:rPr>
      </w:pP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6300"/>
        <w:gridCol w:w="1890"/>
      </w:tblGrid>
      <w:tr w:rsidR="00FA46F9" w:rsidRPr="006C3100" w:rsidTr="006C3100">
        <w:tc>
          <w:tcPr>
            <w:tcW w:w="630" w:type="dxa"/>
            <w:shd w:val="clear" w:color="auto" w:fill="auto"/>
          </w:tcPr>
          <w:p w:rsidR="00FA46F9" w:rsidRPr="006C3100" w:rsidRDefault="00EC22F4" w:rsidP="00612DE0">
            <w:pPr>
              <w:jc w:val="center"/>
              <w:rPr>
                <w:b/>
                <w:sz w:val="28"/>
                <w:szCs w:val="28"/>
                <w:lang w:val="ro-RO"/>
              </w:rPr>
            </w:pPr>
            <w:r w:rsidRPr="006C3100">
              <w:rPr>
                <w:b/>
                <w:sz w:val="28"/>
                <w:szCs w:val="28"/>
                <w:lang w:val="ro-RO"/>
              </w:rPr>
              <w:t>Nr</w:t>
            </w:r>
            <w:r w:rsidR="00FA46F9" w:rsidRPr="006C3100">
              <w:rPr>
                <w:b/>
                <w:sz w:val="28"/>
                <w:szCs w:val="28"/>
                <w:lang w:val="ro-RO"/>
              </w:rPr>
              <w:t xml:space="preserve">   </w:t>
            </w:r>
            <w:r w:rsidRPr="006C3100">
              <w:rPr>
                <w:b/>
                <w:sz w:val="28"/>
                <w:szCs w:val="28"/>
                <w:lang w:val="ro-RO"/>
              </w:rPr>
              <w:t>crt</w:t>
            </w:r>
          </w:p>
        </w:tc>
        <w:tc>
          <w:tcPr>
            <w:tcW w:w="1620" w:type="dxa"/>
            <w:shd w:val="clear" w:color="auto" w:fill="auto"/>
          </w:tcPr>
          <w:p w:rsidR="00FA46F9" w:rsidRPr="006C3100" w:rsidRDefault="00FA46F9" w:rsidP="00112E15">
            <w:pPr>
              <w:jc w:val="center"/>
              <w:rPr>
                <w:b/>
                <w:sz w:val="28"/>
                <w:szCs w:val="28"/>
                <w:lang w:val="ro-RO"/>
              </w:rPr>
            </w:pPr>
            <w:r w:rsidRPr="006C3100">
              <w:rPr>
                <w:b/>
                <w:sz w:val="28"/>
                <w:szCs w:val="28"/>
                <w:lang w:val="ro-RO"/>
              </w:rPr>
              <w:t xml:space="preserve">Autoritățile </w:t>
            </w:r>
          </w:p>
        </w:tc>
        <w:tc>
          <w:tcPr>
            <w:tcW w:w="6300" w:type="dxa"/>
            <w:shd w:val="clear" w:color="auto" w:fill="auto"/>
          </w:tcPr>
          <w:p w:rsidR="00FA46F9" w:rsidRPr="006C3100" w:rsidRDefault="00FA46F9" w:rsidP="00112E15">
            <w:pPr>
              <w:jc w:val="center"/>
              <w:rPr>
                <w:b/>
                <w:sz w:val="28"/>
                <w:szCs w:val="28"/>
                <w:lang w:val="ro-RO"/>
              </w:rPr>
            </w:pPr>
            <w:r w:rsidRPr="006C3100">
              <w:rPr>
                <w:b/>
                <w:sz w:val="28"/>
                <w:szCs w:val="28"/>
                <w:lang w:val="ro-RO"/>
              </w:rPr>
              <w:t>Obiecţii /propuneri</w:t>
            </w:r>
          </w:p>
          <w:p w:rsidR="00FA46F9" w:rsidRPr="006C3100" w:rsidRDefault="00FA46F9" w:rsidP="00112E15">
            <w:pPr>
              <w:jc w:val="center"/>
              <w:rPr>
                <w:b/>
                <w:sz w:val="28"/>
                <w:szCs w:val="28"/>
                <w:lang w:val="ro-RO"/>
              </w:rPr>
            </w:pPr>
          </w:p>
        </w:tc>
        <w:tc>
          <w:tcPr>
            <w:tcW w:w="1890" w:type="dxa"/>
            <w:shd w:val="clear" w:color="auto" w:fill="auto"/>
          </w:tcPr>
          <w:p w:rsidR="00FA46F9" w:rsidRPr="006C3100" w:rsidRDefault="00FA46F9" w:rsidP="00112E15">
            <w:pPr>
              <w:jc w:val="center"/>
              <w:rPr>
                <w:b/>
                <w:sz w:val="28"/>
                <w:szCs w:val="28"/>
                <w:lang w:val="ro-RO"/>
              </w:rPr>
            </w:pPr>
            <w:r w:rsidRPr="006C3100">
              <w:rPr>
                <w:b/>
                <w:sz w:val="28"/>
                <w:szCs w:val="28"/>
                <w:lang w:val="ro-RO"/>
              </w:rPr>
              <w:t>Rezultatul examinării</w:t>
            </w:r>
          </w:p>
        </w:tc>
      </w:tr>
      <w:tr w:rsidR="00E41D4E" w:rsidRPr="006C3100" w:rsidTr="006C3100">
        <w:trPr>
          <w:trHeight w:val="1794"/>
        </w:trPr>
        <w:tc>
          <w:tcPr>
            <w:tcW w:w="630" w:type="dxa"/>
            <w:shd w:val="clear" w:color="auto" w:fill="auto"/>
          </w:tcPr>
          <w:p w:rsidR="00E41D4E" w:rsidRPr="006C3100" w:rsidRDefault="00E41D4E" w:rsidP="00112E15">
            <w:pPr>
              <w:jc w:val="center"/>
              <w:rPr>
                <w:sz w:val="28"/>
                <w:szCs w:val="28"/>
                <w:lang w:val="ro-RO"/>
              </w:rPr>
            </w:pPr>
            <w:r w:rsidRPr="006C3100">
              <w:rPr>
                <w:sz w:val="28"/>
                <w:szCs w:val="28"/>
                <w:lang w:val="ro-RO"/>
              </w:rPr>
              <w:t>1</w:t>
            </w:r>
            <w:r w:rsidR="00074CE7">
              <w:rPr>
                <w:sz w:val="28"/>
                <w:szCs w:val="28"/>
                <w:lang w:val="ro-RO"/>
              </w:rPr>
              <w:t>.</w:t>
            </w:r>
          </w:p>
        </w:tc>
        <w:tc>
          <w:tcPr>
            <w:tcW w:w="1620" w:type="dxa"/>
            <w:shd w:val="clear" w:color="auto" w:fill="auto"/>
          </w:tcPr>
          <w:p w:rsidR="00E41D4E" w:rsidRPr="006C3100" w:rsidRDefault="00E41D4E" w:rsidP="00112E15">
            <w:pPr>
              <w:jc w:val="both"/>
              <w:rPr>
                <w:sz w:val="28"/>
                <w:szCs w:val="28"/>
                <w:lang w:val="ro-RO"/>
              </w:rPr>
            </w:pPr>
            <w:r w:rsidRPr="006C3100">
              <w:rPr>
                <w:sz w:val="28"/>
                <w:szCs w:val="28"/>
                <w:lang w:val="ro-RO"/>
              </w:rPr>
              <w:t>Ministerul Finanţelor</w:t>
            </w:r>
          </w:p>
        </w:tc>
        <w:tc>
          <w:tcPr>
            <w:tcW w:w="6300" w:type="dxa"/>
            <w:shd w:val="clear" w:color="auto" w:fill="auto"/>
          </w:tcPr>
          <w:p w:rsidR="006C3100" w:rsidRPr="006C3100" w:rsidRDefault="00E41D4E" w:rsidP="00E77C32">
            <w:pPr>
              <w:tabs>
                <w:tab w:val="left" w:pos="3425"/>
              </w:tabs>
              <w:ind w:right="-18"/>
              <w:jc w:val="both"/>
              <w:rPr>
                <w:sz w:val="28"/>
                <w:szCs w:val="28"/>
                <w:lang w:val="ro-RO"/>
              </w:rPr>
            </w:pPr>
            <w:r w:rsidRPr="006C3100">
              <w:rPr>
                <w:sz w:val="28"/>
                <w:szCs w:val="28"/>
                <w:lang w:val="ro-RO"/>
              </w:rPr>
              <w:t>Se consideră necesară efectuarea modificărilor de rigoare la anexa nr.22</w:t>
            </w:r>
            <w:r w:rsidRPr="006C3100">
              <w:rPr>
                <w:sz w:val="28"/>
                <w:szCs w:val="28"/>
                <w:vertAlign w:val="superscript"/>
                <w:lang w:val="ro-RO"/>
              </w:rPr>
              <w:t>12</w:t>
            </w:r>
            <w:r w:rsidRPr="006C3100">
              <w:rPr>
                <w:sz w:val="28"/>
                <w:szCs w:val="28"/>
                <w:lang w:val="ro-RO"/>
              </w:rPr>
              <w:t xml:space="preserve"> din Hotărîrea Guvernului nr.351 din 23 martie 2005 „cu privire la aprobarea listelor bunurilor imobile proprietate publică a statului și la transmiterea unor bunuri imobile” prin excluderea poziției 36.</w:t>
            </w:r>
          </w:p>
        </w:tc>
        <w:tc>
          <w:tcPr>
            <w:tcW w:w="1890" w:type="dxa"/>
            <w:shd w:val="clear" w:color="auto" w:fill="auto"/>
          </w:tcPr>
          <w:p w:rsidR="00E41D4E" w:rsidRPr="006C3100" w:rsidRDefault="00E41D4E" w:rsidP="008E51A0">
            <w:pPr>
              <w:jc w:val="both"/>
              <w:rPr>
                <w:sz w:val="28"/>
                <w:szCs w:val="28"/>
                <w:lang w:val="ro-RO"/>
              </w:rPr>
            </w:pPr>
            <w:r w:rsidRPr="006C3100">
              <w:rPr>
                <w:sz w:val="28"/>
                <w:szCs w:val="28"/>
                <w:lang w:val="ro-RO"/>
              </w:rPr>
              <w:t>Se acceptă.</w:t>
            </w:r>
          </w:p>
        </w:tc>
      </w:tr>
      <w:tr w:rsidR="00A13E6D" w:rsidRPr="006C3100" w:rsidTr="006C3100">
        <w:tc>
          <w:tcPr>
            <w:tcW w:w="630" w:type="dxa"/>
            <w:vMerge w:val="restart"/>
            <w:shd w:val="clear" w:color="auto" w:fill="auto"/>
          </w:tcPr>
          <w:p w:rsidR="00A13E6D" w:rsidRPr="006C3100" w:rsidRDefault="00A13E6D" w:rsidP="00112E15">
            <w:pPr>
              <w:jc w:val="center"/>
              <w:rPr>
                <w:sz w:val="28"/>
                <w:szCs w:val="28"/>
                <w:lang w:val="ro-RO"/>
              </w:rPr>
            </w:pPr>
            <w:r w:rsidRPr="006C3100">
              <w:rPr>
                <w:sz w:val="28"/>
                <w:szCs w:val="28"/>
                <w:lang w:val="ro-RO"/>
              </w:rPr>
              <w:t>2</w:t>
            </w:r>
            <w:r w:rsidR="00074CE7">
              <w:rPr>
                <w:sz w:val="28"/>
                <w:szCs w:val="28"/>
                <w:lang w:val="ro-RO"/>
              </w:rPr>
              <w:t>.</w:t>
            </w:r>
          </w:p>
        </w:tc>
        <w:tc>
          <w:tcPr>
            <w:tcW w:w="1620" w:type="dxa"/>
            <w:vMerge w:val="restart"/>
            <w:shd w:val="clear" w:color="auto" w:fill="auto"/>
          </w:tcPr>
          <w:p w:rsidR="00A13E6D" w:rsidRPr="006C3100" w:rsidRDefault="00A13E6D" w:rsidP="00112E15">
            <w:pPr>
              <w:rPr>
                <w:sz w:val="28"/>
                <w:szCs w:val="28"/>
                <w:lang w:val="ro-RO"/>
              </w:rPr>
            </w:pPr>
            <w:r w:rsidRPr="006C3100">
              <w:rPr>
                <w:sz w:val="28"/>
                <w:szCs w:val="28"/>
                <w:lang w:val="ro-RO"/>
              </w:rPr>
              <w:t xml:space="preserve">Ministerul Economiei </w:t>
            </w:r>
          </w:p>
        </w:tc>
        <w:tc>
          <w:tcPr>
            <w:tcW w:w="6300" w:type="dxa"/>
            <w:shd w:val="clear" w:color="auto" w:fill="auto"/>
          </w:tcPr>
          <w:p w:rsidR="006C3100" w:rsidRPr="006C3100" w:rsidRDefault="00E41D4E" w:rsidP="00E77C32">
            <w:pPr>
              <w:tabs>
                <w:tab w:val="left" w:pos="0"/>
              </w:tabs>
              <w:ind w:right="72"/>
              <w:jc w:val="both"/>
              <w:rPr>
                <w:sz w:val="28"/>
                <w:szCs w:val="28"/>
                <w:lang w:val="ro-RO"/>
              </w:rPr>
            </w:pPr>
            <w:r w:rsidRPr="006C3100">
              <w:rPr>
                <w:sz w:val="28"/>
                <w:szCs w:val="28"/>
                <w:lang w:val="ro-RO"/>
              </w:rPr>
              <w:t xml:space="preserve">În pct.1 al proiectului hotărîrii sintagma „în proprietatea publică a unității administrativ-teritoriale a satului Dănceni, raionul Ialoveni, bunurilr imobile ale Școlii Profesionale” </w:t>
            </w:r>
            <w:r w:rsidR="0012555F" w:rsidRPr="006C3100">
              <w:rPr>
                <w:sz w:val="28"/>
                <w:szCs w:val="28"/>
                <w:lang w:val="ro-RO"/>
              </w:rPr>
              <w:t xml:space="preserve">se </w:t>
            </w:r>
            <w:r w:rsidRPr="006C3100">
              <w:rPr>
                <w:sz w:val="28"/>
                <w:szCs w:val="28"/>
                <w:lang w:val="ro-RO"/>
              </w:rPr>
              <w:t>consideră oportună a fi substituită cu sintagma „în proprietatea publică a satului Dănceni, raionul Ialoveni, bunurile imobile gestionate de Școala Profesională”.</w:t>
            </w:r>
          </w:p>
        </w:tc>
        <w:tc>
          <w:tcPr>
            <w:tcW w:w="1890" w:type="dxa"/>
            <w:shd w:val="clear" w:color="auto" w:fill="auto"/>
          </w:tcPr>
          <w:p w:rsidR="00A13E6D" w:rsidRPr="006C3100" w:rsidRDefault="00A13E6D" w:rsidP="00A13E6D">
            <w:pPr>
              <w:jc w:val="both"/>
              <w:rPr>
                <w:sz w:val="28"/>
                <w:szCs w:val="28"/>
                <w:lang w:val="ro-RO"/>
              </w:rPr>
            </w:pPr>
            <w:r w:rsidRPr="006C3100">
              <w:rPr>
                <w:sz w:val="28"/>
                <w:szCs w:val="28"/>
                <w:lang w:val="ro-RO"/>
              </w:rPr>
              <w:t>Se acceptă.</w:t>
            </w:r>
          </w:p>
        </w:tc>
      </w:tr>
      <w:tr w:rsidR="0012555F" w:rsidRPr="006C3100" w:rsidTr="006C3100">
        <w:tc>
          <w:tcPr>
            <w:tcW w:w="630" w:type="dxa"/>
            <w:vMerge/>
            <w:shd w:val="clear" w:color="auto" w:fill="auto"/>
          </w:tcPr>
          <w:p w:rsidR="0012555F" w:rsidRPr="006C3100" w:rsidRDefault="0012555F" w:rsidP="0012555F">
            <w:pPr>
              <w:jc w:val="center"/>
              <w:rPr>
                <w:sz w:val="28"/>
                <w:szCs w:val="28"/>
                <w:lang w:val="ro-RO"/>
              </w:rPr>
            </w:pPr>
          </w:p>
        </w:tc>
        <w:tc>
          <w:tcPr>
            <w:tcW w:w="1620" w:type="dxa"/>
            <w:vMerge/>
            <w:shd w:val="clear" w:color="auto" w:fill="auto"/>
          </w:tcPr>
          <w:p w:rsidR="0012555F" w:rsidRPr="006C3100" w:rsidRDefault="0012555F" w:rsidP="0012555F">
            <w:pPr>
              <w:rPr>
                <w:sz w:val="28"/>
                <w:szCs w:val="28"/>
                <w:lang w:val="ro-RO"/>
              </w:rPr>
            </w:pPr>
          </w:p>
        </w:tc>
        <w:tc>
          <w:tcPr>
            <w:tcW w:w="6300" w:type="dxa"/>
            <w:shd w:val="clear" w:color="auto" w:fill="auto"/>
          </w:tcPr>
          <w:p w:rsidR="006C3100" w:rsidRPr="006C3100" w:rsidRDefault="0012555F" w:rsidP="00E77C32">
            <w:pPr>
              <w:tabs>
                <w:tab w:val="left" w:pos="0"/>
              </w:tabs>
              <w:ind w:right="72"/>
              <w:jc w:val="both"/>
              <w:rPr>
                <w:sz w:val="28"/>
                <w:szCs w:val="28"/>
                <w:lang w:val="ro-RO"/>
              </w:rPr>
            </w:pPr>
            <w:r w:rsidRPr="006C3100">
              <w:rPr>
                <w:sz w:val="28"/>
                <w:szCs w:val="28"/>
                <w:lang w:val="ro-RO"/>
              </w:rPr>
              <w:t>Se consideră judicios redactarea pct.3 al proiectului hotărîrii, în modul următor: „3. Modificarea documentației cadastrale va fi asigurată de către titularul de drept, în conformitate cu prevederile prezentei hotărîri și în modul stabilit de lege”.</w:t>
            </w:r>
          </w:p>
        </w:tc>
        <w:tc>
          <w:tcPr>
            <w:tcW w:w="1890" w:type="dxa"/>
            <w:shd w:val="clear" w:color="auto" w:fill="auto"/>
          </w:tcPr>
          <w:p w:rsidR="0012555F" w:rsidRPr="006C3100" w:rsidRDefault="0012555F" w:rsidP="0012555F">
            <w:pPr>
              <w:jc w:val="both"/>
              <w:rPr>
                <w:sz w:val="28"/>
                <w:szCs w:val="28"/>
                <w:lang w:val="ro-RO"/>
              </w:rPr>
            </w:pPr>
            <w:r w:rsidRPr="006C3100">
              <w:rPr>
                <w:sz w:val="28"/>
                <w:szCs w:val="28"/>
                <w:lang w:val="ro-RO"/>
              </w:rPr>
              <w:t>Se acceptă.</w:t>
            </w:r>
          </w:p>
        </w:tc>
      </w:tr>
      <w:tr w:rsidR="006C3100" w:rsidRPr="006C3100" w:rsidTr="006C3100">
        <w:tc>
          <w:tcPr>
            <w:tcW w:w="630" w:type="dxa"/>
            <w:vMerge/>
            <w:shd w:val="clear" w:color="auto" w:fill="auto"/>
          </w:tcPr>
          <w:p w:rsidR="006C3100" w:rsidRPr="006C3100" w:rsidRDefault="006C3100" w:rsidP="006C3100">
            <w:pPr>
              <w:jc w:val="center"/>
              <w:rPr>
                <w:sz w:val="28"/>
                <w:szCs w:val="28"/>
                <w:lang w:val="ro-RO"/>
              </w:rPr>
            </w:pPr>
          </w:p>
        </w:tc>
        <w:tc>
          <w:tcPr>
            <w:tcW w:w="1620" w:type="dxa"/>
            <w:vMerge/>
            <w:shd w:val="clear" w:color="auto" w:fill="auto"/>
          </w:tcPr>
          <w:p w:rsidR="006C3100" w:rsidRPr="006C3100" w:rsidRDefault="006C3100" w:rsidP="006C3100">
            <w:pPr>
              <w:rPr>
                <w:sz w:val="28"/>
                <w:szCs w:val="28"/>
                <w:lang w:val="ro-RO"/>
              </w:rPr>
            </w:pPr>
          </w:p>
        </w:tc>
        <w:tc>
          <w:tcPr>
            <w:tcW w:w="6300" w:type="dxa"/>
            <w:shd w:val="clear" w:color="auto" w:fill="auto"/>
          </w:tcPr>
          <w:p w:rsidR="006C3100" w:rsidRPr="006C3100" w:rsidRDefault="006C3100" w:rsidP="00E77C32">
            <w:pPr>
              <w:tabs>
                <w:tab w:val="left" w:pos="0"/>
              </w:tabs>
              <w:ind w:right="72"/>
              <w:jc w:val="both"/>
              <w:rPr>
                <w:sz w:val="28"/>
                <w:szCs w:val="28"/>
                <w:lang w:val="ro-RO"/>
              </w:rPr>
            </w:pPr>
            <w:r w:rsidRPr="006C3100">
              <w:rPr>
                <w:sz w:val="28"/>
                <w:szCs w:val="28"/>
                <w:lang w:val="ro-RO"/>
              </w:rPr>
              <w:t>Se consideră necesară completarea proiectului hotărîrii cu un punct care ar prevedea operarea modificărilor de rigoare la Anexa nr.22</w:t>
            </w:r>
            <w:r w:rsidRPr="006C3100">
              <w:rPr>
                <w:sz w:val="28"/>
                <w:szCs w:val="28"/>
                <w:vertAlign w:val="superscript"/>
                <w:lang w:val="ro-RO"/>
              </w:rPr>
              <w:t>12</w:t>
            </w:r>
            <w:r w:rsidRPr="006C3100">
              <w:rPr>
                <w:sz w:val="28"/>
                <w:szCs w:val="28"/>
                <w:lang w:val="ro-RO"/>
              </w:rPr>
              <w:t xml:space="preserve"> 22</w:t>
            </w:r>
            <w:r w:rsidRPr="006C3100">
              <w:rPr>
                <w:sz w:val="28"/>
                <w:szCs w:val="28"/>
                <w:vertAlign w:val="superscript"/>
                <w:lang w:val="ro-RO"/>
              </w:rPr>
              <w:t>12</w:t>
            </w:r>
            <w:r w:rsidRPr="006C3100">
              <w:rPr>
                <w:sz w:val="28"/>
                <w:szCs w:val="28"/>
                <w:lang w:val="ro-RO"/>
              </w:rPr>
              <w:t xml:space="preserve"> din Hotărîrea Guvernului nr.351 din 23 martie 2005 „cu privire la aprobarea listelor bunurilor imobile proprietate publică a statului și la transmiterea unor bunuri imobile”.</w:t>
            </w:r>
          </w:p>
        </w:tc>
        <w:tc>
          <w:tcPr>
            <w:tcW w:w="1890" w:type="dxa"/>
            <w:shd w:val="clear" w:color="auto" w:fill="auto"/>
          </w:tcPr>
          <w:p w:rsidR="006C3100" w:rsidRPr="006C3100" w:rsidRDefault="006C3100" w:rsidP="006C3100">
            <w:pPr>
              <w:jc w:val="both"/>
              <w:rPr>
                <w:sz w:val="28"/>
                <w:szCs w:val="28"/>
                <w:lang w:val="ro-RO"/>
              </w:rPr>
            </w:pPr>
            <w:r w:rsidRPr="006C3100">
              <w:rPr>
                <w:sz w:val="28"/>
                <w:szCs w:val="28"/>
                <w:lang w:val="ro-RO"/>
              </w:rPr>
              <w:t>Se acceptă.</w:t>
            </w:r>
          </w:p>
        </w:tc>
      </w:tr>
      <w:tr w:rsidR="006C3100" w:rsidRPr="006C3100" w:rsidTr="006C3100">
        <w:trPr>
          <w:trHeight w:val="1070"/>
        </w:trPr>
        <w:tc>
          <w:tcPr>
            <w:tcW w:w="630" w:type="dxa"/>
            <w:vMerge/>
            <w:shd w:val="clear" w:color="auto" w:fill="auto"/>
          </w:tcPr>
          <w:p w:rsidR="006C3100" w:rsidRPr="006C3100" w:rsidRDefault="006C3100" w:rsidP="006C3100">
            <w:pPr>
              <w:jc w:val="center"/>
              <w:rPr>
                <w:sz w:val="28"/>
                <w:szCs w:val="28"/>
                <w:lang w:val="ro-RO"/>
              </w:rPr>
            </w:pPr>
          </w:p>
        </w:tc>
        <w:tc>
          <w:tcPr>
            <w:tcW w:w="1620" w:type="dxa"/>
            <w:vMerge/>
            <w:shd w:val="clear" w:color="auto" w:fill="auto"/>
          </w:tcPr>
          <w:p w:rsidR="006C3100" w:rsidRPr="006C3100" w:rsidRDefault="006C3100" w:rsidP="006C3100">
            <w:pPr>
              <w:rPr>
                <w:sz w:val="28"/>
                <w:szCs w:val="28"/>
                <w:lang w:val="ro-RO"/>
              </w:rPr>
            </w:pPr>
          </w:p>
        </w:tc>
        <w:tc>
          <w:tcPr>
            <w:tcW w:w="6300" w:type="dxa"/>
            <w:shd w:val="clear" w:color="auto" w:fill="auto"/>
          </w:tcPr>
          <w:p w:rsidR="006C3100" w:rsidRPr="006C3100" w:rsidRDefault="006C3100" w:rsidP="00E77C32">
            <w:pPr>
              <w:jc w:val="both"/>
              <w:rPr>
                <w:sz w:val="28"/>
                <w:szCs w:val="28"/>
                <w:lang w:val="ro-RO"/>
              </w:rPr>
            </w:pPr>
            <w:r w:rsidRPr="006C3100">
              <w:rPr>
                <w:sz w:val="28"/>
                <w:szCs w:val="28"/>
                <w:lang w:val="ro-RO"/>
              </w:rPr>
              <w:t xml:space="preserve">Se propune excluderea Viceprim-ministrului, ministrului economiei, din formula de atestare a autenticității actului normativ, deoarece aplicarea prevederilor hotărîrii în cauză nu ține de competența Ministerului Economiei și bazîndu-ne pe alin.(4) art. 102 al Constituției Republicii Moldova, art. 30 din Legea nr.64-XII din 31 mai 1990 „Cu privire la Guvern”, alin.(2) din art. 55 al Legii nr. 317-XV din </w:t>
            </w:r>
            <w:r w:rsidRPr="006C3100">
              <w:rPr>
                <w:sz w:val="28"/>
                <w:szCs w:val="28"/>
                <w:lang w:val="ro-RO"/>
              </w:rPr>
              <w:lastRenderedPageBreak/>
              <w:t>18 iulie 2003 „Privind actele normative ale Guvernului și ale altor autorități ale administrației publice centrale și locale” și subpct.3) din pct. 1 al Hotărîrii Guvernului nr.605 din 16 august 2013 „Cu privire la atribuțiile Prim-ministrului și ale viceprim-miniștrilor”.</w:t>
            </w:r>
          </w:p>
        </w:tc>
        <w:tc>
          <w:tcPr>
            <w:tcW w:w="1890" w:type="dxa"/>
            <w:shd w:val="clear" w:color="auto" w:fill="auto"/>
          </w:tcPr>
          <w:p w:rsidR="006C3100" w:rsidRPr="006C3100" w:rsidRDefault="006C3100" w:rsidP="006C3100">
            <w:pPr>
              <w:jc w:val="both"/>
              <w:rPr>
                <w:sz w:val="28"/>
                <w:szCs w:val="28"/>
                <w:lang w:val="ro-RO"/>
              </w:rPr>
            </w:pPr>
            <w:r w:rsidRPr="006C3100">
              <w:rPr>
                <w:sz w:val="28"/>
                <w:szCs w:val="28"/>
                <w:lang w:val="ro-RO"/>
              </w:rPr>
              <w:lastRenderedPageBreak/>
              <w:t>Se acceptă.</w:t>
            </w:r>
          </w:p>
        </w:tc>
      </w:tr>
      <w:tr w:rsidR="006C3100" w:rsidRPr="006C3100" w:rsidTr="006C3100">
        <w:tc>
          <w:tcPr>
            <w:tcW w:w="630" w:type="dxa"/>
            <w:shd w:val="clear" w:color="auto" w:fill="auto"/>
          </w:tcPr>
          <w:p w:rsidR="006C3100" w:rsidRPr="006C3100" w:rsidRDefault="006C3100" w:rsidP="006C3100">
            <w:pPr>
              <w:jc w:val="center"/>
              <w:rPr>
                <w:sz w:val="28"/>
                <w:szCs w:val="28"/>
                <w:lang w:val="ro-RO"/>
              </w:rPr>
            </w:pPr>
            <w:r w:rsidRPr="006C3100">
              <w:rPr>
                <w:sz w:val="28"/>
                <w:szCs w:val="28"/>
                <w:lang w:val="ro-RO"/>
              </w:rPr>
              <w:lastRenderedPageBreak/>
              <w:t>3</w:t>
            </w:r>
            <w:r w:rsidR="00074CE7">
              <w:rPr>
                <w:sz w:val="28"/>
                <w:szCs w:val="28"/>
                <w:lang w:val="ro-RO"/>
              </w:rPr>
              <w:t>.</w:t>
            </w:r>
          </w:p>
        </w:tc>
        <w:tc>
          <w:tcPr>
            <w:tcW w:w="1620" w:type="dxa"/>
            <w:shd w:val="clear" w:color="auto" w:fill="auto"/>
          </w:tcPr>
          <w:p w:rsidR="006C3100" w:rsidRPr="006C3100" w:rsidRDefault="006C3100" w:rsidP="006C3100">
            <w:pPr>
              <w:rPr>
                <w:sz w:val="28"/>
                <w:szCs w:val="28"/>
                <w:lang w:val="ro-RO"/>
              </w:rPr>
            </w:pPr>
            <w:r w:rsidRPr="006C3100">
              <w:rPr>
                <w:sz w:val="28"/>
                <w:szCs w:val="28"/>
                <w:lang w:val="ro-RO"/>
              </w:rPr>
              <w:t>Agenția Relații Funciare și Cadastru</w:t>
            </w:r>
          </w:p>
        </w:tc>
        <w:tc>
          <w:tcPr>
            <w:tcW w:w="6300" w:type="dxa"/>
            <w:shd w:val="clear" w:color="auto" w:fill="auto"/>
          </w:tcPr>
          <w:p w:rsidR="006C3100" w:rsidRPr="006C3100" w:rsidRDefault="006C3100" w:rsidP="006C3100">
            <w:pPr>
              <w:rPr>
                <w:sz w:val="28"/>
                <w:szCs w:val="28"/>
                <w:lang w:val="ro-RO"/>
              </w:rPr>
            </w:pPr>
            <w:r w:rsidRPr="006C3100">
              <w:rPr>
                <w:sz w:val="28"/>
                <w:szCs w:val="28"/>
                <w:lang w:val="ro-RO"/>
              </w:rPr>
              <w:t>Lipsa obiecțiilor și propunerilor.</w:t>
            </w:r>
          </w:p>
        </w:tc>
        <w:tc>
          <w:tcPr>
            <w:tcW w:w="1890" w:type="dxa"/>
            <w:shd w:val="clear" w:color="auto" w:fill="auto"/>
          </w:tcPr>
          <w:p w:rsidR="006C3100" w:rsidRPr="006C3100" w:rsidRDefault="006C3100" w:rsidP="006C3100">
            <w:pPr>
              <w:jc w:val="both"/>
              <w:rPr>
                <w:sz w:val="28"/>
                <w:szCs w:val="28"/>
                <w:lang w:val="ro-RO"/>
              </w:rPr>
            </w:pPr>
            <w:r w:rsidRPr="006C3100">
              <w:rPr>
                <w:sz w:val="28"/>
                <w:szCs w:val="28"/>
                <w:lang w:val="ro-RO"/>
              </w:rPr>
              <w:t>Se ia act</w:t>
            </w:r>
            <w:r w:rsidR="00E77C32">
              <w:rPr>
                <w:sz w:val="28"/>
                <w:szCs w:val="28"/>
                <w:lang w:val="ro-RO"/>
              </w:rPr>
              <w:t>.</w:t>
            </w:r>
          </w:p>
        </w:tc>
      </w:tr>
      <w:tr w:rsidR="00E77C32" w:rsidRPr="00E77C32" w:rsidTr="006C3100">
        <w:tc>
          <w:tcPr>
            <w:tcW w:w="630" w:type="dxa"/>
            <w:shd w:val="clear" w:color="auto" w:fill="auto"/>
          </w:tcPr>
          <w:p w:rsidR="00E77C32" w:rsidRPr="006C3100" w:rsidRDefault="00E77C32" w:rsidP="006C3100">
            <w:pPr>
              <w:jc w:val="center"/>
              <w:rPr>
                <w:sz w:val="28"/>
                <w:szCs w:val="28"/>
                <w:lang w:val="ro-RO"/>
              </w:rPr>
            </w:pPr>
            <w:r>
              <w:rPr>
                <w:sz w:val="28"/>
                <w:szCs w:val="28"/>
                <w:lang w:val="ro-RO"/>
              </w:rPr>
              <w:t>4</w:t>
            </w:r>
            <w:r w:rsidR="00074CE7">
              <w:rPr>
                <w:sz w:val="28"/>
                <w:szCs w:val="28"/>
                <w:lang w:val="ro-RO"/>
              </w:rPr>
              <w:t>.</w:t>
            </w:r>
          </w:p>
        </w:tc>
        <w:tc>
          <w:tcPr>
            <w:tcW w:w="1620" w:type="dxa"/>
            <w:shd w:val="clear" w:color="auto" w:fill="auto"/>
          </w:tcPr>
          <w:p w:rsidR="00E77C32" w:rsidRPr="006C3100" w:rsidRDefault="00E77C32" w:rsidP="006C3100">
            <w:pPr>
              <w:rPr>
                <w:sz w:val="28"/>
                <w:szCs w:val="28"/>
                <w:lang w:val="ro-RO"/>
              </w:rPr>
            </w:pPr>
            <w:r>
              <w:rPr>
                <w:sz w:val="28"/>
                <w:szCs w:val="28"/>
                <w:lang w:val="ro-RO"/>
              </w:rPr>
              <w:t>Centrul Național Anticorupție</w:t>
            </w:r>
          </w:p>
        </w:tc>
        <w:tc>
          <w:tcPr>
            <w:tcW w:w="6300" w:type="dxa"/>
            <w:shd w:val="clear" w:color="auto" w:fill="auto"/>
          </w:tcPr>
          <w:p w:rsidR="00E77C32" w:rsidRDefault="00E77C32" w:rsidP="006C3100">
            <w:pPr>
              <w:rPr>
                <w:sz w:val="28"/>
                <w:szCs w:val="28"/>
                <w:lang w:val="ro-RO"/>
              </w:rPr>
            </w:pPr>
            <w:r>
              <w:rPr>
                <w:sz w:val="28"/>
                <w:szCs w:val="28"/>
                <w:lang w:val="ro-RO"/>
              </w:rPr>
              <w:t>Proiectul a fost elaborat de către Ministerul Educației, Culturii și Cercetării și are drept scop transmiterea bunurilor imobile ale Școlii Profesionale nr.9 din mun. Chișinău, amplasate în satul Dănceni, raionul Ialoveni, din proprietatea publică a statului în proprietatea publică a unității administrativ-teritoriale a satului Dănceni pentru a fi utilizate în scopuri instructiv-educative și sociale.</w:t>
            </w:r>
          </w:p>
          <w:p w:rsidR="00E77C32" w:rsidRDefault="00E77C32" w:rsidP="006C3100">
            <w:pPr>
              <w:rPr>
                <w:sz w:val="28"/>
                <w:szCs w:val="28"/>
                <w:lang w:val="ro-RO"/>
              </w:rPr>
            </w:pPr>
            <w:r>
              <w:rPr>
                <w:sz w:val="28"/>
                <w:szCs w:val="28"/>
                <w:lang w:val="ro-RO"/>
              </w:rPr>
              <w:t>Argumentele prezentate în nota informativă justifică soluțiile proiectului. Deși prevederile proiectului sunt conforme interesului public, în cadrul procesului de elaborare nu au fost respectate rigorilor de transparență decizională.</w:t>
            </w:r>
          </w:p>
          <w:p w:rsidR="00E77C32" w:rsidRPr="006C3100" w:rsidRDefault="00977A2A" w:rsidP="006C3100">
            <w:pPr>
              <w:rPr>
                <w:sz w:val="28"/>
                <w:szCs w:val="28"/>
                <w:lang w:val="ro-RO"/>
              </w:rPr>
            </w:pPr>
            <w:r>
              <w:rPr>
                <w:sz w:val="28"/>
                <w:szCs w:val="28"/>
                <w:lang w:val="ro-RO"/>
              </w:rPr>
              <w:t>Proiec</w:t>
            </w:r>
            <w:r w:rsidR="00E77C32">
              <w:rPr>
                <w:sz w:val="28"/>
                <w:szCs w:val="28"/>
                <w:lang w:val="ro-RO"/>
              </w:rPr>
              <w:t>tul nu conține riscuri și factori de corupție.</w:t>
            </w:r>
          </w:p>
        </w:tc>
        <w:tc>
          <w:tcPr>
            <w:tcW w:w="1890" w:type="dxa"/>
            <w:shd w:val="clear" w:color="auto" w:fill="auto"/>
          </w:tcPr>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p>
          <w:p w:rsidR="00E77C32" w:rsidRDefault="00E77C32" w:rsidP="006C3100">
            <w:pPr>
              <w:jc w:val="both"/>
              <w:rPr>
                <w:sz w:val="28"/>
                <w:szCs w:val="28"/>
                <w:lang w:val="ro-RO"/>
              </w:rPr>
            </w:pPr>
            <w:r>
              <w:rPr>
                <w:sz w:val="28"/>
                <w:szCs w:val="28"/>
                <w:lang w:val="ro-RO"/>
              </w:rPr>
              <w:t>Se acceptă.</w:t>
            </w:r>
          </w:p>
          <w:p w:rsidR="00E77C32" w:rsidRPr="006C3100" w:rsidRDefault="00E77C32" w:rsidP="006C3100">
            <w:pPr>
              <w:jc w:val="both"/>
              <w:rPr>
                <w:sz w:val="28"/>
                <w:szCs w:val="28"/>
                <w:lang w:val="ro-RO"/>
              </w:rPr>
            </w:pPr>
          </w:p>
        </w:tc>
      </w:tr>
      <w:tr w:rsidR="00074CE7" w:rsidRPr="00074CE7" w:rsidTr="006C3100">
        <w:tc>
          <w:tcPr>
            <w:tcW w:w="630" w:type="dxa"/>
            <w:shd w:val="clear" w:color="auto" w:fill="auto"/>
          </w:tcPr>
          <w:p w:rsidR="00074CE7" w:rsidRDefault="00074CE7" w:rsidP="006C3100">
            <w:pPr>
              <w:jc w:val="center"/>
              <w:rPr>
                <w:sz w:val="28"/>
                <w:szCs w:val="28"/>
                <w:lang w:val="ro-RO"/>
              </w:rPr>
            </w:pPr>
            <w:r>
              <w:rPr>
                <w:sz w:val="28"/>
                <w:szCs w:val="28"/>
                <w:lang w:val="ro-RO"/>
              </w:rPr>
              <w:t>5.</w:t>
            </w:r>
          </w:p>
        </w:tc>
        <w:tc>
          <w:tcPr>
            <w:tcW w:w="1620" w:type="dxa"/>
            <w:shd w:val="clear" w:color="auto" w:fill="auto"/>
          </w:tcPr>
          <w:p w:rsidR="00074CE7" w:rsidRDefault="00074CE7" w:rsidP="006C3100">
            <w:pPr>
              <w:rPr>
                <w:sz w:val="28"/>
                <w:szCs w:val="28"/>
                <w:lang w:val="ro-RO"/>
              </w:rPr>
            </w:pPr>
            <w:r>
              <w:rPr>
                <w:sz w:val="28"/>
                <w:szCs w:val="28"/>
                <w:lang w:val="ro-RO"/>
              </w:rPr>
              <w:t>Ministerul Justiției</w:t>
            </w:r>
          </w:p>
        </w:tc>
        <w:tc>
          <w:tcPr>
            <w:tcW w:w="6300" w:type="dxa"/>
            <w:shd w:val="clear" w:color="auto" w:fill="auto"/>
          </w:tcPr>
          <w:p w:rsidR="00074CE7" w:rsidRDefault="00074CE7" w:rsidP="006C3100">
            <w:pPr>
              <w:rPr>
                <w:sz w:val="28"/>
                <w:szCs w:val="28"/>
                <w:lang w:val="ro-RO"/>
              </w:rPr>
            </w:pPr>
            <w:r>
              <w:rPr>
                <w:sz w:val="28"/>
                <w:szCs w:val="28"/>
                <w:lang w:val="ro-RO"/>
              </w:rPr>
              <w:t>Lipsa propunerilor și obiecțiilor de ordin juridic.</w:t>
            </w:r>
          </w:p>
        </w:tc>
        <w:tc>
          <w:tcPr>
            <w:tcW w:w="1890" w:type="dxa"/>
            <w:shd w:val="clear" w:color="auto" w:fill="auto"/>
          </w:tcPr>
          <w:p w:rsidR="00074CE7" w:rsidRDefault="00074CE7" w:rsidP="006C3100">
            <w:pPr>
              <w:jc w:val="both"/>
              <w:rPr>
                <w:sz w:val="28"/>
                <w:szCs w:val="28"/>
                <w:lang w:val="ro-RO"/>
              </w:rPr>
            </w:pPr>
            <w:r>
              <w:rPr>
                <w:sz w:val="28"/>
                <w:szCs w:val="28"/>
                <w:lang w:val="ro-RO"/>
              </w:rPr>
              <w:t>Se ia act.</w:t>
            </w:r>
            <w:bookmarkStart w:id="0" w:name="_GoBack"/>
            <w:bookmarkEnd w:id="0"/>
          </w:p>
        </w:tc>
      </w:tr>
    </w:tbl>
    <w:p w:rsidR="00FA46F9" w:rsidRPr="006C3100" w:rsidRDefault="00FA46F9" w:rsidP="00FA46F9">
      <w:pPr>
        <w:jc w:val="both"/>
        <w:rPr>
          <w:sz w:val="28"/>
          <w:szCs w:val="28"/>
          <w:lang w:val="ro-RO"/>
        </w:rPr>
      </w:pPr>
    </w:p>
    <w:p w:rsidR="00612DE0" w:rsidRPr="006C3100" w:rsidRDefault="00612DE0" w:rsidP="00FA46F9">
      <w:pPr>
        <w:jc w:val="both"/>
        <w:rPr>
          <w:b/>
          <w:sz w:val="28"/>
          <w:szCs w:val="28"/>
          <w:lang w:val="ro-RO"/>
        </w:rPr>
      </w:pPr>
    </w:p>
    <w:p w:rsidR="00845C0D" w:rsidRPr="006C3100" w:rsidRDefault="00612DE0" w:rsidP="00DB49EB">
      <w:pPr>
        <w:jc w:val="both"/>
        <w:rPr>
          <w:b/>
          <w:sz w:val="28"/>
          <w:szCs w:val="28"/>
          <w:lang w:val="ro-RO"/>
        </w:rPr>
      </w:pPr>
      <w:r w:rsidRPr="006C3100">
        <w:rPr>
          <w:b/>
          <w:sz w:val="28"/>
          <w:szCs w:val="28"/>
          <w:lang w:val="ro-RO"/>
        </w:rPr>
        <w:t xml:space="preserve">    </w:t>
      </w:r>
      <w:r w:rsidR="00FA46F9" w:rsidRPr="006C3100">
        <w:rPr>
          <w:b/>
          <w:sz w:val="28"/>
          <w:szCs w:val="28"/>
          <w:lang w:val="ro-RO"/>
        </w:rPr>
        <w:t xml:space="preserve">     </w:t>
      </w:r>
      <w:r w:rsidR="006018EC" w:rsidRPr="006C3100">
        <w:rPr>
          <w:b/>
          <w:sz w:val="28"/>
          <w:szCs w:val="28"/>
          <w:lang w:val="ro-RO"/>
        </w:rPr>
        <w:t xml:space="preserve">              </w:t>
      </w:r>
      <w:r w:rsidR="00FA46F9" w:rsidRPr="006C3100">
        <w:rPr>
          <w:b/>
          <w:sz w:val="28"/>
          <w:szCs w:val="28"/>
          <w:lang w:val="ro-RO"/>
        </w:rPr>
        <w:t xml:space="preserve">   </w:t>
      </w:r>
      <w:r w:rsidR="00845C0D" w:rsidRPr="006C3100">
        <w:rPr>
          <w:b/>
          <w:sz w:val="28"/>
          <w:szCs w:val="28"/>
          <w:lang w:val="ro-RO"/>
        </w:rPr>
        <w:t xml:space="preserve">                        </w:t>
      </w:r>
    </w:p>
    <w:p w:rsidR="00452F38" w:rsidRPr="006C3100" w:rsidRDefault="00845C0D" w:rsidP="00DB49EB">
      <w:pPr>
        <w:jc w:val="both"/>
        <w:rPr>
          <w:sz w:val="28"/>
          <w:szCs w:val="28"/>
        </w:rPr>
      </w:pPr>
      <w:r w:rsidRPr="006C3100">
        <w:rPr>
          <w:b/>
          <w:sz w:val="28"/>
          <w:szCs w:val="28"/>
          <w:lang w:val="ro-RO"/>
        </w:rPr>
        <w:t xml:space="preserve">                                 </w:t>
      </w:r>
      <w:r w:rsidR="00E77C32">
        <w:rPr>
          <w:b/>
          <w:sz w:val="28"/>
          <w:szCs w:val="28"/>
          <w:lang w:val="ro-RO"/>
        </w:rPr>
        <w:t>M</w:t>
      </w:r>
      <w:r w:rsidR="00FA46F9" w:rsidRPr="006C3100">
        <w:rPr>
          <w:b/>
          <w:sz w:val="28"/>
          <w:szCs w:val="28"/>
          <w:lang w:val="ro-RO"/>
        </w:rPr>
        <w:t xml:space="preserve">inistru                                             </w:t>
      </w:r>
      <w:r w:rsidR="00E77C32">
        <w:rPr>
          <w:b/>
          <w:sz w:val="28"/>
          <w:szCs w:val="28"/>
          <w:lang w:val="ro-RO"/>
        </w:rPr>
        <w:t>Monica BABUC</w:t>
      </w:r>
    </w:p>
    <w:sectPr w:rsidR="00452F38" w:rsidRPr="006C3100" w:rsidSect="006C3100">
      <w:headerReference w:type="even" r:id="rId8"/>
      <w:headerReference w:type="default" r:id="rId9"/>
      <w:footerReference w:type="even" r:id="rId10"/>
      <w:footerReference w:type="default" r:id="rId11"/>
      <w:headerReference w:type="first" r:id="rId12"/>
      <w:footerReference w:type="first" r:id="rId13"/>
      <w:pgSz w:w="12240" w:h="15840"/>
      <w:pgMar w:top="630" w:right="14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34" w:rsidRDefault="007E2734" w:rsidP="00C87F5C">
      <w:r>
        <w:separator/>
      </w:r>
    </w:p>
  </w:endnote>
  <w:endnote w:type="continuationSeparator" w:id="0">
    <w:p w:rsidR="007E2734" w:rsidRDefault="007E2734" w:rsidP="00C8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5C" w:rsidRDefault="00C87F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70652"/>
      <w:docPartObj>
        <w:docPartGallery w:val="Page Numbers (Bottom of Page)"/>
        <w:docPartUnique/>
      </w:docPartObj>
    </w:sdtPr>
    <w:sdtEndPr/>
    <w:sdtContent>
      <w:p w:rsidR="00C87F5C" w:rsidRDefault="00C87F5C">
        <w:pPr>
          <w:pStyle w:val="a7"/>
          <w:jc w:val="right"/>
        </w:pPr>
        <w:r>
          <w:fldChar w:fldCharType="begin"/>
        </w:r>
        <w:r>
          <w:instrText>PAGE   \* MERGEFORMAT</w:instrText>
        </w:r>
        <w:r>
          <w:fldChar w:fldCharType="separate"/>
        </w:r>
        <w:r w:rsidR="00F13128">
          <w:rPr>
            <w:noProof/>
          </w:rPr>
          <w:t>2</w:t>
        </w:r>
        <w:r>
          <w:fldChar w:fldCharType="end"/>
        </w:r>
      </w:p>
    </w:sdtContent>
  </w:sdt>
  <w:p w:rsidR="00C87F5C" w:rsidRDefault="00C87F5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5C" w:rsidRDefault="00C87F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34" w:rsidRDefault="007E2734" w:rsidP="00C87F5C">
      <w:r>
        <w:separator/>
      </w:r>
    </w:p>
  </w:footnote>
  <w:footnote w:type="continuationSeparator" w:id="0">
    <w:p w:rsidR="007E2734" w:rsidRDefault="007E2734" w:rsidP="00C87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5C" w:rsidRDefault="00C87F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5C" w:rsidRDefault="00C87F5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5C" w:rsidRDefault="00C87F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A0897"/>
    <w:multiLevelType w:val="hybridMultilevel"/>
    <w:tmpl w:val="7C44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F9"/>
    <w:rsid w:val="00074CE7"/>
    <w:rsid w:val="0012555F"/>
    <w:rsid w:val="00160539"/>
    <w:rsid w:val="001B4868"/>
    <w:rsid w:val="001D25DC"/>
    <w:rsid w:val="002076F3"/>
    <w:rsid w:val="00246BD9"/>
    <w:rsid w:val="00290322"/>
    <w:rsid w:val="00297091"/>
    <w:rsid w:val="002F6049"/>
    <w:rsid w:val="003379E2"/>
    <w:rsid w:val="00370F57"/>
    <w:rsid w:val="003919B2"/>
    <w:rsid w:val="003D34A9"/>
    <w:rsid w:val="003F41FB"/>
    <w:rsid w:val="00450520"/>
    <w:rsid w:val="0047250C"/>
    <w:rsid w:val="00490827"/>
    <w:rsid w:val="004A293D"/>
    <w:rsid w:val="004B26E6"/>
    <w:rsid w:val="00592F2D"/>
    <w:rsid w:val="005B62B6"/>
    <w:rsid w:val="006018EC"/>
    <w:rsid w:val="00612DE0"/>
    <w:rsid w:val="00681405"/>
    <w:rsid w:val="006C3100"/>
    <w:rsid w:val="006D43F3"/>
    <w:rsid w:val="007B4E21"/>
    <w:rsid w:val="007E2734"/>
    <w:rsid w:val="007E2C1A"/>
    <w:rsid w:val="0084109A"/>
    <w:rsid w:val="00845C0D"/>
    <w:rsid w:val="00852267"/>
    <w:rsid w:val="00876ECC"/>
    <w:rsid w:val="008E51A0"/>
    <w:rsid w:val="008E5AFD"/>
    <w:rsid w:val="008F33B0"/>
    <w:rsid w:val="00940C37"/>
    <w:rsid w:val="009432EB"/>
    <w:rsid w:val="00977A2A"/>
    <w:rsid w:val="009B3234"/>
    <w:rsid w:val="009E106E"/>
    <w:rsid w:val="00A13E6D"/>
    <w:rsid w:val="00AF243F"/>
    <w:rsid w:val="00B005A3"/>
    <w:rsid w:val="00BF6629"/>
    <w:rsid w:val="00BF6C7D"/>
    <w:rsid w:val="00C1327C"/>
    <w:rsid w:val="00C37AD8"/>
    <w:rsid w:val="00C659B9"/>
    <w:rsid w:val="00C87F5C"/>
    <w:rsid w:val="00DB49EB"/>
    <w:rsid w:val="00DE62AA"/>
    <w:rsid w:val="00E1076F"/>
    <w:rsid w:val="00E300DE"/>
    <w:rsid w:val="00E40337"/>
    <w:rsid w:val="00E41D4E"/>
    <w:rsid w:val="00E50941"/>
    <w:rsid w:val="00E77C32"/>
    <w:rsid w:val="00EC22F4"/>
    <w:rsid w:val="00F13128"/>
    <w:rsid w:val="00F444ED"/>
    <w:rsid w:val="00FA4044"/>
    <w:rsid w:val="00FA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D8293-C692-4896-BB0D-91CBF6E0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2B6"/>
    <w:rPr>
      <w:rFonts w:ascii="Segoe UI" w:hAnsi="Segoe UI" w:cs="Segoe UI"/>
      <w:sz w:val="18"/>
      <w:szCs w:val="18"/>
    </w:rPr>
  </w:style>
  <w:style w:type="character" w:customStyle="1" w:styleId="a4">
    <w:name w:val="Текст выноски Знак"/>
    <w:basedOn w:val="a0"/>
    <w:link w:val="a3"/>
    <w:uiPriority w:val="99"/>
    <w:semiHidden/>
    <w:rsid w:val="005B62B6"/>
    <w:rPr>
      <w:rFonts w:ascii="Segoe UI" w:eastAsia="Times New Roman" w:hAnsi="Segoe UI" w:cs="Segoe UI"/>
      <w:sz w:val="18"/>
      <w:szCs w:val="18"/>
      <w:lang w:val="ru-RU" w:eastAsia="ru-RU"/>
    </w:rPr>
  </w:style>
  <w:style w:type="paragraph" w:styleId="a5">
    <w:name w:val="header"/>
    <w:basedOn w:val="a"/>
    <w:link w:val="a6"/>
    <w:uiPriority w:val="99"/>
    <w:unhideWhenUsed/>
    <w:rsid w:val="00C87F5C"/>
    <w:pPr>
      <w:tabs>
        <w:tab w:val="center" w:pos="4677"/>
        <w:tab w:val="right" w:pos="9355"/>
      </w:tabs>
    </w:pPr>
  </w:style>
  <w:style w:type="character" w:customStyle="1" w:styleId="a6">
    <w:name w:val="Верхний колонтитул Знак"/>
    <w:basedOn w:val="a0"/>
    <w:link w:val="a5"/>
    <w:uiPriority w:val="99"/>
    <w:rsid w:val="00C87F5C"/>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C87F5C"/>
    <w:pPr>
      <w:tabs>
        <w:tab w:val="center" w:pos="4677"/>
        <w:tab w:val="right" w:pos="9355"/>
      </w:tabs>
    </w:pPr>
  </w:style>
  <w:style w:type="character" w:customStyle="1" w:styleId="a8">
    <w:name w:val="Нижний колонтитул Знак"/>
    <w:basedOn w:val="a0"/>
    <w:link w:val="a7"/>
    <w:uiPriority w:val="99"/>
    <w:rsid w:val="00C87F5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FF3F-6C8B-4E34-AFC8-491C8E5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2</Pages>
  <Words>486</Words>
  <Characters>2775</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Stog</dc:creator>
  <cp:lastModifiedBy>Irina Stog</cp:lastModifiedBy>
  <cp:revision>32</cp:revision>
  <cp:lastPrinted>2017-08-23T12:47:00Z</cp:lastPrinted>
  <dcterms:created xsi:type="dcterms:W3CDTF">2016-02-19T13:37:00Z</dcterms:created>
  <dcterms:modified xsi:type="dcterms:W3CDTF">2017-09-15T11:10:00Z</dcterms:modified>
</cp:coreProperties>
</file>