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23" w:rsidRPr="007371B3" w:rsidRDefault="00264923" w:rsidP="0026492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bookmarkStart w:id="0" w:name="_GoBack"/>
      <w:bookmarkEnd w:id="0"/>
      <w:r w:rsidRPr="007371B3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264923" w:rsidRPr="007371B3" w:rsidRDefault="00264923" w:rsidP="002649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7371B3">
        <w:rPr>
          <w:rFonts w:ascii="Times New Roman" w:hAnsi="Times New Roman" w:cs="Times New Roman"/>
          <w:sz w:val="28"/>
          <w:szCs w:val="28"/>
          <w:lang w:val="ro-MO"/>
        </w:rPr>
        <w:t xml:space="preserve">la proiectul </w:t>
      </w:r>
      <w:proofErr w:type="spellStart"/>
      <w:r w:rsidRPr="007371B3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Pr="007371B3">
        <w:rPr>
          <w:rFonts w:ascii="Times New Roman" w:hAnsi="Times New Roman" w:cs="Times New Roman"/>
          <w:sz w:val="28"/>
          <w:szCs w:val="28"/>
          <w:lang w:val="ro-MO"/>
        </w:rPr>
        <w:t xml:space="preserve"> Guvernului ,,Cu privire la </w:t>
      </w:r>
      <w:r w:rsidR="00301C82">
        <w:rPr>
          <w:rFonts w:ascii="Times New Roman" w:hAnsi="Times New Roman" w:cs="Times New Roman"/>
          <w:sz w:val="28"/>
          <w:szCs w:val="28"/>
          <w:lang w:val="ro-MO"/>
        </w:rPr>
        <w:t xml:space="preserve">aprobarea modificărilor și completărilor ce se operează în </w:t>
      </w:r>
      <w:proofErr w:type="spellStart"/>
      <w:r w:rsidR="00301C82">
        <w:rPr>
          <w:rFonts w:ascii="Times New Roman" w:hAnsi="Times New Roman" w:cs="Times New Roman"/>
          <w:sz w:val="28"/>
          <w:szCs w:val="28"/>
          <w:lang w:val="ro-MO"/>
        </w:rPr>
        <w:t>unele</w:t>
      </w:r>
      <w:r w:rsidRPr="007371B3">
        <w:rPr>
          <w:rFonts w:ascii="Times New Roman" w:hAnsi="Times New Roman" w:cs="Times New Roman"/>
          <w:sz w:val="28"/>
          <w:szCs w:val="28"/>
          <w:lang w:val="ro-MO"/>
        </w:rPr>
        <w:t>hotărîri</w:t>
      </w:r>
      <w:proofErr w:type="spellEnd"/>
      <w:r w:rsidRPr="007371B3">
        <w:rPr>
          <w:rFonts w:ascii="Times New Roman" w:hAnsi="Times New Roman" w:cs="Times New Roman"/>
          <w:sz w:val="28"/>
          <w:szCs w:val="28"/>
          <w:lang w:val="ro-MO"/>
        </w:rPr>
        <w:t xml:space="preserve"> ale Guvernului”</w:t>
      </w:r>
    </w:p>
    <w:p w:rsidR="00264923" w:rsidRPr="007371B3" w:rsidRDefault="00264923" w:rsidP="00264923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W w:w="5000" w:type="pct"/>
        <w:tblLook w:val="04A0"/>
      </w:tblPr>
      <w:tblGrid>
        <w:gridCol w:w="9571"/>
      </w:tblGrid>
      <w:tr w:rsidR="00264923" w:rsidRPr="008F7951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a4"/>
              <w:numPr>
                <w:ilvl w:val="0"/>
                <w:numId w:val="1"/>
              </w:numPr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Denumirea autorului și, după caz, a participanților la elaborarea proiectului</w:t>
            </w:r>
          </w:p>
        </w:tc>
      </w:tr>
      <w:tr w:rsidR="00264923" w:rsidRPr="008F7951" w:rsidTr="00264923">
        <w:tc>
          <w:tcPr>
            <w:tcW w:w="5000" w:type="pct"/>
            <w:hideMark/>
          </w:tcPr>
          <w:p w:rsidR="00264923" w:rsidRPr="007371B3" w:rsidRDefault="00264923" w:rsidP="0075075F">
            <w:pPr>
              <w:pStyle w:val="a3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Proiectul </w:t>
            </w:r>
            <w:proofErr w:type="spellStart"/>
            <w:r w:rsidR="001C023F" w:rsidRPr="007371B3">
              <w:rPr>
                <w:rFonts w:ascii="Times New Roman" w:hAnsi="Times New Roman"/>
                <w:sz w:val="28"/>
                <w:szCs w:val="28"/>
                <w:lang w:val="ro-MO"/>
              </w:rPr>
              <w:t>hotărîrii</w:t>
            </w: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>de</w:t>
            </w:r>
            <w:proofErr w:type="spellEnd"/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1C023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Guvern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,,Cu privire la </w:t>
            </w:r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aprobarea modificărilor și completărilor ce se operează în </w:t>
            </w:r>
            <w:proofErr w:type="spellStart"/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unele</w:t>
            </w:r>
            <w:r w:rsidR="0075075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</w:t>
            </w:r>
            <w:proofErr w:type="spellEnd"/>
            <w:r w:rsidR="0075075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ale Guvernului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” </w:t>
            </w: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 fost elaborat de </w:t>
            </w:r>
            <w:r w:rsidR="00837734" w:rsidRPr="007371B3">
              <w:rPr>
                <w:rFonts w:ascii="Times New Roman" w:hAnsi="Times New Roman"/>
                <w:sz w:val="28"/>
                <w:szCs w:val="28"/>
                <w:lang w:val="ro-MO"/>
              </w:rPr>
              <w:t>Cancelaria de Stat</w:t>
            </w: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>, în coordonare cu</w:t>
            </w:r>
            <w:r w:rsidR="00837734"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Centrul de Implementare a Reformelor</w:t>
            </w: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t>.</w:t>
            </w:r>
          </w:p>
        </w:tc>
      </w:tr>
      <w:tr w:rsidR="00264923" w:rsidRPr="008F7951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a4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proofErr w:type="spellStart"/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Condițiile</w:t>
            </w:r>
            <w:proofErr w:type="spellEnd"/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 xml:space="preserve"> ce au impus elaborarea proiectului de act normativ și finalitățile urmărite</w:t>
            </w:r>
          </w:p>
        </w:tc>
      </w:tr>
      <w:tr w:rsidR="00264923" w:rsidRPr="008F7951" w:rsidTr="00264923">
        <w:tc>
          <w:tcPr>
            <w:tcW w:w="5000" w:type="pct"/>
            <w:hideMark/>
          </w:tcPr>
          <w:p w:rsidR="001D2AFA" w:rsidRPr="007371B3" w:rsidRDefault="00264923" w:rsidP="001D2AFA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 7 iulie 2017, Parlamentul a adoptat Legea cu privire la Guvern, nr.136.</w:t>
            </w:r>
            <w:r w:rsidR="00675DEE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Iar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la 14 iulie 2017, Parlamentul a adoptat Legea nr.153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 w:eastAsia="ro-RO"/>
              </w:rPr>
              <w:t xml:space="preserve"> pentru modificarea și completarea unor acte legislative (transmisă spre promulgare)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care asigură punerea în aplicare a prevederilor Legii</w:t>
            </w:r>
            <w:r w:rsidR="00003ED4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privire la Guvern și 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evitarea eventualelor colizii cu noile norme juridice ce urmează să reglementeze modul de organizare și funcționare a Guvernului.  </w:t>
            </w:r>
          </w:p>
          <w:p w:rsidR="00264923" w:rsidRPr="0075075F" w:rsidRDefault="00264923" w:rsidP="006426E1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Întru executarea prevederilor </w:t>
            </w:r>
            <w:r w:rsidR="001D2AFA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actelor legislative menționate supra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a fost elaborat prezentul proiect de </w:t>
            </w:r>
            <w:proofErr w:type="spellStart"/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hotărîre</w:t>
            </w:r>
            <w:proofErr w:type="spellEnd"/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care vine să </w:t>
            </w:r>
            <w:r w:rsidR="00015C1C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modifice</w:t>
            </w:r>
            <w:r w:rsidR="008F795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015C1C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</w:t>
            </w:r>
            <w:proofErr w:type="spellEnd"/>
            <w:r w:rsidR="00015C1C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să completeze</w:t>
            </w:r>
            <w:r w:rsidR="008F7951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015C1C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Hotărîrea</w:t>
            </w:r>
            <w:proofErr w:type="spellEnd"/>
            <w:r w:rsidR="00015C1C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Guvernului nr.657 din 6 noiembrie 2009</w:t>
            </w:r>
            <w:r w:rsidR="00015C1C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 “Pentru aprobarea Regulamentului privind organizarea şi funcţionarea, structurii şi efectivului-limită ale Cancelariei de Stat”</w:t>
            </w:r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proofErr w:type="spellStart"/>
            <w:r w:rsidR="00015C1C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Hotărîrea</w:t>
            </w:r>
            <w:proofErr w:type="spellEnd"/>
            <w:r w:rsidR="00015C1C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Guvernului nr.845 din 18 decembrie 2009</w:t>
            </w:r>
            <w:r w:rsidR="00015C1C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 “Cu privire la oficiile terito</w:t>
            </w:r>
            <w:r w:rsidR="007507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riale ale Cancelariei de Stat”, precum și </w:t>
            </w:r>
            <w:r w:rsidR="0075075F" w:rsidRPr="007507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 xml:space="preserve">Anexa nr.2 la </w:t>
            </w:r>
            <w:proofErr w:type="spellStart"/>
            <w:r w:rsidR="0075075F" w:rsidRPr="007507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>Hotărîrea</w:t>
            </w:r>
            <w:proofErr w:type="spellEnd"/>
            <w:r w:rsidR="0075075F" w:rsidRPr="007507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 xml:space="preserve"> Guvernulu</w:t>
            </w:r>
            <w:r w:rsidR="0075075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>i nr.1001 din 26 decembrie 2011.</w:t>
            </w:r>
          </w:p>
          <w:p w:rsidR="003A0834" w:rsidRPr="007371B3" w:rsidRDefault="003A0834" w:rsidP="006426E1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o-MO"/>
              </w:rPr>
            </w:pPr>
          </w:p>
          <w:p w:rsidR="009754D8" w:rsidRPr="007371B3" w:rsidRDefault="009754D8" w:rsidP="00003ED4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Necesitatea amendării </w:t>
            </w:r>
            <w:proofErr w:type="spellStart"/>
            <w:r w:rsidR="001C023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hotărîrilor</w:t>
            </w:r>
            <w:proofErr w:type="spellEnd"/>
            <w:r w:rsidR="001C023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de Guvern</w:t>
            </w:r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nr.657/2009 </w:t>
            </w:r>
            <w:proofErr w:type="spellStart"/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și</w:t>
            </w:r>
            <w:proofErr w:type="spellEnd"/>
            <w:r w:rsidR="0075075F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nr.845/2009 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derivă din schimbarea statutului secretarului general al Guvernului și a secretarilor generali adjuncți ai Guvernului, precum și </w:t>
            </w:r>
            <w:r w:rsidR="006426E1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schimbarea statutului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șefilor și șefilor adjuncți ai oficiilor teritoriale ale Cancelariei de Stat din persoane cu funcție de demnitate publică în funcționari publici de conducere </w:t>
            </w:r>
            <w:r w:rsidR="001C023F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</w:t>
            </w: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nivel superior, și respectiv în funcționari publici de conducere, ceea ce are ca scop fortificarea statutului acestor funcționari și sporirii stabilității lor în funcție.</w:t>
            </w:r>
          </w:p>
          <w:p w:rsidR="003A0834" w:rsidRPr="007371B3" w:rsidRDefault="003A0834" w:rsidP="00003ED4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16"/>
                <w:szCs w:val="16"/>
                <w:lang w:val="ro-MO"/>
              </w:rPr>
            </w:pPr>
          </w:p>
          <w:p w:rsidR="009754D8" w:rsidRPr="007371B3" w:rsidRDefault="009754D8" w:rsidP="00675DEE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Astfel, din considerentul </w:t>
            </w:r>
            <w:r w:rsidR="006426E1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schimbării statutului </w:t>
            </w:r>
            <w:r w:rsidR="006426E1" w:rsidRPr="007371B3">
              <w:rPr>
                <w:rFonts w:ascii="Times New Roman" w:hAnsi="Times New Roman" w:cs="Times New Roman"/>
                <w:sz w:val="28"/>
                <w:szCs w:val="28"/>
                <w:u w:val="single"/>
                <w:lang w:val="ro-MO"/>
              </w:rPr>
              <w:t>secretarului general al Guvernului</w:t>
            </w:r>
            <w:r w:rsidR="006426E1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 persoană cu funcție de demnitate publică în funcționar public de conducere </w:t>
            </w:r>
            <w:r w:rsidR="009F50B1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</w:t>
            </w:r>
            <w:r w:rsidR="006426E1" w:rsidRPr="007371B3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nivel superior, este necesară modificarea </w:t>
            </w:r>
            <w:proofErr w:type="spellStart"/>
            <w:r w:rsidR="00675DEE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Hotărîrii</w:t>
            </w:r>
            <w:proofErr w:type="spellEnd"/>
            <w:r w:rsidR="006426E1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Guvernului nr.657/2009</w:t>
            </w:r>
            <w:r w:rsidR="006426E1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 în partea ce ține de excluderea prevederilor referitoare la </w:t>
            </w:r>
            <w:r w:rsidR="006426E1" w:rsidRPr="007371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cabinetul</w:t>
            </w:r>
            <w:r w:rsidR="006426E1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secretarului general al Guvernului</w:t>
            </w:r>
            <w:r w:rsidR="00675DEE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7C32C8" w:rsidRDefault="00675DEE" w:rsidP="007C32C8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De asemenea, </w:t>
            </w:r>
            <w:r w:rsidR="002609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în componența noi structuri a Guvernului </w:t>
            </w:r>
            <w:r w:rsidR="00561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nu se mai regăsește funcția de viceprim-ministru fără portofoliu pe probleme sociale. Din acest considerent,  se propune </w:t>
            </w:r>
            <w:r w:rsidR="00561269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excluderea prevederilor referitoare la </w:t>
            </w:r>
            <w:r w:rsidR="00561269" w:rsidRPr="007371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cabinetul</w:t>
            </w:r>
            <w:r w:rsidR="00561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v</w:t>
            </w:r>
            <w:r w:rsidR="00582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iceprim-ministrului</w:t>
            </w:r>
            <w:r w:rsidR="00561269" w:rsidRPr="00561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7C32C8" w:rsidRPr="007C32C8" w:rsidRDefault="007C32C8" w:rsidP="00675DEE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ro-MO"/>
              </w:rPr>
            </w:pPr>
          </w:p>
          <w:p w:rsidR="002C5CF9" w:rsidRPr="007371B3" w:rsidRDefault="007C32C8" w:rsidP="00675D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Suplimentar </w:t>
            </w:r>
            <w:r w:rsidR="00675DEE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prin proiect se propune completarea </w:t>
            </w:r>
            <w:proofErr w:type="spellStart"/>
            <w:r w:rsidR="00675DEE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Hotărîrii</w:t>
            </w:r>
            <w:proofErr w:type="spellEnd"/>
            <w:r w:rsidR="00675DEE" w:rsidRPr="00737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 Guvernului nr.657/2009 cu</w:t>
            </w:r>
            <w:r w:rsidR="0079085E"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reglementări care stabilesc statutul juridic al Corpului de Control al Prim-ministrului și determinarea </w:t>
            </w:r>
            <w:r w:rsidR="00675DEE" w:rsidRPr="007371B3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competenței generale a acestuia. </w:t>
            </w:r>
          </w:p>
          <w:p w:rsidR="0058273A" w:rsidRDefault="00675DEE" w:rsidP="0058273A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</w:pPr>
            <w:r w:rsidRPr="007371B3">
              <w:rPr>
                <w:rFonts w:ascii="Times New Roman" w:hAnsi="Times New Roman"/>
                <w:sz w:val="28"/>
                <w:szCs w:val="28"/>
                <w:lang w:val="ro-MO"/>
              </w:rPr>
              <w:lastRenderedPageBreak/>
              <w:t xml:space="preserve">În acest context, se propune </w:t>
            </w:r>
            <w:r w:rsidR="002C5CF9" w:rsidRPr="007371B3">
              <w:rPr>
                <w:rFonts w:ascii="Times New Roman" w:hAnsi="Times New Roman"/>
                <w:sz w:val="28"/>
                <w:szCs w:val="28"/>
                <w:lang w:val="ro-MO"/>
              </w:rPr>
              <w:t>ca efectivul de personal al Corpului</w:t>
            </w:r>
            <w:r w:rsidR="007C32C8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de Control să fie de 8 unități, care vor fi </w:t>
            </w:r>
            <w:r w:rsidR="0058273A">
              <w:rPr>
                <w:rFonts w:ascii="Times New Roman" w:hAnsi="Times New Roman"/>
                <w:sz w:val="28"/>
                <w:szCs w:val="28"/>
                <w:lang w:val="ro-MO"/>
              </w:rPr>
              <w:t>create din contul unităților de personal prevăzute pentru</w:t>
            </w:r>
            <w:r w:rsidR="0058273A" w:rsidRPr="007371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cabinetul</w:t>
            </w:r>
            <w:r w:rsidR="007C592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Prim-ministrului </w:t>
            </w:r>
            <w:r w:rsidR="005827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și </w:t>
            </w:r>
            <w:r w:rsidR="0058273A" w:rsidRPr="0058273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cabinetul</w:t>
            </w:r>
            <w:r w:rsidR="007C59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viceprim-ministrului</w:t>
            </w:r>
            <w:r w:rsidR="0058273A" w:rsidRPr="005612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.</w:t>
            </w:r>
          </w:p>
          <w:p w:rsidR="00675DEE" w:rsidRDefault="00675DEE" w:rsidP="0058273A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</w:pPr>
            <w:r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Totodată, </w:t>
            </w:r>
            <w:r w:rsidR="009F50B1"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  <w:t xml:space="preserve">potrivit art.32 alin.(6) din Legea nr.136/2017 cu privire la Guvern, </w:t>
            </w:r>
            <w:r w:rsidRPr="007371B3">
              <w:rPr>
                <w:rFonts w:ascii="Times New Roman" w:hAnsi="Times New Roman" w:cs="Times New Roman"/>
                <w:color w:val="000000"/>
                <w:sz w:val="28"/>
                <w:szCs w:val="28"/>
                <w:lang w:val="ro-MO"/>
              </w:rPr>
              <w:t>modul de organizare şi funcţionare a Corpului de control al Prim-ministrului va fi reglementat printr-un regulament aprobat de către Guvern.</w:t>
            </w:r>
          </w:p>
          <w:p w:rsidR="0075075F" w:rsidRPr="00981826" w:rsidRDefault="0075075F" w:rsidP="0058273A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ro-MO"/>
              </w:rPr>
            </w:pPr>
          </w:p>
          <w:p w:rsidR="005B6E37" w:rsidRPr="005B6E37" w:rsidRDefault="00DC4194" w:rsidP="00981826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Cu referire la modificarea și completarea a</w:t>
            </w:r>
            <w:r w:rsidRPr="009818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>nexei</w:t>
            </w:r>
            <w:r w:rsidR="0075075F" w:rsidRPr="009818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 xml:space="preserve"> nr.2 la </w:t>
            </w:r>
            <w:proofErr w:type="spellStart"/>
            <w:r w:rsidR="0075075F" w:rsidRPr="009818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>Hotărîrea</w:t>
            </w:r>
            <w:proofErr w:type="spellEnd"/>
            <w:r w:rsidR="0075075F" w:rsidRPr="009818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MO"/>
              </w:rPr>
              <w:t xml:space="preserve"> Guvernului nr.1001 din 26 decembrie 2011 </w:t>
            </w:r>
            <w:r w:rsidR="0075075F"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 “Privind punerea în aplicare a unor acte legislative”</w:t>
            </w:r>
            <w:r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r w:rsidR="00981826"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relevăm că </w:t>
            </w:r>
            <w:r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acestea derivă din necesitatea realizării unuia din obiectivele reformei administrației publice </w:t>
            </w:r>
            <w:r w:rsidR="00981826"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și anume: reducere</w:t>
            </w:r>
            <w:r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 funcțiilor de conducere din cadrul autorităților publice și consolidarea</w:t>
            </w:r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funcțiilor publice de </w:t>
            </w:r>
            <w:proofErr w:type="spellStart"/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execuție</w:t>
            </w:r>
            <w:proofErr w:type="spellEnd"/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proofErr w:type="spellStart"/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acordînd</w:t>
            </w:r>
            <w:proofErr w:type="spellEnd"/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</w:t>
            </w:r>
            <w:proofErr w:type="spellStart"/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autorităților</w:t>
            </w:r>
            <w:proofErr w:type="spellEnd"/>
            <w:r w:rsidR="006306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publice un termen de 6 luni pentru ajustarea statelor de personal noilor reglementări.</w:t>
            </w:r>
            <w:r w:rsidR="00981826" w:rsidRPr="009818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De asemenea, se propune stabilirea expresă a interdicției de constituire a </w:t>
            </w:r>
            <w:r w:rsidR="00981826" w:rsidRPr="0098182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altor subdiviziuni structurale interioare, </w:t>
            </w:r>
            <w:proofErr w:type="spellStart"/>
            <w:r w:rsidR="00981826" w:rsidRPr="0098182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decît</w:t>
            </w:r>
            <w:proofErr w:type="spellEnd"/>
            <w:r w:rsidR="00981826" w:rsidRPr="0098182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cele stabilite în structura și organigrama </w:t>
            </w:r>
            <w:r w:rsidR="005B6E37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aprobate în modul stabilit</w:t>
            </w:r>
            <w:r w:rsidR="00981826" w:rsidRPr="00981826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</w:tc>
      </w:tr>
      <w:tr w:rsidR="00264923" w:rsidRPr="007371B3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a4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lastRenderedPageBreak/>
              <w:t>Fundamentarea economico-financiară</w:t>
            </w:r>
          </w:p>
        </w:tc>
      </w:tr>
      <w:tr w:rsidR="00264923" w:rsidRPr="008F7951" w:rsidTr="00264923">
        <w:tc>
          <w:tcPr>
            <w:tcW w:w="5000" w:type="pct"/>
            <w:hideMark/>
          </w:tcPr>
          <w:p w:rsidR="00003ED4" w:rsidRPr="007371B3" w:rsidRDefault="00264923" w:rsidP="002649FA">
            <w:pPr>
              <w:spacing w:after="120"/>
              <w:ind w:firstLine="878"/>
              <w:jc w:val="both"/>
              <w:rPr>
                <w:rFonts w:ascii="Times New Roman" w:hAnsi="Times New Roman"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>Ad</w:t>
            </w:r>
            <w:r w:rsidR="00040901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optarea proiectului de </w:t>
            </w:r>
            <w:proofErr w:type="spellStart"/>
            <w:r w:rsidR="00040901">
              <w:rPr>
                <w:rFonts w:ascii="Times New Roman" w:hAnsi="Times New Roman"/>
                <w:sz w:val="28"/>
                <w:szCs w:val="28"/>
                <w:lang w:val="ro-MO" w:eastAsia="en-US"/>
              </w:rPr>
              <w:t>hotărîre</w:t>
            </w:r>
            <w:proofErr w:type="spellEnd"/>
            <w:r w:rsidR="0058273A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nu </w:t>
            </w:r>
            <w:r w:rsidR="00003ED4"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va </w:t>
            </w:r>
            <w:r w:rsidR="002649FA">
              <w:rPr>
                <w:rFonts w:ascii="Times New Roman" w:hAnsi="Times New Roman"/>
                <w:sz w:val="28"/>
                <w:szCs w:val="28"/>
                <w:lang w:val="ro-MO" w:eastAsia="en-US"/>
              </w:rPr>
              <w:t>necesita cheltuieli financiare suplimentare. C</w:t>
            </w:r>
            <w:r w:rsidR="00040901">
              <w:rPr>
                <w:rFonts w:ascii="Times New Roman" w:hAnsi="Times New Roman"/>
                <w:sz w:val="28"/>
                <w:szCs w:val="28"/>
                <w:lang w:val="ro-MO" w:eastAsia="en-US"/>
              </w:rPr>
              <w:t>heltuielile</w:t>
            </w:r>
            <w:r w:rsidR="0058273A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în partea </w:t>
            </w:r>
            <w:r w:rsidR="00003ED4"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>ce țin</w:t>
            </w:r>
            <w:r w:rsidR="002649FA">
              <w:rPr>
                <w:rFonts w:ascii="Times New Roman" w:hAnsi="Times New Roman"/>
                <w:sz w:val="28"/>
                <w:szCs w:val="28"/>
                <w:lang w:val="ro-MO" w:eastAsia="en-US"/>
              </w:rPr>
              <w:t>e de retribuirea muncii pentru consilierii din cadrul</w:t>
            </w:r>
            <w:r w:rsidR="00003ED4"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Corpului de control</w:t>
            </w:r>
            <w:r w:rsidR="00040901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pentru anul 2017, </w:t>
            </w:r>
            <w:r w:rsidR="007371B3"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>vor fi acoperite din contul și limita bugetului aprobat al Cancelariei de Stat</w:t>
            </w:r>
            <w:r w:rsidR="00C463DE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pentru</w:t>
            </w:r>
            <w:r w:rsidR="00C463D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remunerarea personalului </w:t>
            </w:r>
            <w:r w:rsidR="00C463DE" w:rsidRPr="007371B3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cabinetul</w:t>
            </w:r>
            <w:r w:rsidR="00C463D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ui </w:t>
            </w:r>
            <w:r w:rsidR="00C463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viceprim-ministrului și </w:t>
            </w:r>
            <w:r w:rsidR="00C463DE" w:rsidRPr="0058273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cabinetul</w:t>
            </w:r>
            <w:r w:rsidR="00C463D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ui</w:t>
            </w:r>
            <w:r w:rsidR="00C463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 xml:space="preserve"> secretarului general al Guvernului</w:t>
            </w:r>
            <w:r w:rsidR="002649FA">
              <w:rPr>
                <w:rFonts w:ascii="Times New Roman" w:hAnsi="Times New Roman"/>
                <w:sz w:val="28"/>
                <w:szCs w:val="28"/>
                <w:lang w:val="ro-MO" w:eastAsia="en-US"/>
              </w:rPr>
              <w:t>, în urma suprimării acestor funcții.</w:t>
            </w:r>
          </w:p>
        </w:tc>
      </w:tr>
      <w:tr w:rsidR="00264923" w:rsidRPr="008F7951" w:rsidTr="00264923">
        <w:tc>
          <w:tcPr>
            <w:tcW w:w="5000" w:type="pct"/>
            <w:shd w:val="clear" w:color="auto" w:fill="D9D9D9"/>
            <w:hideMark/>
          </w:tcPr>
          <w:p w:rsidR="00264923" w:rsidRPr="007371B3" w:rsidRDefault="00264923" w:rsidP="00831009">
            <w:pPr>
              <w:pStyle w:val="a4"/>
              <w:numPr>
                <w:ilvl w:val="0"/>
                <w:numId w:val="1"/>
              </w:numPr>
              <w:tabs>
                <w:tab w:val="left" w:pos="884"/>
              </w:tabs>
              <w:spacing w:after="12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 xml:space="preserve">Avizarea </w:t>
            </w:r>
            <w:proofErr w:type="spellStart"/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>și</w:t>
            </w:r>
            <w:proofErr w:type="spellEnd"/>
            <w:r w:rsidRPr="007371B3">
              <w:rPr>
                <w:rFonts w:ascii="Times New Roman" w:hAnsi="Times New Roman"/>
                <w:b/>
                <w:sz w:val="28"/>
                <w:szCs w:val="28"/>
                <w:lang w:val="ro-MO" w:eastAsia="en-US"/>
              </w:rPr>
              <w:t xml:space="preserve"> consultarea publică a proiectului</w:t>
            </w:r>
          </w:p>
        </w:tc>
      </w:tr>
      <w:tr w:rsidR="00264923" w:rsidRPr="008F7951" w:rsidTr="00264923">
        <w:tc>
          <w:tcPr>
            <w:tcW w:w="5000" w:type="pct"/>
            <w:hideMark/>
          </w:tcPr>
          <w:p w:rsidR="00264923" w:rsidRPr="007371B3" w:rsidRDefault="00264923">
            <w:pPr>
              <w:tabs>
                <w:tab w:val="left" w:pos="884"/>
              </w:tabs>
              <w:spacing w:after="120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O" w:eastAsia="en-US"/>
              </w:rPr>
            </w:pPr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În conformitate cu prevederile Legii nr.317/2003 </w:t>
            </w:r>
            <w:r w:rsidRPr="007371B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O" w:eastAsia="en-US"/>
              </w:rPr>
              <w:t>privind actele normative ale Guvernului şi ale altor autorităţi ale administraţiei publice centrale şi locale</w:t>
            </w:r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, Centrul de Implementare a Reformelor prezintă proiectul </w:t>
            </w:r>
            <w:proofErr w:type="spellStart"/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>hotărîrii</w:t>
            </w:r>
            <w:proofErr w:type="spellEnd"/>
            <w:r w:rsidRPr="007371B3">
              <w:rPr>
                <w:rFonts w:ascii="Times New Roman" w:hAnsi="Times New Roman"/>
                <w:sz w:val="28"/>
                <w:szCs w:val="28"/>
                <w:lang w:val="ro-MO" w:eastAsia="en-US"/>
              </w:rPr>
              <w:t xml:space="preserve"> de Guvern pentru avizare și consultare publică.</w:t>
            </w:r>
          </w:p>
        </w:tc>
      </w:tr>
    </w:tbl>
    <w:p w:rsidR="00264923" w:rsidRPr="007371B3" w:rsidRDefault="00264923" w:rsidP="00264923">
      <w:pPr>
        <w:pStyle w:val="a3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7371B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7371B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7371B3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264923" w:rsidRPr="007371B3" w:rsidRDefault="00264923" w:rsidP="00264923">
      <w:pPr>
        <w:rPr>
          <w:lang w:val="ro-MO"/>
        </w:rPr>
      </w:pPr>
    </w:p>
    <w:p w:rsidR="00F67792" w:rsidRPr="00F90193" w:rsidRDefault="00F90193">
      <w:pPr>
        <w:rPr>
          <w:rFonts w:ascii="Times New Roman" w:hAnsi="Times New Roman"/>
          <w:b/>
          <w:sz w:val="28"/>
          <w:szCs w:val="28"/>
          <w:lang w:val="ro-MO"/>
        </w:rPr>
      </w:pPr>
      <w:r w:rsidRPr="00F90193">
        <w:rPr>
          <w:rFonts w:ascii="Times New Roman" w:hAnsi="Times New Roman"/>
          <w:b/>
          <w:sz w:val="28"/>
          <w:szCs w:val="28"/>
          <w:lang w:val="ro-MO"/>
        </w:rPr>
        <w:t>Secretar general al Guvernului</w:t>
      </w:r>
      <w:r>
        <w:rPr>
          <w:rFonts w:ascii="Times New Roman" w:hAnsi="Times New Roman"/>
          <w:b/>
          <w:sz w:val="28"/>
          <w:szCs w:val="28"/>
          <w:lang w:val="ro-MO"/>
        </w:rPr>
        <w:t xml:space="preserve">                                                 Lilia PALII</w:t>
      </w:r>
    </w:p>
    <w:sectPr w:rsidR="00F67792" w:rsidRPr="00F90193" w:rsidSect="00AD0E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63C"/>
    <w:rsid w:val="00001AF7"/>
    <w:rsid w:val="00003ED4"/>
    <w:rsid w:val="0000757E"/>
    <w:rsid w:val="00015C1C"/>
    <w:rsid w:val="00036C50"/>
    <w:rsid w:val="00040901"/>
    <w:rsid w:val="00092D5F"/>
    <w:rsid w:val="000D2677"/>
    <w:rsid w:val="001111AC"/>
    <w:rsid w:val="00147B1C"/>
    <w:rsid w:val="001C023F"/>
    <w:rsid w:val="001D2AFA"/>
    <w:rsid w:val="001E362B"/>
    <w:rsid w:val="001E591D"/>
    <w:rsid w:val="0020762E"/>
    <w:rsid w:val="00214C51"/>
    <w:rsid w:val="002230B2"/>
    <w:rsid w:val="0026096F"/>
    <w:rsid w:val="00264923"/>
    <w:rsid w:val="002649FA"/>
    <w:rsid w:val="00281139"/>
    <w:rsid w:val="002A7F68"/>
    <w:rsid w:val="002C0A44"/>
    <w:rsid w:val="002C5CF9"/>
    <w:rsid w:val="002D56F0"/>
    <w:rsid w:val="00301C82"/>
    <w:rsid w:val="00323480"/>
    <w:rsid w:val="0035504B"/>
    <w:rsid w:val="00363AB5"/>
    <w:rsid w:val="00371499"/>
    <w:rsid w:val="00394FAC"/>
    <w:rsid w:val="003A0834"/>
    <w:rsid w:val="003A4D14"/>
    <w:rsid w:val="003D7C72"/>
    <w:rsid w:val="003E0A6E"/>
    <w:rsid w:val="003F4981"/>
    <w:rsid w:val="0040256E"/>
    <w:rsid w:val="00417B12"/>
    <w:rsid w:val="00445580"/>
    <w:rsid w:val="00481193"/>
    <w:rsid w:val="00487747"/>
    <w:rsid w:val="0049661F"/>
    <w:rsid w:val="004B3E21"/>
    <w:rsid w:val="004E68C5"/>
    <w:rsid w:val="004F6607"/>
    <w:rsid w:val="005340F2"/>
    <w:rsid w:val="00537706"/>
    <w:rsid w:val="00561269"/>
    <w:rsid w:val="0058273A"/>
    <w:rsid w:val="0058409C"/>
    <w:rsid w:val="005862BC"/>
    <w:rsid w:val="005B6E37"/>
    <w:rsid w:val="005C1D73"/>
    <w:rsid w:val="005E40D9"/>
    <w:rsid w:val="005F2DD3"/>
    <w:rsid w:val="00617FC6"/>
    <w:rsid w:val="00624F20"/>
    <w:rsid w:val="006306EF"/>
    <w:rsid w:val="006426E1"/>
    <w:rsid w:val="006527B3"/>
    <w:rsid w:val="006627C5"/>
    <w:rsid w:val="00672663"/>
    <w:rsid w:val="00675DEE"/>
    <w:rsid w:val="006C27F1"/>
    <w:rsid w:val="006D7330"/>
    <w:rsid w:val="007371B3"/>
    <w:rsid w:val="00740FA3"/>
    <w:rsid w:val="0075075F"/>
    <w:rsid w:val="0079085E"/>
    <w:rsid w:val="007C32C8"/>
    <w:rsid w:val="007C5928"/>
    <w:rsid w:val="007E68AD"/>
    <w:rsid w:val="007E6ECD"/>
    <w:rsid w:val="00825A4F"/>
    <w:rsid w:val="00837734"/>
    <w:rsid w:val="0085073D"/>
    <w:rsid w:val="008509BE"/>
    <w:rsid w:val="008A5565"/>
    <w:rsid w:val="008F5CC2"/>
    <w:rsid w:val="008F7951"/>
    <w:rsid w:val="0091163C"/>
    <w:rsid w:val="009219DD"/>
    <w:rsid w:val="00941E99"/>
    <w:rsid w:val="0096161A"/>
    <w:rsid w:val="009736C4"/>
    <w:rsid w:val="009754D8"/>
    <w:rsid w:val="00981826"/>
    <w:rsid w:val="00986C63"/>
    <w:rsid w:val="00997AB6"/>
    <w:rsid w:val="009B72AA"/>
    <w:rsid w:val="009F50B1"/>
    <w:rsid w:val="00A665B2"/>
    <w:rsid w:val="00A767C7"/>
    <w:rsid w:val="00A84B2F"/>
    <w:rsid w:val="00AB2245"/>
    <w:rsid w:val="00AB71CA"/>
    <w:rsid w:val="00AD0E4C"/>
    <w:rsid w:val="00AD7FE1"/>
    <w:rsid w:val="00B1207E"/>
    <w:rsid w:val="00B21F76"/>
    <w:rsid w:val="00C16CCB"/>
    <w:rsid w:val="00C315FE"/>
    <w:rsid w:val="00C463DE"/>
    <w:rsid w:val="00C85DF9"/>
    <w:rsid w:val="00CB5D92"/>
    <w:rsid w:val="00D1315C"/>
    <w:rsid w:val="00D64413"/>
    <w:rsid w:val="00DA2FA2"/>
    <w:rsid w:val="00DC4194"/>
    <w:rsid w:val="00DE0DDE"/>
    <w:rsid w:val="00E72C26"/>
    <w:rsid w:val="00EB0FA6"/>
    <w:rsid w:val="00EE0A17"/>
    <w:rsid w:val="00F17D26"/>
    <w:rsid w:val="00F26B34"/>
    <w:rsid w:val="00F27731"/>
    <w:rsid w:val="00F44815"/>
    <w:rsid w:val="00F46D29"/>
    <w:rsid w:val="00F67792"/>
    <w:rsid w:val="00F70914"/>
    <w:rsid w:val="00F72E1A"/>
    <w:rsid w:val="00F90193"/>
    <w:rsid w:val="00F92EF2"/>
    <w:rsid w:val="00FB7398"/>
    <w:rsid w:val="00FF15E7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9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64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923"/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4923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264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dcterms:created xsi:type="dcterms:W3CDTF">2017-08-18T05:48:00Z</dcterms:created>
  <dcterms:modified xsi:type="dcterms:W3CDTF">2017-08-18T06:36:00Z</dcterms:modified>
</cp:coreProperties>
</file>