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C3" w:rsidRDefault="00F079C3" w:rsidP="00F079C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</w:rPr>
        <w:t>RO</w:t>
      </w:r>
    </w:p>
    <w:p w:rsidR="00F079C3" w:rsidRDefault="00F079C3" w:rsidP="00F079C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</w:rPr>
        <w:t>ANEXĂ</w:t>
      </w:r>
    </w:p>
    <w:p w:rsidR="00F079C3" w:rsidRDefault="00F079C3" w:rsidP="00F079C3">
      <w:pPr>
        <w:spacing w:before="120" w:after="120" w:line="240" w:lineRule="auto"/>
        <w:jc w:val="center"/>
        <w:rPr>
          <w:rFonts w:ascii="Times New Roman" w:eastAsia="Times New Roman" w:hAnsi="Times New Roman"/>
          <w:i/>
          <w:sz w:val="24"/>
          <w:szCs w:val="20"/>
        </w:rPr>
      </w:pPr>
      <w:r>
        <w:rPr>
          <w:rFonts w:ascii="Times New Roman" w:hAnsi="Times New Roman"/>
          <w:i/>
          <w:sz w:val="24"/>
        </w:rPr>
        <w:t>Proiect de</w:t>
      </w:r>
    </w:p>
    <w:p w:rsidR="00F079C3" w:rsidRDefault="00F079C3" w:rsidP="00F079C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</w:rPr>
        <w:t xml:space="preserve">DECIZIE NR. 1/2017 A SUBCOMITETULUI PENTRU INDICAȚII GEOGRAFICE </w:t>
      </w:r>
    </w:p>
    <w:p w:rsidR="00F079C3" w:rsidRDefault="00F079C3" w:rsidP="00F079C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F079C3">
        <w:rPr>
          <w:rFonts w:ascii="Times New Roman" w:hAnsi="Times New Roman"/>
          <w:b/>
          <w:sz w:val="24"/>
        </w:rPr>
        <w:t xml:space="preserve">din </w:t>
      </w:r>
      <w:r>
        <w:rPr>
          <w:rFonts w:ascii="Times New Roman" w:hAnsi="Times New Roman"/>
          <w:b/>
          <w:sz w:val="24"/>
        </w:rPr>
        <w:t>XXXXXX</w:t>
      </w:r>
    </w:p>
    <w:p w:rsidR="00F079C3" w:rsidRDefault="00F079C3" w:rsidP="00F079C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</w:rPr>
        <w:t>de modificare a anexelor XXX-C și XXX-D la Acordul de asociere dintre Uniunea Europeană și Comunitatea Europeană a Energiei Atomice și statele membre ale acestora, pe de o parte, și Republica Moldova, pe de altă parte</w:t>
      </w:r>
    </w:p>
    <w:p w:rsidR="00F079C3" w:rsidRDefault="00F079C3" w:rsidP="00F079C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F079C3" w:rsidRDefault="00F079C3" w:rsidP="00F079C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SUBCOMITETUL PENTRU INDICAȚII GEOGRAFICE,</w:t>
      </w:r>
    </w:p>
    <w:p w:rsidR="00F079C3" w:rsidRDefault="00F079C3" w:rsidP="00F079C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având în vedere Acordul de asociere dintre Uniunea Europeană și Comunitatea Europeană a Energiei Atomice și statele membre ale acestora, pe de o parte, și Republica Moldova, pe de altă parte, în special articolul 306 alineatul (4) litera (b),</w:t>
      </w:r>
    </w:p>
    <w:p w:rsidR="00F079C3" w:rsidRDefault="00F079C3" w:rsidP="00F079C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întrucât:</w:t>
      </w:r>
    </w:p>
    <w:p w:rsidR="00F079C3" w:rsidRDefault="00F079C3" w:rsidP="00F079C3">
      <w:pPr>
        <w:spacing w:before="120" w:after="120" w:line="240" w:lineRule="auto"/>
        <w:ind w:left="850" w:hanging="850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sz w:val="24"/>
        </w:rPr>
        <w:t>(1)</w:t>
      </w:r>
      <w:r>
        <w:tab/>
      </w:r>
      <w:r>
        <w:rPr>
          <w:rFonts w:ascii="Times New Roman" w:hAnsi="Times New Roman"/>
          <w:sz w:val="24"/>
        </w:rPr>
        <w:t>Acordul dintre Uniunea Europeană și Republica Moldova cu privire la protecția indicațiilor geografice ale produselor agricole și alimentare a intrat în vigoare la 1 aprilie 2013.</w:t>
      </w:r>
    </w:p>
    <w:p w:rsidR="00F079C3" w:rsidRDefault="00F079C3" w:rsidP="00F079C3">
      <w:pPr>
        <w:spacing w:before="120" w:after="120" w:line="240" w:lineRule="auto"/>
        <w:ind w:left="840" w:hanging="840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sz w:val="24"/>
        </w:rPr>
        <w:t>(2)</w:t>
      </w:r>
      <w:r>
        <w:tab/>
      </w:r>
      <w:r>
        <w:rPr>
          <w:rFonts w:ascii="Times New Roman" w:hAnsi="Times New Roman"/>
          <w:sz w:val="24"/>
        </w:rPr>
        <w:t>Acordul respectiv a fost încorporat, ulterior, în Acordul de asociere dintre Uniunea Europeană și Comunitatea Europeană a Energiei Atomice și statele membre ale acestora, pe de o parte, și Republica Moldova, pe de altă parte (denumit în continuare „acordul”), care a intrat în vigoare la 1 septembrie 2014.</w:t>
      </w:r>
    </w:p>
    <w:p w:rsidR="00F079C3" w:rsidRDefault="00F079C3" w:rsidP="00F079C3">
      <w:pPr>
        <w:autoSpaceDE w:val="0"/>
        <w:autoSpaceDN w:val="0"/>
        <w:adjustRightInd w:val="0"/>
        <w:spacing w:after="0" w:line="240" w:lineRule="auto"/>
        <w:ind w:left="840" w:hanging="8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(3)</w:t>
      </w:r>
      <w:r>
        <w:tab/>
      </w:r>
      <w:r>
        <w:rPr>
          <w:rFonts w:ascii="Times New Roman" w:hAnsi="Times New Roman"/>
          <w:color w:val="000000"/>
          <w:sz w:val="24"/>
        </w:rPr>
        <w:t xml:space="preserve">Articolul 298 din acord prevede posibilitatea de a adăuga în anexele XXX-C și XXX-D la acord noi indicații geografice care trebuie să fie protejate, după finalizarea procedurii de opoziție și după examinarea unei sinteze a caietelor de sarcini conform articolului 297 alineatele (3) și (4), în mod satisfăcător pentru ambele părți. </w:t>
      </w:r>
    </w:p>
    <w:p w:rsidR="00F079C3" w:rsidRDefault="00F079C3" w:rsidP="00F079C3">
      <w:pPr>
        <w:autoSpaceDE w:val="0"/>
        <w:autoSpaceDN w:val="0"/>
        <w:adjustRightInd w:val="0"/>
        <w:spacing w:after="0" w:line="240" w:lineRule="auto"/>
        <w:ind w:left="840" w:hanging="8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079C3" w:rsidRDefault="00F079C3" w:rsidP="00F079C3">
      <w:pPr>
        <w:autoSpaceDE w:val="0"/>
        <w:autoSpaceDN w:val="0"/>
        <w:adjustRightInd w:val="0"/>
        <w:spacing w:after="0" w:line="240" w:lineRule="auto"/>
        <w:ind w:left="840" w:hanging="84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(4)</w:t>
      </w:r>
      <w:r>
        <w:tab/>
      </w:r>
      <w:r>
        <w:rPr>
          <w:rFonts w:ascii="Times New Roman" w:hAnsi="Times New Roman"/>
          <w:color w:val="000000"/>
          <w:sz w:val="24"/>
        </w:rPr>
        <w:t xml:space="preserve">Procedura și examinarea respective au fost finalizate, iar anexa XXX-C și anexa XXX-D pot fi, prin urmare, modificate, </w:t>
      </w:r>
    </w:p>
    <w:p w:rsidR="00F079C3" w:rsidRDefault="00F079C3" w:rsidP="00F079C3">
      <w:pPr>
        <w:spacing w:before="120" w:after="120" w:line="240" w:lineRule="auto"/>
        <w:ind w:left="850" w:hanging="850"/>
        <w:jc w:val="both"/>
        <w:rPr>
          <w:rFonts w:ascii="Times New Roman" w:eastAsia="Times New Roman" w:hAnsi="Times New Roman"/>
          <w:sz w:val="24"/>
          <w:szCs w:val="20"/>
        </w:rPr>
      </w:pPr>
    </w:p>
    <w:p w:rsidR="00F079C3" w:rsidRDefault="00F079C3" w:rsidP="00F079C3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079C3" w:rsidRDefault="00F079C3" w:rsidP="00F079C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DECIDE:</w:t>
      </w:r>
    </w:p>
    <w:p w:rsidR="00F079C3" w:rsidRDefault="00F079C3" w:rsidP="00F079C3">
      <w:pPr>
        <w:spacing w:before="120" w:after="120" w:line="240" w:lineRule="auto"/>
        <w:jc w:val="center"/>
        <w:rPr>
          <w:rFonts w:ascii="Times New Roman" w:eastAsia="Times New Roman" w:hAnsi="Times New Roman"/>
          <w:i/>
          <w:sz w:val="24"/>
          <w:szCs w:val="20"/>
        </w:rPr>
      </w:pPr>
      <w:r>
        <w:rPr>
          <w:rFonts w:ascii="Times New Roman" w:hAnsi="Times New Roman"/>
          <w:i/>
          <w:sz w:val="24"/>
        </w:rPr>
        <w:t>Articolul 1</w:t>
      </w:r>
    </w:p>
    <w:p w:rsidR="00F079C3" w:rsidRDefault="00F079C3" w:rsidP="00F079C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Anexa XXX-C și anexa XXX-D la Acordul de asociere între Uniunea Europeană și Comunitatea Europeană a Energiei Atomice și statele membre ale acestora, pe de o parte, și Republica Moldova, pe de altă parte sunt înlocuite de textul din anexa la prezenta decizie.</w:t>
      </w:r>
    </w:p>
    <w:p w:rsidR="00F079C3" w:rsidRDefault="00F079C3" w:rsidP="00F079C3">
      <w:pPr>
        <w:spacing w:before="120" w:after="120" w:line="240" w:lineRule="auto"/>
        <w:jc w:val="center"/>
        <w:rPr>
          <w:rFonts w:ascii="Times New Roman" w:eastAsia="Times New Roman" w:hAnsi="Times New Roman"/>
          <w:i/>
          <w:sz w:val="24"/>
          <w:szCs w:val="20"/>
        </w:rPr>
      </w:pPr>
      <w:r>
        <w:rPr>
          <w:rFonts w:ascii="Times New Roman" w:hAnsi="Times New Roman"/>
          <w:i/>
          <w:sz w:val="24"/>
        </w:rPr>
        <w:t>Articolul 2</w:t>
      </w:r>
    </w:p>
    <w:p w:rsidR="00FD0526" w:rsidRDefault="00F079C3" w:rsidP="00F079C3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Prezenta decizie intră în vigoare la data adoptării sale. </w:t>
      </w:r>
    </w:p>
    <w:p w:rsidR="00F079C3" w:rsidRDefault="00F079C3" w:rsidP="00F079C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Adoptată la Chișinău la XXXXXX</w:t>
      </w:r>
      <w:r w:rsidRPr="00F079C3">
        <w:rPr>
          <w:rFonts w:ascii="Times New Roman" w:hAnsi="Times New Roman"/>
          <w:sz w:val="24"/>
          <w:highlight w:val="yellow"/>
        </w:rPr>
        <w:t>.</w:t>
      </w:r>
    </w:p>
    <w:p w:rsidR="00FD0526" w:rsidRDefault="00FD0526">
      <w:pPr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page"/>
      </w:r>
    </w:p>
    <w:p w:rsidR="00F079C3" w:rsidRDefault="00F079C3" w:rsidP="00FD0526">
      <w:pPr>
        <w:spacing w:before="240" w:after="48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lastRenderedPageBreak/>
        <w:t xml:space="preserve">Pentru Subcomitetul pentru indicații geografice 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780"/>
        <w:gridCol w:w="3060"/>
        <w:gridCol w:w="3060"/>
      </w:tblGrid>
      <w:tr w:rsidR="00F079C3" w:rsidRPr="007556F0" w:rsidTr="00C33E3A">
        <w:trPr>
          <w:cantSplit/>
          <w:trHeight w:val="1838"/>
          <w:jc w:val="center"/>
        </w:trPr>
        <w:tc>
          <w:tcPr>
            <w:tcW w:w="2780" w:type="dxa"/>
          </w:tcPr>
          <w:p w:rsidR="00F079C3" w:rsidRDefault="00F079C3" w:rsidP="007A6B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7556F0">
              <w:rPr>
                <w:rFonts w:ascii="Times New Roman" w:hAnsi="Times New Roman"/>
                <w:sz w:val="24"/>
              </w:rPr>
              <w:t xml:space="preserve">Președintele și șeful delegației din </w:t>
            </w:r>
            <w:r w:rsidR="007A6BB4">
              <w:rPr>
                <w:rFonts w:ascii="Times New Roman" w:hAnsi="Times New Roman"/>
                <w:sz w:val="24"/>
              </w:rPr>
              <w:t xml:space="preserve">Republica Moldova </w:t>
            </w:r>
          </w:p>
        </w:tc>
        <w:tc>
          <w:tcPr>
            <w:tcW w:w="3060" w:type="dxa"/>
          </w:tcPr>
          <w:p w:rsidR="00F079C3" w:rsidRDefault="00F079C3" w:rsidP="00C33E3A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060" w:type="dxa"/>
          </w:tcPr>
          <w:p w:rsidR="00F079C3" w:rsidRDefault="00F079C3" w:rsidP="00C33E3A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7556F0">
              <w:rPr>
                <w:rFonts w:ascii="Times New Roman" w:hAnsi="Times New Roman"/>
                <w:sz w:val="24"/>
              </w:rPr>
              <w:t xml:space="preserve">Secretarul subcomitetului </w:t>
            </w:r>
          </w:p>
          <w:p w:rsidR="00F079C3" w:rsidRDefault="00F079C3" w:rsidP="00C33E3A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F079C3" w:rsidRPr="007556F0" w:rsidTr="00C33E3A">
        <w:trPr>
          <w:cantSplit/>
          <w:trHeight w:val="797"/>
          <w:jc w:val="center"/>
        </w:trPr>
        <w:tc>
          <w:tcPr>
            <w:tcW w:w="2780" w:type="dxa"/>
            <w:hideMark/>
          </w:tcPr>
          <w:p w:rsidR="00F079C3" w:rsidRDefault="007A6BB4" w:rsidP="00C33E3A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Lilia Bolocan</w:t>
            </w:r>
          </w:p>
        </w:tc>
        <w:tc>
          <w:tcPr>
            <w:tcW w:w="3060" w:type="dxa"/>
          </w:tcPr>
          <w:p w:rsidR="00F079C3" w:rsidRDefault="00F079C3" w:rsidP="00C33E3A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060" w:type="dxa"/>
            <w:hideMark/>
          </w:tcPr>
          <w:p w:rsidR="007A6BB4" w:rsidRDefault="007A6BB4" w:rsidP="007A6B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7556F0">
              <w:rPr>
                <w:rFonts w:ascii="Times New Roman" w:hAnsi="Times New Roman"/>
                <w:sz w:val="24"/>
              </w:rPr>
              <w:t>Secretarul Republicii Moldova</w:t>
            </w:r>
          </w:p>
          <w:p w:rsidR="007A6BB4" w:rsidRDefault="007A6BB4" w:rsidP="007A6B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7556F0">
              <w:rPr>
                <w:rFonts w:ascii="Times New Roman" w:hAnsi="Times New Roman"/>
                <w:sz w:val="24"/>
              </w:rPr>
              <w:t>Liliana Vieru</w:t>
            </w:r>
          </w:p>
          <w:p w:rsidR="007A6BB4" w:rsidRDefault="007A6BB4" w:rsidP="00C33E3A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079C3" w:rsidRDefault="00F079C3" w:rsidP="00C33E3A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7556F0">
              <w:rPr>
                <w:rFonts w:ascii="Times New Roman" w:hAnsi="Times New Roman"/>
                <w:sz w:val="24"/>
              </w:rPr>
              <w:t>Secretarul UE</w:t>
            </w:r>
          </w:p>
          <w:p w:rsidR="00F079C3" w:rsidRDefault="007A6BB4" w:rsidP="00C33E3A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7A6BB4">
              <w:rPr>
                <w:rFonts w:ascii="Times New Roman" w:hAnsi="Times New Roman"/>
                <w:sz w:val="24"/>
              </w:rPr>
              <w:t>Małgorzata</w:t>
            </w:r>
            <w:proofErr w:type="spellEnd"/>
            <w:r w:rsidRPr="007A6B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A6BB4">
              <w:rPr>
                <w:rFonts w:ascii="Times New Roman" w:hAnsi="Times New Roman"/>
                <w:sz w:val="24"/>
              </w:rPr>
              <w:t>Śliwińska</w:t>
            </w:r>
            <w:proofErr w:type="spellEnd"/>
            <w:r w:rsidRPr="007A6B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A6BB4">
              <w:rPr>
                <w:rFonts w:ascii="Times New Roman" w:hAnsi="Times New Roman"/>
                <w:sz w:val="24"/>
              </w:rPr>
              <w:t>-Klenner</w:t>
            </w:r>
            <w:proofErr w:type="spellEnd"/>
          </w:p>
          <w:p w:rsidR="00F079C3" w:rsidRDefault="00F079C3" w:rsidP="007A6B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475883" w:rsidRPr="00F079C3" w:rsidRDefault="00475883">
      <w:pPr>
        <w:rPr>
          <w:lang w:val="en-US"/>
        </w:rPr>
      </w:pPr>
    </w:p>
    <w:sectPr w:rsidR="00475883" w:rsidRPr="00F0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C3"/>
    <w:rsid w:val="00475883"/>
    <w:rsid w:val="007A6BB4"/>
    <w:rsid w:val="00F079C3"/>
    <w:rsid w:val="00F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C3"/>
    <w:rPr>
      <w:rFonts w:ascii="Calibri" w:eastAsia="Calibri" w:hAnsi="Calibri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C3"/>
    <w:rPr>
      <w:rFonts w:ascii="Calibri" w:eastAsia="Calibri" w:hAnsi="Calibri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vieru</dc:creator>
  <cp:lastModifiedBy>vieru</cp:lastModifiedBy>
  <cp:revision>3</cp:revision>
  <dcterms:created xsi:type="dcterms:W3CDTF">2017-08-03T12:17:00Z</dcterms:created>
  <dcterms:modified xsi:type="dcterms:W3CDTF">2017-08-03T13:07:00Z</dcterms:modified>
</cp:coreProperties>
</file>