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0D" w:rsidRPr="00EA6359" w:rsidRDefault="00C93A0D" w:rsidP="00C93A0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EA6359">
        <w:rPr>
          <w:rFonts w:ascii="Times New Roman" w:hAnsi="Times New Roman" w:cs="Times New Roman"/>
          <w:b/>
          <w:sz w:val="28"/>
          <w:szCs w:val="28"/>
          <w:lang w:val="ro-MO"/>
        </w:rPr>
        <w:t>Notă Informativă</w:t>
      </w:r>
    </w:p>
    <w:p w:rsidR="00C93A0D" w:rsidRPr="00EA6359" w:rsidRDefault="00C93A0D" w:rsidP="00C93A0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MO"/>
        </w:rPr>
      </w:pPr>
      <w:r w:rsidRPr="00EA6359">
        <w:rPr>
          <w:rFonts w:ascii="Times New Roman" w:hAnsi="Times New Roman" w:cs="Times New Roman"/>
          <w:sz w:val="28"/>
          <w:szCs w:val="28"/>
          <w:lang w:val="ro-MO"/>
        </w:rPr>
        <w:t xml:space="preserve">la proiectul </w:t>
      </w:r>
      <w:proofErr w:type="spellStart"/>
      <w:r w:rsidRPr="00EA6359">
        <w:rPr>
          <w:rFonts w:ascii="Times New Roman" w:hAnsi="Times New Roman" w:cs="Times New Roman"/>
          <w:sz w:val="28"/>
          <w:szCs w:val="28"/>
          <w:lang w:val="ro-MO"/>
        </w:rPr>
        <w:t>hotărîrii</w:t>
      </w:r>
      <w:proofErr w:type="spellEnd"/>
      <w:r w:rsidRPr="00EA6359">
        <w:rPr>
          <w:rFonts w:ascii="Times New Roman" w:hAnsi="Times New Roman" w:cs="Times New Roman"/>
          <w:sz w:val="28"/>
          <w:szCs w:val="28"/>
          <w:lang w:val="ro-MO"/>
        </w:rPr>
        <w:t xml:space="preserve"> Guvernului ,,Cu privire la modificarea și completarea</w:t>
      </w:r>
    </w:p>
    <w:p w:rsidR="00C93A0D" w:rsidRPr="00EA6359" w:rsidRDefault="00C93A0D" w:rsidP="00C93A0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MO"/>
        </w:rPr>
      </w:pPr>
      <w:r w:rsidRPr="00EA6359">
        <w:rPr>
          <w:rFonts w:ascii="Times New Roman" w:hAnsi="Times New Roman" w:cs="Times New Roman"/>
          <w:sz w:val="28"/>
          <w:szCs w:val="28"/>
          <w:lang w:val="ro-MO"/>
        </w:rPr>
        <w:t xml:space="preserve">anexei nr.1 la </w:t>
      </w:r>
      <w:proofErr w:type="spellStart"/>
      <w:r w:rsidRPr="00EA6359">
        <w:rPr>
          <w:rFonts w:ascii="Times New Roman" w:hAnsi="Times New Roman" w:cs="Times New Roman"/>
          <w:sz w:val="28"/>
          <w:szCs w:val="28"/>
          <w:lang w:val="ro-MO"/>
        </w:rPr>
        <w:t>Hotărîrea</w:t>
      </w:r>
      <w:proofErr w:type="spellEnd"/>
      <w:r w:rsidRPr="00EA6359">
        <w:rPr>
          <w:rFonts w:ascii="Times New Roman" w:hAnsi="Times New Roman" w:cs="Times New Roman"/>
          <w:sz w:val="28"/>
          <w:szCs w:val="28"/>
          <w:lang w:val="ro-MO"/>
        </w:rPr>
        <w:t xml:space="preserve"> Guvernului nr.201 din 11 martie 2009”</w:t>
      </w:r>
    </w:p>
    <w:p w:rsidR="00F246B0" w:rsidRPr="00EA6359" w:rsidRDefault="00F246B0" w:rsidP="00C93A0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M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446616" w:rsidRPr="007626DE" w:rsidTr="008B22B3">
        <w:tc>
          <w:tcPr>
            <w:tcW w:w="5000" w:type="pct"/>
            <w:shd w:val="clear" w:color="auto" w:fill="D9D9D9"/>
          </w:tcPr>
          <w:p w:rsidR="00446616" w:rsidRPr="00EA6359" w:rsidRDefault="00446616" w:rsidP="00446616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0" w:firstLine="89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 w:rsidRPr="00EA6359"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Denumirea autorului și, după caz, a participanților la elaborarea proiectului</w:t>
            </w:r>
          </w:p>
        </w:tc>
      </w:tr>
      <w:tr w:rsidR="00446616" w:rsidRPr="007626DE" w:rsidTr="008B22B3">
        <w:tc>
          <w:tcPr>
            <w:tcW w:w="5000" w:type="pct"/>
          </w:tcPr>
          <w:p w:rsidR="00446616" w:rsidRPr="00EA6359" w:rsidRDefault="00446616" w:rsidP="00F246B0">
            <w:pPr>
              <w:pStyle w:val="NoSpacing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o-MO"/>
              </w:rPr>
            </w:pPr>
            <w:r w:rsidRPr="00EA6359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Proiectul de </w:t>
            </w:r>
            <w:proofErr w:type="spellStart"/>
            <w:r w:rsidR="007626DE">
              <w:rPr>
                <w:rFonts w:ascii="Times New Roman" w:hAnsi="Times New Roman"/>
                <w:sz w:val="28"/>
                <w:szCs w:val="28"/>
                <w:lang w:val="ro-MO"/>
              </w:rPr>
              <w:t>hotărîre</w:t>
            </w:r>
            <w:proofErr w:type="spellEnd"/>
            <w:r w:rsidR="007626DE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 a </w:t>
            </w:r>
            <w:r w:rsidR="00F246B0" w:rsidRPr="00EA6359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Guvernului ,,Cu privire la modificarea și completarea anexei nr.1 la </w:t>
            </w:r>
            <w:proofErr w:type="spellStart"/>
            <w:r w:rsidR="00F246B0" w:rsidRPr="00EA6359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Hotărîrea</w:t>
            </w:r>
            <w:proofErr w:type="spellEnd"/>
            <w:r w:rsidR="00F246B0" w:rsidRPr="00EA6359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Guvernului nr.201 din 11 martie 2009” </w:t>
            </w:r>
            <w:r w:rsidRPr="00EA6359">
              <w:rPr>
                <w:rFonts w:ascii="Times New Roman" w:hAnsi="Times New Roman"/>
                <w:sz w:val="28"/>
                <w:szCs w:val="28"/>
                <w:lang w:val="ro-MO"/>
              </w:rPr>
              <w:t>a fost elaborat de Centrul de Implementare a Reformelor, în coordonare cu Cancelaria de Stat.</w:t>
            </w:r>
          </w:p>
        </w:tc>
      </w:tr>
      <w:tr w:rsidR="00446616" w:rsidRPr="007626DE" w:rsidTr="008B22B3">
        <w:tc>
          <w:tcPr>
            <w:tcW w:w="5000" w:type="pct"/>
            <w:shd w:val="clear" w:color="auto" w:fill="D9D9D9"/>
          </w:tcPr>
          <w:p w:rsidR="00446616" w:rsidRPr="00EA6359" w:rsidRDefault="00446616" w:rsidP="00446616">
            <w:pPr>
              <w:pStyle w:val="ListParagraph"/>
              <w:numPr>
                <w:ilvl w:val="0"/>
                <w:numId w:val="2"/>
              </w:numPr>
              <w:tabs>
                <w:tab w:val="left" w:pos="884"/>
              </w:tabs>
              <w:spacing w:after="120" w:line="240" w:lineRule="auto"/>
              <w:ind w:left="0" w:firstLine="89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 w:rsidRPr="00EA6359"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Condițiile ce au impus elaborarea proiectului de act normativ și finalitățile urmărite</w:t>
            </w:r>
          </w:p>
        </w:tc>
      </w:tr>
      <w:tr w:rsidR="00446616" w:rsidRPr="00EA6359" w:rsidTr="008B22B3">
        <w:tc>
          <w:tcPr>
            <w:tcW w:w="5000" w:type="pct"/>
          </w:tcPr>
          <w:p w:rsidR="00446616" w:rsidRPr="00EA6359" w:rsidRDefault="00BD4274" w:rsidP="008B22B3">
            <w:pPr>
              <w:spacing w:after="120"/>
              <w:ind w:firstLine="890"/>
              <w:jc w:val="both"/>
              <w:rPr>
                <w:rFonts w:ascii="Times New Roman" w:hAnsi="Times New Roman"/>
                <w:sz w:val="28"/>
                <w:szCs w:val="28"/>
                <w:lang w:val="ro-MO"/>
              </w:rPr>
            </w:pPr>
            <w:r w:rsidRPr="00EA6359">
              <w:rPr>
                <w:rFonts w:ascii="Times New Roman" w:hAnsi="Times New Roman"/>
                <w:sz w:val="28"/>
                <w:szCs w:val="28"/>
                <w:lang w:val="ro-MO"/>
              </w:rPr>
              <w:t>La 7 iulie 2017, Parlamentul a adoptat Legea cu privire la Guvern</w:t>
            </w:r>
            <w:r w:rsidR="007626DE">
              <w:rPr>
                <w:rFonts w:ascii="Times New Roman" w:hAnsi="Times New Roman"/>
                <w:sz w:val="28"/>
                <w:szCs w:val="28"/>
                <w:lang w:val="ro-MO"/>
              </w:rPr>
              <w:t>,</w:t>
            </w:r>
            <w:r w:rsidRPr="00EA6359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 nr.136. </w:t>
            </w:r>
          </w:p>
          <w:p w:rsidR="00447D90" w:rsidRPr="00EA6359" w:rsidRDefault="00447D90" w:rsidP="00560C68">
            <w:pPr>
              <w:tabs>
                <w:tab w:val="left" w:pos="993"/>
                <w:tab w:val="left" w:pos="1276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ro-MO"/>
              </w:rPr>
            </w:pPr>
            <w:r w:rsidRPr="00EA6359">
              <w:rPr>
                <w:rFonts w:ascii="Times New Roman" w:hAnsi="Times New Roman"/>
                <w:sz w:val="28"/>
                <w:szCs w:val="28"/>
                <w:lang w:val="ro-MO"/>
              </w:rPr>
              <w:t>Întru executare</w:t>
            </w:r>
            <w:r w:rsidR="007626DE">
              <w:rPr>
                <w:rFonts w:ascii="Times New Roman" w:hAnsi="Times New Roman"/>
                <w:sz w:val="28"/>
                <w:szCs w:val="28"/>
                <w:lang w:val="ro-MO"/>
              </w:rPr>
              <w:t>a</w:t>
            </w:r>
            <w:r w:rsidRPr="00EA6359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 prevederilor Legii cu privire la Guvern</w:t>
            </w:r>
            <w:r w:rsidR="00F246B0" w:rsidRPr="00EA6359">
              <w:rPr>
                <w:rFonts w:ascii="Times New Roman" w:hAnsi="Times New Roman"/>
                <w:sz w:val="28"/>
                <w:szCs w:val="28"/>
                <w:lang w:val="ro-MO"/>
              </w:rPr>
              <w:t>,</w:t>
            </w:r>
            <w:r w:rsidRPr="00EA6359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 a fost elaborat</w:t>
            </w:r>
            <w:r w:rsidR="00446616" w:rsidRPr="00EA6359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 </w:t>
            </w:r>
            <w:r w:rsidRPr="00EA6359">
              <w:rPr>
                <w:rFonts w:ascii="Times New Roman" w:hAnsi="Times New Roman"/>
                <w:sz w:val="28"/>
                <w:szCs w:val="28"/>
                <w:lang w:val="ro-MO"/>
              </w:rPr>
              <w:t>prezentul</w:t>
            </w:r>
            <w:r w:rsidR="00446616" w:rsidRPr="00EA6359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 proiect </w:t>
            </w:r>
            <w:r w:rsidR="00033E1B" w:rsidRPr="00EA6359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de </w:t>
            </w:r>
            <w:proofErr w:type="spellStart"/>
            <w:r w:rsidR="00033E1B" w:rsidRPr="00EA6359">
              <w:rPr>
                <w:rFonts w:ascii="Times New Roman" w:hAnsi="Times New Roman"/>
                <w:sz w:val="28"/>
                <w:szCs w:val="28"/>
                <w:lang w:val="ro-MO"/>
              </w:rPr>
              <w:t>hotărîre</w:t>
            </w:r>
            <w:proofErr w:type="spellEnd"/>
            <w:r w:rsidRPr="00EA6359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, care vine să reglementeze modalitatea de ocupare prin concurs a funcțiilor publice de conducere de nivel superior. </w:t>
            </w:r>
          </w:p>
          <w:p w:rsidR="00305D28" w:rsidRPr="00EA6359" w:rsidRDefault="00F246B0" w:rsidP="00560C68">
            <w:pPr>
              <w:tabs>
                <w:tab w:val="left" w:pos="993"/>
                <w:tab w:val="left" w:pos="1276"/>
              </w:tabs>
              <w:ind w:firstLine="851"/>
              <w:jc w:val="both"/>
              <w:rPr>
                <w:rFonts w:ascii="Times New Roman" w:eastAsia="Calibri" w:hAnsi="Times New Roman"/>
                <w:sz w:val="28"/>
                <w:szCs w:val="28"/>
                <w:lang w:val="ro-MO"/>
              </w:rPr>
            </w:pPr>
            <w:r w:rsidRPr="00EA6359">
              <w:rPr>
                <w:rFonts w:ascii="Times New Roman" w:hAnsi="Times New Roman"/>
                <w:sz w:val="28"/>
                <w:szCs w:val="28"/>
                <w:lang w:val="ro-MO"/>
              </w:rPr>
              <w:t>Modificările și completările</w:t>
            </w:r>
            <w:r w:rsidR="00447D90" w:rsidRPr="00EA6359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 </w:t>
            </w:r>
            <w:r w:rsidR="007626DE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vizează </w:t>
            </w:r>
            <w:r w:rsidR="00447D90" w:rsidRPr="00EA6359">
              <w:rPr>
                <w:rFonts w:ascii="Times New Roman" w:hAnsi="Times New Roman"/>
                <w:i/>
                <w:sz w:val="28"/>
                <w:szCs w:val="28"/>
                <w:lang w:val="ro-MO"/>
              </w:rPr>
              <w:t xml:space="preserve">Regulamentul </w:t>
            </w:r>
            <w:r w:rsidR="00447D90" w:rsidRPr="00EA6359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val="ro-MO"/>
              </w:rPr>
              <w:t>cu privire la ocuparea funcţiei publice prin concurs</w:t>
            </w:r>
            <w:r w:rsidR="00447D90" w:rsidRPr="00EA635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o-MO"/>
              </w:rPr>
              <w:t>,</w:t>
            </w:r>
            <w:r w:rsidR="00447D90" w:rsidRPr="00EA6359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 </w:t>
            </w:r>
            <w:r w:rsidRPr="00EA6359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anexa nr.1 </w:t>
            </w:r>
            <w:r w:rsidR="00447D90" w:rsidRPr="00EA6359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din </w:t>
            </w:r>
            <w:proofErr w:type="spellStart"/>
            <w:r w:rsidR="00447D90" w:rsidRPr="00EA6359">
              <w:rPr>
                <w:rFonts w:ascii="Times New Roman" w:hAnsi="Times New Roman"/>
                <w:sz w:val="28"/>
                <w:szCs w:val="28"/>
                <w:lang w:val="ro-MO"/>
              </w:rPr>
              <w:t>Hotărîrea</w:t>
            </w:r>
            <w:proofErr w:type="spellEnd"/>
            <w:r w:rsidR="00447D90" w:rsidRPr="00EA6359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 Guvernului nr.201 din 11 martie 2009</w:t>
            </w:r>
            <w:r w:rsidRPr="00EA6359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, </w:t>
            </w:r>
            <w:r w:rsidR="007626DE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și </w:t>
            </w:r>
            <w:proofErr w:type="spellStart"/>
            <w:r w:rsidRPr="00EA6359">
              <w:rPr>
                <w:rFonts w:ascii="Times New Roman" w:hAnsi="Times New Roman"/>
                <w:sz w:val="28"/>
                <w:szCs w:val="28"/>
                <w:lang w:val="ro-MO"/>
              </w:rPr>
              <w:t>sînt</w:t>
            </w:r>
            <w:proofErr w:type="spellEnd"/>
            <w:r w:rsidRPr="00EA6359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 determinate</w:t>
            </w:r>
            <w:r w:rsidR="00446616" w:rsidRPr="00EA6359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 în special de faptul </w:t>
            </w:r>
            <w:r w:rsidR="00305D28" w:rsidRPr="00EA6359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necesității </w:t>
            </w:r>
            <w:r w:rsidR="006B6736" w:rsidRPr="00EA6359">
              <w:rPr>
                <w:rFonts w:ascii="Times New Roman" w:hAnsi="Times New Roman"/>
                <w:sz w:val="28"/>
                <w:szCs w:val="28"/>
                <w:lang w:val="ro-MO"/>
              </w:rPr>
              <w:t>consolidării  funcției de secretar general de stat</w:t>
            </w:r>
            <w:r w:rsidR="00447D90" w:rsidRPr="00EA6359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 și</w:t>
            </w:r>
            <w:r w:rsidR="006B6736" w:rsidRPr="00EA6359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 funcției de secretar de stat</w:t>
            </w:r>
            <w:r w:rsidR="00447D90" w:rsidRPr="00EA6359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 în ministere</w:t>
            </w:r>
            <w:r w:rsidR="006B6736" w:rsidRPr="00EA6359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, </w:t>
            </w:r>
            <w:r w:rsidR="00560C68" w:rsidRPr="00EA6359">
              <w:rPr>
                <w:rFonts w:ascii="Times New Roman" w:eastAsia="Calibri" w:hAnsi="Times New Roman"/>
                <w:sz w:val="28"/>
                <w:szCs w:val="28"/>
                <w:lang w:val="ro-MO"/>
              </w:rPr>
              <w:t xml:space="preserve">a schimbării statutului </w:t>
            </w:r>
            <w:r w:rsidR="00305D28" w:rsidRPr="00EA6359">
              <w:rPr>
                <w:rFonts w:ascii="Times New Roman" w:eastAsia="Calibri" w:hAnsi="Times New Roman"/>
                <w:sz w:val="28"/>
                <w:szCs w:val="28"/>
                <w:lang w:val="ro-MO"/>
              </w:rPr>
              <w:t>din funcții de demnitate publică în funcții publice</w:t>
            </w:r>
            <w:r w:rsidR="00560C68" w:rsidRPr="00EA6359">
              <w:rPr>
                <w:rFonts w:ascii="Times New Roman" w:eastAsia="Calibri" w:hAnsi="Times New Roman"/>
                <w:sz w:val="28"/>
                <w:szCs w:val="28"/>
                <w:lang w:val="ro-MO"/>
              </w:rPr>
              <w:t xml:space="preserve"> de conducere de nivel superior</w:t>
            </w:r>
            <w:r w:rsidR="006B6736" w:rsidRPr="00EA6359">
              <w:rPr>
                <w:rFonts w:ascii="Times New Roman" w:eastAsia="Calibri" w:hAnsi="Times New Roman"/>
                <w:sz w:val="28"/>
                <w:szCs w:val="28"/>
                <w:lang w:val="ro-MO"/>
              </w:rPr>
              <w:t xml:space="preserve"> pentru funcția de secretar general al Guvernului și secreta</w:t>
            </w:r>
            <w:r w:rsidR="00447D90" w:rsidRPr="00EA6359">
              <w:rPr>
                <w:rFonts w:ascii="Times New Roman" w:eastAsia="Calibri" w:hAnsi="Times New Roman"/>
                <w:sz w:val="28"/>
                <w:szCs w:val="28"/>
                <w:lang w:val="ro-MO"/>
              </w:rPr>
              <w:t>r general adjunct al Guvernului</w:t>
            </w:r>
            <w:r w:rsidR="007626DE">
              <w:rPr>
                <w:rFonts w:ascii="Times New Roman" w:eastAsia="Calibri" w:hAnsi="Times New Roman"/>
                <w:sz w:val="28"/>
                <w:szCs w:val="28"/>
                <w:lang w:val="ro-MO"/>
              </w:rPr>
              <w:t>,</w:t>
            </w:r>
            <w:bookmarkStart w:id="0" w:name="_GoBack"/>
            <w:bookmarkEnd w:id="0"/>
            <w:r w:rsidR="00447D90" w:rsidRPr="00EA6359">
              <w:rPr>
                <w:rFonts w:ascii="Times New Roman" w:eastAsia="Calibri" w:hAnsi="Times New Roman"/>
                <w:sz w:val="28"/>
                <w:szCs w:val="28"/>
                <w:lang w:val="ro-MO"/>
              </w:rPr>
              <w:t xml:space="preserve"> </w:t>
            </w:r>
            <w:r w:rsidR="007626DE">
              <w:rPr>
                <w:rFonts w:ascii="Times New Roman" w:eastAsia="Calibri" w:hAnsi="Times New Roman"/>
                <w:sz w:val="28"/>
                <w:szCs w:val="28"/>
                <w:lang w:val="ro-MO"/>
              </w:rPr>
              <w:t xml:space="preserve">precum </w:t>
            </w:r>
            <w:r w:rsidR="00447D90" w:rsidRPr="00EA6359">
              <w:rPr>
                <w:rFonts w:ascii="Times New Roman" w:eastAsia="Calibri" w:hAnsi="Times New Roman"/>
                <w:sz w:val="28"/>
                <w:szCs w:val="28"/>
                <w:lang w:val="ro-MO"/>
              </w:rPr>
              <w:t>și a necesității organizării concursurilor pentru ocuparea acestor funcții publice</w:t>
            </w:r>
            <w:r w:rsidR="00305D28" w:rsidRPr="00EA6359">
              <w:rPr>
                <w:rFonts w:ascii="Times New Roman" w:eastAsia="Calibri" w:hAnsi="Times New Roman"/>
                <w:sz w:val="28"/>
                <w:szCs w:val="28"/>
                <w:lang w:val="ro-MO"/>
              </w:rPr>
              <w:t>.</w:t>
            </w:r>
          </w:p>
          <w:p w:rsidR="00EA6359" w:rsidRDefault="00F246B0" w:rsidP="00F246B0">
            <w:pPr>
              <w:pStyle w:val="NoSpacing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o-MO"/>
              </w:rPr>
            </w:pPr>
            <w:r w:rsidRPr="00EA6359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Astfel, datorită faptului că f</w:t>
            </w:r>
            <w:r w:rsidRPr="00EA63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o-MO"/>
              </w:rPr>
              <w:t>uncţionarii publici de conducere de nivel superior realizează managementul nivelului superior în autorităţile publice</w:t>
            </w:r>
            <w:r w:rsidR="00EA6359" w:rsidRPr="00EA63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o-MO"/>
              </w:rPr>
              <w:t xml:space="preserve">, </w:t>
            </w:r>
            <w:r w:rsidRPr="00EA6359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concursul pentru ocuparea </w:t>
            </w:r>
            <w:r w:rsidR="00EA6359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acestor funcții</w:t>
            </w:r>
            <w:r w:rsidRPr="00EA6359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, se propune să includă 2 etape: </w:t>
            </w:r>
          </w:p>
          <w:p w:rsidR="00EA6359" w:rsidRDefault="00F246B0" w:rsidP="00EA6359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MO"/>
              </w:rPr>
            </w:pPr>
            <w:r w:rsidRPr="00EA6359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competiția cv-urilor</w:t>
            </w:r>
            <w:r w:rsidR="00EA6359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, și</w:t>
            </w:r>
          </w:p>
          <w:p w:rsidR="001E664A" w:rsidRPr="001E664A" w:rsidRDefault="00F246B0" w:rsidP="001E664A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  <w:lang w:val="ro-MO"/>
              </w:rPr>
            </w:pPr>
            <w:r w:rsidRPr="00EA6359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interviul.  </w:t>
            </w:r>
          </w:p>
        </w:tc>
      </w:tr>
      <w:tr w:rsidR="00446616" w:rsidRPr="00EA6359" w:rsidTr="008B22B3">
        <w:tc>
          <w:tcPr>
            <w:tcW w:w="5000" w:type="pct"/>
            <w:shd w:val="clear" w:color="auto" w:fill="D9D9D9"/>
          </w:tcPr>
          <w:p w:rsidR="00446616" w:rsidRPr="00EA6359" w:rsidRDefault="00446616" w:rsidP="00446616">
            <w:pPr>
              <w:pStyle w:val="ListParagraph"/>
              <w:numPr>
                <w:ilvl w:val="0"/>
                <w:numId w:val="2"/>
              </w:numPr>
              <w:tabs>
                <w:tab w:val="left" w:pos="884"/>
              </w:tabs>
              <w:spacing w:after="120" w:line="240" w:lineRule="auto"/>
              <w:ind w:left="0" w:firstLine="89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 w:rsidRPr="00EA6359"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Fundamentarea economico-financiară</w:t>
            </w:r>
          </w:p>
        </w:tc>
      </w:tr>
      <w:tr w:rsidR="00446616" w:rsidRPr="007626DE" w:rsidTr="008B22B3">
        <w:tc>
          <w:tcPr>
            <w:tcW w:w="5000" w:type="pct"/>
          </w:tcPr>
          <w:p w:rsidR="00446616" w:rsidRPr="00EA6359" w:rsidRDefault="00560C68" w:rsidP="008B22B3">
            <w:pPr>
              <w:spacing w:after="120"/>
              <w:ind w:firstLine="878"/>
              <w:jc w:val="both"/>
              <w:rPr>
                <w:rFonts w:ascii="Times New Roman" w:hAnsi="Times New Roman"/>
                <w:sz w:val="28"/>
                <w:szCs w:val="28"/>
                <w:lang w:val="ro-MO"/>
              </w:rPr>
            </w:pPr>
            <w:r w:rsidRPr="00EA6359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Adoptarea proiectului de </w:t>
            </w:r>
            <w:proofErr w:type="spellStart"/>
            <w:r w:rsidRPr="00EA6359">
              <w:rPr>
                <w:rFonts w:ascii="Times New Roman" w:hAnsi="Times New Roman"/>
                <w:sz w:val="28"/>
                <w:szCs w:val="28"/>
                <w:lang w:val="ro-MO"/>
              </w:rPr>
              <w:t>hotărîre</w:t>
            </w:r>
            <w:proofErr w:type="spellEnd"/>
            <w:r w:rsidRPr="00EA6359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 nu necesită careva cheltuieli financiare.</w:t>
            </w:r>
          </w:p>
        </w:tc>
      </w:tr>
      <w:tr w:rsidR="00446616" w:rsidRPr="007626DE" w:rsidTr="008B22B3">
        <w:tc>
          <w:tcPr>
            <w:tcW w:w="5000" w:type="pct"/>
            <w:shd w:val="clear" w:color="auto" w:fill="D9D9D9"/>
          </w:tcPr>
          <w:p w:rsidR="00446616" w:rsidRPr="00EA6359" w:rsidRDefault="00446616" w:rsidP="00446616">
            <w:pPr>
              <w:pStyle w:val="ListParagraph"/>
              <w:numPr>
                <w:ilvl w:val="0"/>
                <w:numId w:val="2"/>
              </w:numPr>
              <w:tabs>
                <w:tab w:val="left" w:pos="884"/>
              </w:tabs>
              <w:spacing w:after="120" w:line="240" w:lineRule="auto"/>
              <w:ind w:left="0" w:firstLine="89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 w:rsidRPr="00EA6359"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Avizarea și consultarea publică a proiectului</w:t>
            </w:r>
          </w:p>
        </w:tc>
      </w:tr>
      <w:tr w:rsidR="00446616" w:rsidRPr="007626DE" w:rsidTr="008B22B3">
        <w:tc>
          <w:tcPr>
            <w:tcW w:w="5000" w:type="pct"/>
          </w:tcPr>
          <w:p w:rsidR="00446616" w:rsidRPr="00471E02" w:rsidRDefault="00446616" w:rsidP="00471E02">
            <w:pPr>
              <w:tabs>
                <w:tab w:val="left" w:pos="884"/>
              </w:tabs>
              <w:spacing w:after="120"/>
              <w:ind w:firstLine="890"/>
              <w:jc w:val="both"/>
              <w:rPr>
                <w:rFonts w:ascii="Times New Roman" w:hAnsi="Times New Roman"/>
                <w:sz w:val="28"/>
                <w:szCs w:val="28"/>
                <w:lang w:val="ro-MO"/>
              </w:rPr>
            </w:pPr>
            <w:r w:rsidRPr="00471E02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În conformitate cu prevederile </w:t>
            </w:r>
            <w:r w:rsidR="00471E02" w:rsidRPr="00471E02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Legii nr.317/2003 </w:t>
            </w:r>
            <w:proofErr w:type="spellStart"/>
            <w:r w:rsidR="00471E02" w:rsidRPr="00471E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privind</w:t>
            </w:r>
            <w:proofErr w:type="spellEnd"/>
            <w:r w:rsidR="00471E02" w:rsidRPr="00471E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471E02" w:rsidRPr="00471E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actele</w:t>
            </w:r>
            <w:proofErr w:type="spellEnd"/>
            <w:r w:rsidR="00471E02" w:rsidRPr="00471E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normative ale </w:t>
            </w:r>
            <w:proofErr w:type="spellStart"/>
            <w:r w:rsidR="00471E02" w:rsidRPr="00471E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Guvernului</w:t>
            </w:r>
            <w:proofErr w:type="spellEnd"/>
            <w:r w:rsidR="00471E02" w:rsidRPr="00471E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471E02" w:rsidRPr="00471E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şi</w:t>
            </w:r>
            <w:proofErr w:type="spellEnd"/>
            <w:r w:rsidR="00471E02" w:rsidRPr="00471E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ale </w:t>
            </w:r>
            <w:proofErr w:type="spellStart"/>
            <w:r w:rsidR="00471E02" w:rsidRPr="00471E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altor</w:t>
            </w:r>
            <w:proofErr w:type="spellEnd"/>
            <w:r w:rsidR="00471E02" w:rsidRPr="00471E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471E02" w:rsidRPr="00471E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autorităţi</w:t>
            </w:r>
            <w:proofErr w:type="spellEnd"/>
            <w:r w:rsidR="00471E02" w:rsidRPr="00471E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ale </w:t>
            </w:r>
            <w:proofErr w:type="spellStart"/>
            <w:r w:rsidR="00471E02" w:rsidRPr="00471E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administraţiei</w:t>
            </w:r>
            <w:proofErr w:type="spellEnd"/>
            <w:r w:rsidR="00471E02" w:rsidRPr="00471E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471E02" w:rsidRPr="00471E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publice</w:t>
            </w:r>
            <w:proofErr w:type="spellEnd"/>
            <w:r w:rsidR="00471E02" w:rsidRPr="00471E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471E02" w:rsidRPr="00471E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centrale</w:t>
            </w:r>
            <w:proofErr w:type="spellEnd"/>
            <w:r w:rsidR="00471E02" w:rsidRPr="00471E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471E02" w:rsidRPr="00471E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şi</w:t>
            </w:r>
            <w:proofErr w:type="spellEnd"/>
            <w:r w:rsidR="00471E02" w:rsidRPr="00471E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locale</w:t>
            </w:r>
            <w:r w:rsidRPr="00471E02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, Centrul de Implementare a Reformelor prezintă proiectul </w:t>
            </w:r>
            <w:proofErr w:type="spellStart"/>
            <w:r w:rsidR="00471E02">
              <w:rPr>
                <w:rFonts w:ascii="Times New Roman" w:hAnsi="Times New Roman"/>
                <w:sz w:val="28"/>
                <w:szCs w:val="28"/>
                <w:lang w:val="ro-MO"/>
              </w:rPr>
              <w:t>hotărîrii</w:t>
            </w:r>
            <w:proofErr w:type="spellEnd"/>
            <w:r w:rsidR="00471E02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 de Guvern </w:t>
            </w:r>
            <w:r w:rsidRPr="00471E02">
              <w:rPr>
                <w:rFonts w:ascii="Times New Roman" w:hAnsi="Times New Roman"/>
                <w:sz w:val="28"/>
                <w:szCs w:val="28"/>
                <w:lang w:val="ro-MO"/>
              </w:rPr>
              <w:t>pentru avizare și consultare publică.</w:t>
            </w:r>
          </w:p>
        </w:tc>
      </w:tr>
    </w:tbl>
    <w:p w:rsidR="00433C3A" w:rsidRDefault="00433C3A" w:rsidP="00B87E3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ab/>
      </w:r>
      <w:r>
        <w:rPr>
          <w:rFonts w:ascii="Times New Roman" w:hAnsi="Times New Roman" w:cs="Times New Roman"/>
          <w:sz w:val="28"/>
          <w:szCs w:val="28"/>
          <w:lang w:val="ro-MO"/>
        </w:rPr>
        <w:tab/>
      </w:r>
      <w:r>
        <w:rPr>
          <w:rFonts w:ascii="Times New Roman" w:hAnsi="Times New Roman" w:cs="Times New Roman"/>
          <w:sz w:val="28"/>
          <w:szCs w:val="28"/>
          <w:lang w:val="ro-MO"/>
        </w:rPr>
        <w:tab/>
      </w:r>
    </w:p>
    <w:p w:rsidR="00B87E3F" w:rsidRDefault="00B87E3F" w:rsidP="00B87E3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>Director</w:t>
      </w:r>
      <w:r w:rsidR="00433C3A" w:rsidRPr="00433C3A">
        <w:rPr>
          <w:rFonts w:ascii="Times New Roman" w:hAnsi="Times New Roman" w:cs="Times New Roman"/>
          <w:b/>
          <w:sz w:val="28"/>
          <w:szCs w:val="28"/>
          <w:lang w:val="ro-MO"/>
        </w:rPr>
        <w:t xml:space="preserve">             </w:t>
      </w:r>
      <w:r w:rsidR="00433C3A">
        <w:rPr>
          <w:rFonts w:ascii="Times New Roman" w:hAnsi="Times New Roman" w:cs="Times New Roman"/>
          <w:b/>
          <w:sz w:val="28"/>
          <w:szCs w:val="28"/>
          <w:lang w:val="ro-MO"/>
        </w:rPr>
        <w:tab/>
      </w:r>
      <w:r w:rsidR="00433C3A">
        <w:rPr>
          <w:rFonts w:ascii="Times New Roman" w:hAnsi="Times New Roman" w:cs="Times New Roman"/>
          <w:b/>
          <w:sz w:val="28"/>
          <w:szCs w:val="28"/>
          <w:lang w:val="ro-MO"/>
        </w:rPr>
        <w:tab/>
      </w:r>
      <w:r w:rsidR="00433C3A">
        <w:rPr>
          <w:rFonts w:ascii="Times New Roman" w:hAnsi="Times New Roman" w:cs="Times New Roman"/>
          <w:b/>
          <w:sz w:val="28"/>
          <w:szCs w:val="28"/>
          <w:lang w:val="ro-MO"/>
        </w:rPr>
        <w:tab/>
      </w:r>
      <w:r w:rsidR="00433C3A">
        <w:rPr>
          <w:rFonts w:ascii="Times New Roman" w:hAnsi="Times New Roman" w:cs="Times New Roman"/>
          <w:b/>
          <w:sz w:val="28"/>
          <w:szCs w:val="28"/>
          <w:lang w:val="ro-MO"/>
        </w:rPr>
        <w:tab/>
      </w:r>
      <w:r w:rsidR="00433C3A">
        <w:rPr>
          <w:rFonts w:ascii="Times New Roman" w:hAnsi="Times New Roman" w:cs="Times New Roman"/>
          <w:b/>
          <w:sz w:val="28"/>
          <w:szCs w:val="28"/>
          <w:lang w:val="ro-MO"/>
        </w:rPr>
        <w:tab/>
      </w:r>
      <w:r w:rsidR="00433C3A">
        <w:rPr>
          <w:rFonts w:ascii="Times New Roman" w:hAnsi="Times New Roman" w:cs="Times New Roman"/>
          <w:b/>
          <w:sz w:val="28"/>
          <w:szCs w:val="28"/>
          <w:lang w:val="ro-MO"/>
        </w:rPr>
        <w:tab/>
      </w:r>
      <w:r w:rsidR="00433C3A">
        <w:rPr>
          <w:rFonts w:ascii="Times New Roman" w:hAnsi="Times New Roman" w:cs="Times New Roman"/>
          <w:b/>
          <w:sz w:val="28"/>
          <w:szCs w:val="28"/>
          <w:lang w:val="ro-MO"/>
        </w:rPr>
        <w:tab/>
      </w:r>
      <w:r w:rsidR="00433C3A">
        <w:rPr>
          <w:rFonts w:ascii="Times New Roman" w:hAnsi="Times New Roman" w:cs="Times New Roman"/>
          <w:b/>
          <w:sz w:val="28"/>
          <w:szCs w:val="28"/>
          <w:lang w:val="ro-MO"/>
        </w:rPr>
        <w:tab/>
      </w:r>
      <w:r w:rsidR="00433C3A" w:rsidRPr="00433C3A">
        <w:rPr>
          <w:rFonts w:ascii="Times New Roman" w:hAnsi="Times New Roman" w:cs="Times New Roman"/>
          <w:b/>
          <w:sz w:val="28"/>
          <w:szCs w:val="28"/>
          <w:lang w:val="ro-MO"/>
        </w:rPr>
        <w:t>Iurie CIOCAN</w:t>
      </w:r>
    </w:p>
    <w:p w:rsidR="00446616" w:rsidRPr="00433C3A" w:rsidRDefault="00B87E3F" w:rsidP="00B87E3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al Centrului de Implementare a Reformelor    </w:t>
      </w:r>
      <w:r w:rsidR="00433C3A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433C3A">
        <w:rPr>
          <w:rFonts w:ascii="Times New Roman" w:hAnsi="Times New Roman" w:cs="Times New Roman"/>
          <w:sz w:val="28"/>
          <w:szCs w:val="28"/>
          <w:lang w:val="ro-MO"/>
        </w:rPr>
        <w:tab/>
      </w:r>
      <w:r w:rsidR="00433C3A">
        <w:rPr>
          <w:rFonts w:ascii="Times New Roman" w:hAnsi="Times New Roman" w:cs="Times New Roman"/>
          <w:sz w:val="28"/>
          <w:szCs w:val="28"/>
          <w:lang w:val="ro-MO"/>
        </w:rPr>
        <w:tab/>
      </w:r>
    </w:p>
    <w:p w:rsidR="00B87E3F" w:rsidRDefault="00B87E3F" w:rsidP="00B87E3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B87E3F" w:rsidRPr="00EA6359" w:rsidRDefault="00B87E3F" w:rsidP="00B87E3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sectPr w:rsidR="00B87E3F" w:rsidRPr="00EA6359" w:rsidSect="007626D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FA5"/>
    <w:multiLevelType w:val="hybridMultilevel"/>
    <w:tmpl w:val="D248A892"/>
    <w:lvl w:ilvl="0" w:tplc="08E8F7E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0E70E8"/>
    <w:multiLevelType w:val="hybridMultilevel"/>
    <w:tmpl w:val="774AD61C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EDA58AD"/>
    <w:multiLevelType w:val="hybridMultilevel"/>
    <w:tmpl w:val="634E1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556B0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F6950"/>
    <w:multiLevelType w:val="hybridMultilevel"/>
    <w:tmpl w:val="CBC01E44"/>
    <w:lvl w:ilvl="0" w:tplc="0409000B">
      <w:start w:val="1"/>
      <w:numFmt w:val="bullet"/>
      <w:lvlText w:val=""/>
      <w:lvlJc w:val="left"/>
      <w:pPr>
        <w:ind w:left="15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03A"/>
    <w:rsid w:val="00001AF7"/>
    <w:rsid w:val="0000757E"/>
    <w:rsid w:val="00033E1B"/>
    <w:rsid w:val="00036C50"/>
    <w:rsid w:val="00092D5F"/>
    <w:rsid w:val="001111AC"/>
    <w:rsid w:val="00147B1C"/>
    <w:rsid w:val="001E362B"/>
    <w:rsid w:val="001E591D"/>
    <w:rsid w:val="001E664A"/>
    <w:rsid w:val="0020762E"/>
    <w:rsid w:val="002230B2"/>
    <w:rsid w:val="00266D71"/>
    <w:rsid w:val="00281139"/>
    <w:rsid w:val="002A7F68"/>
    <w:rsid w:val="002C0A44"/>
    <w:rsid w:val="00305D28"/>
    <w:rsid w:val="0035504B"/>
    <w:rsid w:val="00363AB5"/>
    <w:rsid w:val="00371499"/>
    <w:rsid w:val="00394FAC"/>
    <w:rsid w:val="003A4D14"/>
    <w:rsid w:val="003D7C72"/>
    <w:rsid w:val="003E0A6E"/>
    <w:rsid w:val="003E3B93"/>
    <w:rsid w:val="003F4981"/>
    <w:rsid w:val="0040256E"/>
    <w:rsid w:val="00417B12"/>
    <w:rsid w:val="00433C3A"/>
    <w:rsid w:val="00445580"/>
    <w:rsid w:val="00446616"/>
    <w:rsid w:val="00447D90"/>
    <w:rsid w:val="00471E02"/>
    <w:rsid w:val="00481193"/>
    <w:rsid w:val="00487747"/>
    <w:rsid w:val="0049661F"/>
    <w:rsid w:val="004B3E21"/>
    <w:rsid w:val="004E68C5"/>
    <w:rsid w:val="004F6607"/>
    <w:rsid w:val="005340F2"/>
    <w:rsid w:val="00537706"/>
    <w:rsid w:val="00560C68"/>
    <w:rsid w:val="0058409C"/>
    <w:rsid w:val="005862BC"/>
    <w:rsid w:val="005C1D73"/>
    <w:rsid w:val="005F2DD3"/>
    <w:rsid w:val="00617FC6"/>
    <w:rsid w:val="00624F20"/>
    <w:rsid w:val="006527B3"/>
    <w:rsid w:val="006627C5"/>
    <w:rsid w:val="006B603A"/>
    <w:rsid w:val="006B6736"/>
    <w:rsid w:val="006C27F1"/>
    <w:rsid w:val="006D7330"/>
    <w:rsid w:val="00740FA3"/>
    <w:rsid w:val="007626DE"/>
    <w:rsid w:val="007E68AD"/>
    <w:rsid w:val="007E6ECD"/>
    <w:rsid w:val="00825A4F"/>
    <w:rsid w:val="0085073D"/>
    <w:rsid w:val="008509BE"/>
    <w:rsid w:val="008A5565"/>
    <w:rsid w:val="008F5CC2"/>
    <w:rsid w:val="009219DD"/>
    <w:rsid w:val="00941E99"/>
    <w:rsid w:val="0096161A"/>
    <w:rsid w:val="009736C4"/>
    <w:rsid w:val="00986C63"/>
    <w:rsid w:val="00997AB6"/>
    <w:rsid w:val="009B72AA"/>
    <w:rsid w:val="00A665B2"/>
    <w:rsid w:val="00A767C7"/>
    <w:rsid w:val="00A84B2F"/>
    <w:rsid w:val="00AB2245"/>
    <w:rsid w:val="00AB71CA"/>
    <w:rsid w:val="00AD7FE1"/>
    <w:rsid w:val="00B1207E"/>
    <w:rsid w:val="00B21F76"/>
    <w:rsid w:val="00B87E3F"/>
    <w:rsid w:val="00BD4274"/>
    <w:rsid w:val="00C16CCB"/>
    <w:rsid w:val="00C315FE"/>
    <w:rsid w:val="00C85DF9"/>
    <w:rsid w:val="00C93A0D"/>
    <w:rsid w:val="00CB5D92"/>
    <w:rsid w:val="00D1315C"/>
    <w:rsid w:val="00D64413"/>
    <w:rsid w:val="00DA2FA2"/>
    <w:rsid w:val="00DE0DDE"/>
    <w:rsid w:val="00EA6359"/>
    <w:rsid w:val="00EB0FA6"/>
    <w:rsid w:val="00EC3297"/>
    <w:rsid w:val="00EE0A17"/>
    <w:rsid w:val="00F17D26"/>
    <w:rsid w:val="00F246B0"/>
    <w:rsid w:val="00F26B34"/>
    <w:rsid w:val="00F27731"/>
    <w:rsid w:val="00F44815"/>
    <w:rsid w:val="00F46D29"/>
    <w:rsid w:val="00F67792"/>
    <w:rsid w:val="00F70914"/>
    <w:rsid w:val="00F72E1A"/>
    <w:rsid w:val="00F92EF2"/>
    <w:rsid w:val="00FB7398"/>
    <w:rsid w:val="00FF15E7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6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A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6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11</cp:revision>
  <dcterms:created xsi:type="dcterms:W3CDTF">2017-07-24T09:08:00Z</dcterms:created>
  <dcterms:modified xsi:type="dcterms:W3CDTF">2017-07-24T10:39:00Z</dcterms:modified>
</cp:coreProperties>
</file>