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86" w:rsidRDefault="00A20586" w:rsidP="00A90FA3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NOTĂ INFORMATIVĂ </w:t>
      </w:r>
    </w:p>
    <w:p w:rsidR="001D5486" w:rsidRPr="001D5486" w:rsidRDefault="001D5486" w:rsidP="00A90FA3">
      <w:pPr>
        <w:pStyle w:val="NoSpacing"/>
        <w:ind w:firstLine="708"/>
        <w:jc w:val="center"/>
        <w:rPr>
          <w:rFonts w:ascii="Times New Roman" w:hAnsi="Times New Roman" w:cs="Times New Roman"/>
          <w:b/>
          <w:sz w:val="12"/>
          <w:szCs w:val="12"/>
          <w:lang w:val="ro-MD"/>
        </w:rPr>
      </w:pPr>
    </w:p>
    <w:p w:rsidR="00A20586" w:rsidRPr="00A90FA3" w:rsidRDefault="00A20586" w:rsidP="00A90F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A90FA3">
        <w:rPr>
          <w:rFonts w:ascii="Times New Roman" w:hAnsi="Times New Roman" w:cs="Times New Roman"/>
          <w:b/>
          <w:sz w:val="24"/>
          <w:szCs w:val="24"/>
          <w:lang w:val="ro-MD"/>
        </w:rPr>
        <w:t>la proiectul hotărîrii Guvernului ,,</w:t>
      </w:r>
      <w:r w:rsidR="00A90FA3" w:rsidRPr="00A90F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Cu privire la modificarea şi completarea unor hotărîri ale Guvernului</w:t>
      </w:r>
      <w:r w:rsidRPr="00A90FA3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p w:rsidR="00A20586" w:rsidRPr="00964477" w:rsidRDefault="00A20586" w:rsidP="00A2058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D" w:eastAsia="ru-RU"/>
        </w:rPr>
      </w:pPr>
      <w:r w:rsidRPr="001A6D06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</w:p>
    <w:p w:rsidR="00A20586" w:rsidRPr="00964477" w:rsidRDefault="00A20586" w:rsidP="00A20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8300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Numele iniţiatorului şi a autorului, precum şi a participanţilor la elaborarea proiectului. Scopul şi obiectivele.</w:t>
      </w:r>
    </w:p>
    <w:p w:rsidR="00360EBA" w:rsidRPr="00360EBA" w:rsidRDefault="00360EBA" w:rsidP="00911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A20586" w:rsidRPr="00D8652B" w:rsidRDefault="009115F0" w:rsidP="00911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Prezentul </w:t>
      </w:r>
      <w:r w:rsidR="001D5486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proiect de </w:t>
      </w:r>
      <w:r w:rsidR="001D5486" w:rsidRPr="00D8652B">
        <w:rPr>
          <w:rFonts w:ascii="Times New Roman" w:hAnsi="Times New Roman" w:cs="Times New Roman"/>
          <w:sz w:val="28"/>
          <w:szCs w:val="28"/>
          <w:lang w:val="ro-MD"/>
        </w:rPr>
        <w:t>hotărîre a Guvernului a fost ela</w:t>
      </w:r>
      <w:r w:rsidR="003F0940" w:rsidRPr="00D8652B">
        <w:rPr>
          <w:rFonts w:ascii="Times New Roman" w:hAnsi="Times New Roman" w:cs="Times New Roman"/>
          <w:sz w:val="28"/>
          <w:szCs w:val="28"/>
          <w:lang w:val="ro-MD"/>
        </w:rPr>
        <w:t>borat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 xml:space="preserve"> de către Cancelaria de Stat </w:t>
      </w:r>
      <w:r w:rsidR="00A40302" w:rsidRPr="00D8652B">
        <w:rPr>
          <w:rFonts w:ascii="Times New Roman" w:hAnsi="Times New Roman" w:cs="Times New Roman"/>
          <w:sz w:val="28"/>
          <w:szCs w:val="28"/>
          <w:lang w:val="ro-RO"/>
        </w:rPr>
        <w:t>în vederea asigurării</w:t>
      </w:r>
      <w:r w:rsidR="003F0940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 realizării prevederilor </w:t>
      </w:r>
      <w:r w:rsidRPr="00D8652B">
        <w:rPr>
          <w:rFonts w:ascii="Times New Roman" w:hAnsi="Times New Roman" w:cs="Times New Roman"/>
          <w:sz w:val="28"/>
          <w:szCs w:val="28"/>
          <w:lang w:val="ro-RO"/>
        </w:rPr>
        <w:t>Art.II din Legea</w:t>
      </w:r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8652B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D86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297 din </w:t>
      </w:r>
      <w:r w:rsidR="00D8652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22 decembrie 2016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modificarea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şi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completarea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unor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legislative</w:t>
      </w:r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şi a Legii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modificarea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şi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completarea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unor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</w:t>
      </w:r>
      <w:proofErr w:type="spellEnd"/>
      <w:r w:rsidRPr="009115F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legislative</w:t>
      </w:r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adoptată</w:t>
      </w:r>
      <w:proofErr w:type="spellEnd"/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A40302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de </w:t>
      </w:r>
      <w:proofErr w:type="spellStart"/>
      <w:r w:rsidR="00A40302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către</w:t>
      </w:r>
      <w:proofErr w:type="spellEnd"/>
      <w:r w:rsidR="00A40302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40302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Parlament</w:t>
      </w:r>
      <w:proofErr w:type="spellEnd"/>
      <w:r w:rsidR="00A40302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la 14 </w:t>
      </w:r>
      <w:proofErr w:type="spellStart"/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iulie</w:t>
      </w:r>
      <w:proofErr w:type="spellEnd"/>
      <w:r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2017</w:t>
      </w:r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prin</w:t>
      </w:r>
      <w:proofErr w:type="spellEnd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modificarea</w:t>
      </w:r>
      <w:proofErr w:type="spellEnd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şi </w:t>
      </w:r>
      <w:proofErr w:type="spellStart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completarea</w:t>
      </w:r>
      <w:proofErr w:type="spellEnd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unor</w:t>
      </w:r>
      <w:proofErr w:type="spellEnd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hotărîri</w:t>
      </w:r>
      <w:proofErr w:type="spellEnd"/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Guvern </w:t>
      </w:r>
      <w:r w:rsidR="00811FA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            </w:t>
      </w:r>
      <w:r w:rsidR="00DC317B" w:rsidRPr="00D865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(HG</w:t>
      </w:r>
      <w:r w:rsidR="00DC317B" w:rsidRPr="00D865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C317B" w:rsidRPr="00D8652B">
        <w:rPr>
          <w:rFonts w:ascii="Times New Roman" w:hAnsi="Times New Roman" w:cs="Times New Roman"/>
          <w:color w:val="000000"/>
          <w:sz w:val="28"/>
          <w:szCs w:val="28"/>
          <w:lang w:val="en-US"/>
        </w:rPr>
        <w:t>nr.201/2009</w:t>
      </w:r>
      <w:r w:rsidR="00DC317B" w:rsidRPr="00D8652B">
        <w:rPr>
          <w:rFonts w:ascii="Times New Roman" w:hAnsi="Times New Roman" w:cs="Times New Roman"/>
          <w:color w:val="000000"/>
          <w:sz w:val="28"/>
          <w:szCs w:val="28"/>
          <w:lang w:val="en-US"/>
        </w:rPr>
        <w:t>, HG</w:t>
      </w:r>
      <w:r w:rsidR="00DC317B" w:rsidRPr="00D865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DC317B" w:rsidRPr="00D8652B">
        <w:rPr>
          <w:rFonts w:ascii="Times New Roman" w:eastAsia="Calibri" w:hAnsi="Times New Roman" w:cs="Times New Roman"/>
          <w:sz w:val="28"/>
          <w:szCs w:val="28"/>
          <w:lang w:val="ro-RO"/>
        </w:rPr>
        <w:t>nr.331/2012</w:t>
      </w:r>
      <w:r w:rsidR="00DC317B" w:rsidRPr="00D865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şi HG </w:t>
      </w:r>
      <w:r w:rsidR="00DC317B" w:rsidRPr="00D8652B">
        <w:rPr>
          <w:rFonts w:ascii="Times New Roman" w:hAnsi="Times New Roman" w:cs="Times New Roman"/>
          <w:sz w:val="28"/>
          <w:szCs w:val="28"/>
          <w:lang w:val="ro-RO"/>
        </w:rPr>
        <w:t>nr.710/2012</w:t>
      </w:r>
      <w:r w:rsidR="00DC317B" w:rsidRPr="00D8652B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D8652B" w:rsidRPr="00D8652B" w:rsidRDefault="00A20586" w:rsidP="00491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52B">
        <w:rPr>
          <w:rFonts w:ascii="Times New Roman" w:hAnsi="Times New Roman" w:cs="Times New Roman"/>
          <w:sz w:val="28"/>
          <w:szCs w:val="28"/>
          <w:lang w:val="ro-RO"/>
        </w:rPr>
        <w:t>Sco</w:t>
      </w:r>
      <w:r w:rsidR="000A70BC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pul </w:t>
      </w:r>
      <w:r w:rsidR="00A40302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proiectului nominalizat vizează sporirea spectrului </w:t>
      </w:r>
      <w:r w:rsidR="00A40302" w:rsidRPr="00D8652B">
        <w:rPr>
          <w:rFonts w:ascii="Times New Roman" w:hAnsi="Times New Roman" w:cs="Times New Roman"/>
          <w:sz w:val="28"/>
          <w:szCs w:val="28"/>
          <w:lang w:val="ro-RO"/>
        </w:rPr>
        <w:t>motivaţ</w:t>
      </w:r>
      <w:r w:rsidR="00A40302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ional al funcţionarilor publici </w:t>
      </w:r>
      <w:r w:rsidR="00D8652B" w:rsidRPr="00D8652B">
        <w:rPr>
          <w:rFonts w:ascii="Times New Roman" w:hAnsi="Times New Roman"/>
          <w:sz w:val="28"/>
          <w:szCs w:val="28"/>
          <w:lang w:val="ro-MD"/>
        </w:rPr>
        <w:t>pentru obţinerea unor rezultate optime la nivel de subdiviziune/a</w:t>
      </w:r>
      <w:r w:rsidR="00D8652B" w:rsidRPr="00D8652B">
        <w:rPr>
          <w:rFonts w:ascii="Times New Roman" w:hAnsi="Times New Roman"/>
          <w:sz w:val="28"/>
          <w:szCs w:val="28"/>
          <w:lang w:val="ro-MD"/>
        </w:rPr>
        <w:t>utoritate publică</w:t>
      </w:r>
      <w:r w:rsidR="00D8652B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8652B" w:rsidRPr="00D8652B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 xml:space="preserve">acordarea 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 xml:space="preserve">diferenţiată a 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>plăţi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 xml:space="preserve"> de stimulare</w:t>
      </w:r>
      <w:r w:rsidR="00D8652B" w:rsidRPr="00D8652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D8652B" w:rsidRDefault="00D8652B" w:rsidP="00D86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:rsidR="00D8652B" w:rsidRPr="00D8652B" w:rsidRDefault="00D8652B" w:rsidP="00D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Expunerea problemelor abordate în proiect prin prisma cadrului normativ                                 în vigoare, argumentarea necesităţii de reglementare, evidenţierea elementelor noi.</w:t>
      </w:r>
    </w:p>
    <w:p w:rsidR="00360EBA" w:rsidRPr="00360EBA" w:rsidRDefault="00360EBA" w:rsidP="00491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ro-MD"/>
        </w:rPr>
      </w:pPr>
    </w:p>
    <w:p w:rsidR="00491BF8" w:rsidRPr="00811FA1" w:rsidRDefault="00360EBA" w:rsidP="00491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Urmare a modificării şi completării cadrului normativ în vigoare, funcţionarii publici pot beneficia de alte plăţi de stimulare, acordate </w:t>
      </w:r>
      <w:r w:rsidR="00A40302" w:rsidRPr="00811FA1">
        <w:rPr>
          <w:rFonts w:ascii="Times New Roman" w:hAnsi="Times New Roman" w:cs="Times New Roman"/>
          <w:sz w:val="28"/>
          <w:szCs w:val="28"/>
          <w:lang w:val="ro-MD"/>
        </w:rPr>
        <w:t>de către conducătorul autorităţii</w:t>
      </w:r>
      <w:r w:rsidR="009256B2" w:rsidRPr="00811FA1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491BF8" w:rsidRPr="00811FA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91BF8" w:rsidRPr="00811FA1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  <w:r w:rsidR="00491BF8"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volumul alocațiilor planificate de 15% din fondul anual de salarizare, calculat în raport cu salariile de funcție prevăzute în schema de încadrare a autorității publice, precum și din economiile mijloacelor pentru retribuirea muncii alocate pe anul respectiv pe autoritate, </w:t>
      </w:r>
      <w:r w:rsidR="00491BF8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disponibile după deducerea plăților de la </w:t>
      </w:r>
      <w:r w:rsidR="00491BF8" w:rsidRPr="00811FA1">
        <w:rPr>
          <w:rFonts w:ascii="Times New Roman" w:hAnsi="Times New Roman" w:cs="Times New Roman"/>
          <w:sz w:val="28"/>
          <w:szCs w:val="28"/>
          <w:lang w:val="ro-RO"/>
        </w:rPr>
        <w:t>subpct.</w:t>
      </w:r>
      <w:r w:rsidR="00491BF8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3) pct.8</w:t>
      </w:r>
      <w:r w:rsidR="00C15492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 Hotărîrii Guvernului nr.331/2012</w:t>
      </w:r>
      <w:r w:rsidR="00491BF8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C15492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condițiile calculării acestora</w:t>
      </w:r>
      <w:r w:rsidR="00491BF8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15492" w:rsidRPr="00811FA1" w:rsidRDefault="00491BF8" w:rsidP="00C15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1FA1">
        <w:rPr>
          <w:rFonts w:ascii="Times New Roman" w:hAnsi="Times New Roman" w:cs="Times New Roman"/>
          <w:sz w:val="28"/>
          <w:szCs w:val="28"/>
          <w:lang w:val="ro-RO"/>
        </w:rPr>
        <w:t>Mecanismul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de acordare a altor plăți de stimulare pentru funcționarii publici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se va stabili 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prin act normativ cu caracter intern. Fapt, ce va asigura posibilitatea motivării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corespunzător implicării şi realizărilor individuale, generînd rezultate pozitive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con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solidarea unei echipe 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profesioniste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şi formarea unui sistem eficient şi modern de administrare.</w:t>
      </w:r>
      <w:r w:rsidR="00C15492"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În cazul, funcționarilor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publici de conducere de nivel superior alte plăți de stimulare </w:t>
      </w:r>
      <w:r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r w:rsidR="00C15492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>vor achita</w:t>
      </w:r>
      <w:r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conform metodei stabilite în anexa nr. 4</w:t>
      </w:r>
      <w:r w:rsidRPr="00811FA1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1</w:t>
      </w:r>
      <w:r w:rsidR="00DC317B"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HG nr.331/2012.</w:t>
      </w:r>
      <w:r w:rsidR="00C15492"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60EBA" w:rsidRPr="00360EBA" w:rsidRDefault="00360EBA" w:rsidP="00360E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60EBA">
        <w:rPr>
          <w:rFonts w:ascii="Times New Roman" w:hAnsi="Times New Roman" w:cs="Times New Roman"/>
          <w:sz w:val="28"/>
          <w:szCs w:val="28"/>
          <w:lang w:val="ro-RO"/>
        </w:rPr>
        <w:t>Alte plăți de stimulare nu se acordă funcționarilor publici care, pe parcursul perioadei de gestiune, au fost sancționați disciplinar.</w:t>
      </w:r>
    </w:p>
    <w:p w:rsidR="00360EBA" w:rsidRPr="00360EBA" w:rsidRDefault="00360EBA" w:rsidP="00DC31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  <w:lang w:val="ro-RO"/>
        </w:rPr>
      </w:pPr>
    </w:p>
    <w:p w:rsidR="00DC317B" w:rsidRDefault="00C15492" w:rsidP="00DC3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11FA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Menţionăm că, norma legală sus evocată se extinde şi asupra 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ersonalul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care efectuează deservirea tehnică și asigură funcționarea</w:t>
      </w:r>
      <w:r w:rsidRPr="00811FA1">
        <w:rPr>
          <w:rFonts w:ascii="Times New Roman" w:hAnsi="Times New Roman" w:cs="Times New Roman"/>
          <w:sz w:val="28"/>
          <w:szCs w:val="28"/>
          <w:lang w:val="ro-RO"/>
        </w:rPr>
        <w:t xml:space="preserve"> autorităţilor publice, fapt ce a determinat şi completarea Hotărîrii Guvernului nr.710/2012.</w:t>
      </w:r>
      <w:r w:rsidR="00DC317B" w:rsidRPr="00811FA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360EBA" w:rsidRPr="00360EBA" w:rsidRDefault="00360EBA" w:rsidP="00DC3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491BF8" w:rsidRPr="00811FA1" w:rsidRDefault="00DC317B" w:rsidP="00DC3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11FA1">
        <w:rPr>
          <w:rFonts w:ascii="Times New Roman" w:hAnsi="Times New Roman"/>
          <w:color w:val="000000"/>
          <w:sz w:val="28"/>
          <w:szCs w:val="28"/>
          <w:lang w:val="ro-RO"/>
        </w:rPr>
        <w:t>În context, se</w:t>
      </w:r>
      <w:r w:rsidRPr="00811FA1">
        <w:rPr>
          <w:rFonts w:ascii="Times New Roman" w:hAnsi="Times New Roman"/>
          <w:color w:val="000000"/>
          <w:sz w:val="28"/>
          <w:szCs w:val="28"/>
          <w:lang w:val="ro-RO"/>
        </w:rPr>
        <w:t xml:space="preserve"> abrogă prevederile cu privire la</w:t>
      </w:r>
      <w:r w:rsidRPr="00811FA1">
        <w:rPr>
          <w:rFonts w:ascii="Times New Roman" w:hAnsi="Times New Roman"/>
          <w:color w:val="000000"/>
          <w:sz w:val="28"/>
          <w:szCs w:val="28"/>
          <w:lang w:val="ro-RO"/>
        </w:rPr>
        <w:t xml:space="preserve"> sporul </w:t>
      </w:r>
      <w:r w:rsidRPr="00811FA1">
        <w:rPr>
          <w:rFonts w:ascii="Times New Roman" w:hAnsi="Times New Roman"/>
          <w:color w:val="000000"/>
          <w:sz w:val="28"/>
          <w:szCs w:val="28"/>
          <w:lang w:val="ro-RO"/>
        </w:rPr>
        <w:t>pentru intensitatea muncii.</w:t>
      </w:r>
    </w:p>
    <w:p w:rsidR="00360EBA" w:rsidRPr="00360EBA" w:rsidRDefault="00360EBA" w:rsidP="00DC3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ro-MD"/>
        </w:rPr>
      </w:pPr>
    </w:p>
    <w:p w:rsidR="00C15492" w:rsidRPr="00811FA1" w:rsidRDefault="00491BF8" w:rsidP="00DC3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11FA1">
        <w:rPr>
          <w:rFonts w:ascii="Times New Roman" w:hAnsi="Times New Roman" w:cs="Times New Roman"/>
          <w:sz w:val="28"/>
          <w:szCs w:val="28"/>
          <w:lang w:val="ro-MD"/>
        </w:rPr>
        <w:t xml:space="preserve">Totodată, proiectul prevede </w:t>
      </w:r>
      <w:r w:rsidR="00A319C2" w:rsidRPr="00811FA1">
        <w:rPr>
          <w:rFonts w:ascii="Times New Roman" w:hAnsi="Times New Roman" w:cs="Times New Roman"/>
          <w:sz w:val="28"/>
          <w:szCs w:val="28"/>
          <w:lang w:val="ro-MD"/>
        </w:rPr>
        <w:t xml:space="preserve">oferirea posibilităţii funcţionarilor publici </w:t>
      </w:r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participare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proiecte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dezvoltare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domeniul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competență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cadrul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utorității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este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angajat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contextul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excluderii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incompatibili</w:t>
      </w:r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>tăţii</w:t>
      </w:r>
      <w:proofErr w:type="spellEnd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>enunţate</w:t>
      </w:r>
      <w:proofErr w:type="spellEnd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>prin</w:t>
      </w:r>
      <w:proofErr w:type="spellEnd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C317B" w:rsidRPr="00811FA1">
        <w:rPr>
          <w:rFonts w:ascii="Times New Roman" w:hAnsi="Times New Roman"/>
          <w:color w:val="000000"/>
          <w:sz w:val="28"/>
          <w:szCs w:val="28"/>
          <w:lang w:val="en-US"/>
        </w:rPr>
        <w:t>lege</w:t>
      </w:r>
      <w:proofErr w:type="spellEnd"/>
      <w:r w:rsidR="00C1549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="00C15492" w:rsidRPr="00811FA1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egulilor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privind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desfăşurarea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muncii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prin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cumul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funcţionarului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public,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anexa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nr.4 la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Hotăr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îrea </w:t>
      </w:r>
      <w:proofErr w:type="spellStart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Guvernului</w:t>
      </w:r>
      <w:proofErr w:type="spellEnd"/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nr.201/</w:t>
      </w:r>
      <w:r w:rsidR="00C15492" w:rsidRPr="00811FA1">
        <w:rPr>
          <w:rFonts w:ascii="Times New Roman" w:hAnsi="Times New Roman" w:cs="Times New Roman"/>
          <w:color w:val="000000"/>
          <w:sz w:val="28"/>
          <w:szCs w:val="28"/>
          <w:lang w:val="en-US"/>
        </w:rPr>
        <w:t>2009</w:t>
      </w:r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afara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>orelor</w:t>
      </w:r>
      <w:proofErr w:type="spellEnd"/>
      <w:r w:rsidR="00A319C2" w:rsidRPr="00811FA1">
        <w:rPr>
          <w:rFonts w:ascii="Times New Roman" w:hAnsi="Times New Roman"/>
          <w:color w:val="000000"/>
          <w:sz w:val="28"/>
          <w:szCs w:val="28"/>
          <w:lang w:val="en-US"/>
        </w:rPr>
        <w:t xml:space="preserve"> de program.</w:t>
      </w:r>
    </w:p>
    <w:p w:rsidR="00D8652B" w:rsidRPr="00811FA1" w:rsidRDefault="00D8652B" w:rsidP="00DC3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60EBA" w:rsidRPr="00D8652B" w:rsidRDefault="00360EBA" w:rsidP="00360EB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:rsidR="00A20586" w:rsidRPr="00305BFB" w:rsidRDefault="00A20586" w:rsidP="00811FA1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D"/>
        </w:rPr>
      </w:pPr>
    </w:p>
    <w:p w:rsidR="00A20586" w:rsidRDefault="00A20586" w:rsidP="00A20586">
      <w:pPr>
        <w:pStyle w:val="NoSpacing"/>
        <w:ind w:firstLine="70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05BF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Fundamentarea economico-financiară</w:t>
      </w:r>
      <w:r w:rsidRPr="00305BF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20586" w:rsidRDefault="00A20586" w:rsidP="00A20586">
      <w:pPr>
        <w:pStyle w:val="NoSpacing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implementarea proiectului de hotărîre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menționat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nu vor fi necesare mijloace financiare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suplimentare</w:t>
      </w:r>
      <w:r w:rsidRPr="001A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.</w:t>
      </w:r>
    </w:p>
    <w:p w:rsidR="00A20586" w:rsidRPr="00305BFB" w:rsidRDefault="00A20586" w:rsidP="00A20586">
      <w:pPr>
        <w:pStyle w:val="NoSpacing"/>
        <w:ind w:firstLine="706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A20586" w:rsidRDefault="00A20586" w:rsidP="00A20586">
      <w:pPr>
        <w:pStyle w:val="NoSpacing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30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Consultarea publică a proiectului </w:t>
      </w:r>
    </w:p>
    <w:p w:rsidR="00A20586" w:rsidRPr="00305BFB" w:rsidRDefault="00A20586" w:rsidP="00A20586">
      <w:pPr>
        <w:pStyle w:val="NoSpacing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respectării prevederilor Legii nr. 239-XVI din 13 noiembrie 2008 privind transparenţa în procesul decizional, proiectul de lege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a f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plasat pe pagina </w:t>
      </w:r>
      <w:hyperlink r:id="rId4" w:history="1">
        <w:r w:rsidRPr="00583007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www.particip.gov.md</w:t>
        </w:r>
      </w:hyperlink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A20586" w:rsidRPr="00583007" w:rsidRDefault="00A20586" w:rsidP="00A20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</w:t>
      </w:r>
      <w:r w:rsidR="00360EBA">
        <w:rPr>
          <w:rFonts w:ascii="Times New Roman" w:eastAsia="Times New Roman" w:hAnsi="Times New Roman" w:cs="Times New Roman"/>
          <w:sz w:val="28"/>
          <w:szCs w:val="28"/>
          <w:lang w:val="ro-RO"/>
        </w:rPr>
        <w:t>se remite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spre avizare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60EBA">
        <w:rPr>
          <w:rFonts w:ascii="Times New Roman" w:eastAsia="Times New Roman" w:hAnsi="Times New Roman" w:cs="Times New Roman"/>
          <w:sz w:val="28"/>
          <w:szCs w:val="28"/>
          <w:lang w:val="ro-RO"/>
        </w:rPr>
        <w:t>Ministerului Muncii, Protecţiei Sociale şi Familiei</w:t>
      </w:r>
      <w:r w:rsidR="00360EB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60EB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Ministerul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Finanţelor, </w:t>
      </w:r>
      <w:r w:rsidR="00360EB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Ministerului Economiei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Ministerul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ui Justiţiei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precum şi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va prezenta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Naţional Anticorupţie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a fi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supus expertizei anticorupţie.</w:t>
      </w:r>
    </w:p>
    <w:p w:rsidR="00A20586" w:rsidRPr="00583007" w:rsidRDefault="00A20586" w:rsidP="00A20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Propunerile relevante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vor fi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luate în consideraţie la etapa de definitivare a </w:t>
      </w:r>
      <w:bookmarkStart w:id="0" w:name="_GoBack"/>
      <w:bookmarkEnd w:id="0"/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proiectului.  </w:t>
      </w:r>
    </w:p>
    <w:p w:rsidR="00A20586" w:rsidRPr="00583007" w:rsidRDefault="00A20586" w:rsidP="00A20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20586" w:rsidRDefault="00A20586" w:rsidP="00A20586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0586" w:rsidRDefault="00A20586" w:rsidP="00A20586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Lilia PALII</w:t>
      </w:r>
    </w:p>
    <w:p w:rsidR="00A20586" w:rsidRPr="00964477" w:rsidRDefault="00A20586" w:rsidP="00A2058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20586" w:rsidRPr="001A6D06" w:rsidRDefault="00A20586" w:rsidP="00A20586">
      <w:pPr>
        <w:rPr>
          <w:lang w:val="ro-MD"/>
        </w:rPr>
      </w:pPr>
    </w:p>
    <w:p w:rsidR="0028490C" w:rsidRPr="00A20586" w:rsidRDefault="0028490C">
      <w:pPr>
        <w:rPr>
          <w:lang w:val="ro-MD"/>
        </w:rPr>
      </w:pPr>
    </w:p>
    <w:sectPr w:rsidR="0028490C" w:rsidRPr="00A20586" w:rsidSect="00016B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66"/>
    <w:rsid w:val="000A70BC"/>
    <w:rsid w:val="001D5486"/>
    <w:rsid w:val="00251A66"/>
    <w:rsid w:val="0028490C"/>
    <w:rsid w:val="00360EBA"/>
    <w:rsid w:val="003F0940"/>
    <w:rsid w:val="00491BF8"/>
    <w:rsid w:val="00811FA1"/>
    <w:rsid w:val="009115F0"/>
    <w:rsid w:val="009256B2"/>
    <w:rsid w:val="00A20586"/>
    <w:rsid w:val="00A319C2"/>
    <w:rsid w:val="00A40302"/>
    <w:rsid w:val="00A90FA3"/>
    <w:rsid w:val="00C15492"/>
    <w:rsid w:val="00D8652B"/>
    <w:rsid w:val="00D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32AFC-0CC2-458D-B5C3-E484F219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8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586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A205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0586"/>
    <w:rPr>
      <w:i/>
      <w:iCs/>
    </w:rPr>
  </w:style>
  <w:style w:type="paragraph" w:customStyle="1" w:styleId="tt">
    <w:name w:val="tt"/>
    <w:basedOn w:val="Normal"/>
    <w:rsid w:val="00911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A7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Turcanu</dc:creator>
  <cp:keywords/>
  <dc:description/>
  <cp:lastModifiedBy>Snejana Turcanu</cp:lastModifiedBy>
  <cp:revision>17</cp:revision>
  <dcterms:created xsi:type="dcterms:W3CDTF">2017-07-21T10:56:00Z</dcterms:created>
  <dcterms:modified xsi:type="dcterms:W3CDTF">2017-07-21T13:02:00Z</dcterms:modified>
</cp:coreProperties>
</file>