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4882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bookmarkStart w:id="0" w:name="_Ref433294560"/>
      <w:bookmarkEnd w:id="0"/>
      <w:r w:rsidRPr="001E4882">
        <w:rPr>
          <w:rFonts w:ascii="Times New Roman" w:eastAsia="Times New Roman" w:hAnsi="Times New Roman" w:cs="Times New Roman"/>
          <w:b/>
          <w:bCs/>
          <w:sz w:val="28"/>
          <w:szCs w:val="28"/>
        </w:rPr>
        <w:t>roiect</w:t>
      </w: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4882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 REPUBLICII  MOLDOVA</w:t>
      </w: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4882">
        <w:rPr>
          <w:rFonts w:ascii="Times New Roman" w:eastAsia="Times New Roman" w:hAnsi="Times New Roman" w:cs="Times New Roman"/>
          <w:b/>
          <w:bCs/>
          <w:sz w:val="28"/>
          <w:szCs w:val="28"/>
        </w:rPr>
        <w:t>H O T Ă R Î R E  Nr._____</w:t>
      </w: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4882">
        <w:rPr>
          <w:rFonts w:ascii="Times New Roman" w:eastAsia="Times New Roman" w:hAnsi="Times New Roman" w:cs="Times New Roman"/>
          <w:b/>
          <w:bCs/>
          <w:sz w:val="28"/>
          <w:szCs w:val="28"/>
        </w:rPr>
        <w:t>din ____   ___________   201</w:t>
      </w:r>
      <w:r w:rsidR="00CD392A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882">
        <w:rPr>
          <w:rFonts w:ascii="Times New Roman" w:eastAsia="Times New Roman" w:hAnsi="Times New Roman" w:cs="Times New Roman"/>
          <w:b/>
          <w:sz w:val="28"/>
          <w:szCs w:val="28"/>
        </w:rPr>
        <w:t xml:space="preserve">Privind aprobarea Regulamentului cu privire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la inițierea și desfășurarea </w:t>
      </w:r>
      <w:r w:rsidRPr="001E4882">
        <w:rPr>
          <w:rFonts w:ascii="Times New Roman" w:eastAsia="Times New Roman" w:hAnsi="Times New Roman" w:cs="Times New Roman"/>
          <w:b/>
          <w:sz w:val="28"/>
          <w:szCs w:val="28"/>
        </w:rPr>
        <w:t>centralizată a procedurilor de achiziții publice</w:t>
      </w: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882">
        <w:rPr>
          <w:rFonts w:ascii="Times New Roman" w:eastAsia="Times New Roman" w:hAnsi="Times New Roman" w:cs="Times New Roman"/>
          <w:sz w:val="28"/>
          <w:szCs w:val="28"/>
        </w:rPr>
        <w:t>În temeiul art.</w:t>
      </w:r>
      <w:r w:rsidR="00993529">
        <w:rPr>
          <w:rFonts w:ascii="Times New Roman" w:eastAsia="Times New Roman" w:hAnsi="Times New Roman" w:cs="Times New Roman"/>
          <w:sz w:val="28"/>
          <w:szCs w:val="28"/>
        </w:rPr>
        <w:t xml:space="preserve"> 12 alin. (6)</w:t>
      </w:r>
      <w:r w:rsidRPr="001E4882">
        <w:rPr>
          <w:rFonts w:ascii="Times New Roman" w:eastAsia="Times New Roman" w:hAnsi="Times New Roman" w:cs="Times New Roman"/>
          <w:sz w:val="28"/>
          <w:szCs w:val="28"/>
        </w:rPr>
        <w:t xml:space="preserve"> din Legea nr.131 din 03 iulie 2015 privind achizițiile publice (Monitorul Oficial al Republicii Moldova, 31.07.2015, nr.</w:t>
      </w:r>
      <w:r w:rsidRPr="001E4882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1E4882">
        <w:rPr>
          <w:rFonts w:ascii="Times New Roman" w:eastAsia="Times New Roman" w:hAnsi="Times New Roman" w:cs="Times New Roman"/>
          <w:sz w:val="28"/>
          <w:szCs w:val="28"/>
        </w:rPr>
        <w:t>197-205, art.402), Guvernul</w:t>
      </w: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4882">
        <w:rPr>
          <w:rFonts w:ascii="Times New Roman" w:eastAsia="Times New Roman" w:hAnsi="Times New Roman" w:cs="Times New Roman"/>
          <w:b/>
          <w:bCs/>
          <w:sz w:val="28"/>
          <w:szCs w:val="28"/>
        </w:rPr>
        <w:t>HOTĂRĂȘTE:</w:t>
      </w: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4882" w:rsidRDefault="00D81E62" w:rsidP="0074699C">
      <w:pPr>
        <w:pStyle w:val="ListParagraph"/>
        <w:numPr>
          <w:ilvl w:val="0"/>
          <w:numId w:val="4"/>
        </w:numPr>
        <w:tabs>
          <w:tab w:val="clear" w:pos="993"/>
          <w:tab w:val="left" w:pos="0"/>
        </w:tabs>
        <w:ind w:left="0" w:firstLine="567"/>
        <w:rPr>
          <w:rFonts w:eastAsia="Cambria"/>
          <w:szCs w:val="28"/>
        </w:rPr>
      </w:pPr>
      <w:r w:rsidRPr="008D170F">
        <w:rPr>
          <w:rFonts w:eastAsia="Cambria"/>
          <w:szCs w:val="28"/>
        </w:rPr>
        <w:t xml:space="preserve">Se aprobă </w:t>
      </w:r>
      <w:r w:rsidR="001E4882" w:rsidRPr="008D170F">
        <w:rPr>
          <w:rFonts w:eastAsia="Cambria"/>
          <w:szCs w:val="28"/>
        </w:rPr>
        <w:t>Regulamentul cu privire la inițierea și desfășurarea centralizată a procedurilor de achiziții publice, conform anexei.</w:t>
      </w:r>
    </w:p>
    <w:p w:rsidR="00205861" w:rsidRPr="00205861" w:rsidRDefault="00736EB9" w:rsidP="0074699C">
      <w:pPr>
        <w:pStyle w:val="ListParagraph"/>
        <w:numPr>
          <w:ilvl w:val="0"/>
          <w:numId w:val="4"/>
        </w:numPr>
        <w:tabs>
          <w:tab w:val="clear" w:pos="993"/>
          <w:tab w:val="left" w:pos="0"/>
        </w:tabs>
        <w:ind w:left="0" w:firstLine="567"/>
        <w:rPr>
          <w:rFonts w:eastAsia="Cambria"/>
          <w:szCs w:val="28"/>
        </w:rPr>
      </w:pPr>
      <w:r>
        <w:rPr>
          <w:rFonts w:eastAsia="Cambria"/>
          <w:szCs w:val="28"/>
        </w:rPr>
        <w:t>Se recomandă a</w:t>
      </w:r>
      <w:r>
        <w:rPr>
          <w:color w:val="000000"/>
        </w:rPr>
        <w:t>utorităților</w:t>
      </w:r>
      <w:r w:rsidR="008D170F">
        <w:rPr>
          <w:color w:val="000000"/>
        </w:rPr>
        <w:t xml:space="preserve"> administrației publice </w:t>
      </w:r>
      <w:r w:rsidR="00205861">
        <w:rPr>
          <w:color w:val="000000"/>
        </w:rPr>
        <w:t xml:space="preserve">locale </w:t>
      </w:r>
      <w:r w:rsidR="008D170F">
        <w:rPr>
          <w:color w:val="000000"/>
        </w:rPr>
        <w:t>de nivelul II</w:t>
      </w:r>
      <w:r>
        <w:rPr>
          <w:color w:val="000000"/>
        </w:rPr>
        <w:t>, Primăriei</w:t>
      </w:r>
      <w:r w:rsidR="008D170F">
        <w:rPr>
          <w:color w:val="000000"/>
        </w:rPr>
        <w:t xml:space="preserve"> municipiului Chișinău, </w:t>
      </w:r>
      <w:r>
        <w:rPr>
          <w:color w:val="000000"/>
        </w:rPr>
        <w:t>Primăriei</w:t>
      </w:r>
      <w:r w:rsidR="008D170F">
        <w:rPr>
          <w:color w:val="000000"/>
        </w:rPr>
        <w:t xml:space="preserve"> municipiului</w:t>
      </w:r>
      <w:r w:rsidR="00205861">
        <w:rPr>
          <w:color w:val="000000"/>
        </w:rPr>
        <w:t xml:space="preserve"> Bălți și</w:t>
      </w:r>
      <w:r w:rsidR="008D170F">
        <w:rPr>
          <w:color w:val="000000"/>
        </w:rPr>
        <w:t xml:space="preserve"> </w:t>
      </w:r>
      <w:r w:rsidR="00205861">
        <w:rPr>
          <w:color w:val="000000"/>
        </w:rPr>
        <w:t>Comitetul</w:t>
      </w:r>
      <w:r>
        <w:rPr>
          <w:color w:val="000000"/>
        </w:rPr>
        <w:t>ui</w:t>
      </w:r>
      <w:r w:rsidR="00205861">
        <w:rPr>
          <w:color w:val="000000"/>
        </w:rPr>
        <w:t xml:space="preserve"> executiv al Găgăuziei</w:t>
      </w:r>
      <w:r>
        <w:rPr>
          <w:color w:val="000000"/>
        </w:rPr>
        <w:t xml:space="preserve"> să inițieze și să desfășoare proceduri centralizate de achiziție publică pentru entitățile desconcentrate în raza autorității administrației publice locale de nivelul II, în raza municipiului Chișinău, în raza municipiului Bălți și </w:t>
      </w:r>
      <w:r w:rsidR="000766CD">
        <w:rPr>
          <w:color w:val="000000"/>
        </w:rPr>
        <w:t xml:space="preserve">în </w:t>
      </w:r>
      <w:r>
        <w:rPr>
          <w:color w:val="000000"/>
        </w:rPr>
        <w:t xml:space="preserve">raza Unității </w:t>
      </w:r>
      <w:r w:rsidR="000766CD">
        <w:rPr>
          <w:color w:val="000000"/>
        </w:rPr>
        <w:t xml:space="preserve">Teritoriale </w:t>
      </w:r>
      <w:r>
        <w:rPr>
          <w:color w:val="000000"/>
        </w:rPr>
        <w:t xml:space="preserve">Autonome </w:t>
      </w:r>
      <w:r w:rsidR="000766CD">
        <w:rPr>
          <w:color w:val="000000"/>
        </w:rPr>
        <w:t>Găgăuzia</w:t>
      </w:r>
      <w:r w:rsidR="00205861">
        <w:rPr>
          <w:color w:val="000000"/>
        </w:rPr>
        <w:t>.</w:t>
      </w:r>
    </w:p>
    <w:p w:rsidR="008D170F" w:rsidRPr="006C5601" w:rsidRDefault="00205861" w:rsidP="0074699C">
      <w:pPr>
        <w:pStyle w:val="ListParagraph"/>
        <w:numPr>
          <w:ilvl w:val="0"/>
          <w:numId w:val="4"/>
        </w:numPr>
        <w:tabs>
          <w:tab w:val="clear" w:pos="993"/>
          <w:tab w:val="left" w:pos="0"/>
        </w:tabs>
        <w:ind w:left="0" w:firstLine="567"/>
        <w:rPr>
          <w:rFonts w:eastAsia="Cambria"/>
          <w:szCs w:val="28"/>
        </w:rPr>
      </w:pPr>
      <w:r>
        <w:rPr>
          <w:color w:val="000000"/>
        </w:rPr>
        <w:t>Entitățile menționate la pct. 2 din prezenta hotărîre pot delega atribuția de desfășurare centralizată a procedurilor de achiziție unor entități subordonate</w:t>
      </w:r>
      <w:r w:rsidR="009A2D78">
        <w:rPr>
          <w:color w:val="000000"/>
        </w:rPr>
        <w:t xml:space="preserve"> </w:t>
      </w:r>
      <w:r w:rsidR="00412519">
        <w:rPr>
          <w:color w:val="000000"/>
        </w:rPr>
        <w:t>direct</w:t>
      </w:r>
      <w:r>
        <w:rPr>
          <w:color w:val="000000"/>
        </w:rPr>
        <w:t>.</w:t>
      </w: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1E4882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1E4882">
        <w:rPr>
          <w:rFonts w:ascii="Times New Roman" w:eastAsia="Cambria" w:hAnsi="Times New Roman" w:cs="Times New Roman"/>
          <w:b/>
          <w:sz w:val="28"/>
          <w:szCs w:val="28"/>
        </w:rPr>
        <w:t>PRIM-MINISTRU</w:t>
      </w:r>
      <w:r w:rsidRPr="001E4882">
        <w:rPr>
          <w:rFonts w:ascii="Times New Roman" w:eastAsia="Cambria" w:hAnsi="Times New Roman" w:cs="Times New Roman"/>
          <w:b/>
          <w:sz w:val="28"/>
          <w:szCs w:val="28"/>
        </w:rPr>
        <w:tab/>
      </w:r>
      <w:r w:rsidRPr="001E4882">
        <w:rPr>
          <w:rFonts w:ascii="Times New Roman" w:eastAsia="Cambria" w:hAnsi="Times New Roman" w:cs="Times New Roman"/>
          <w:b/>
          <w:sz w:val="28"/>
          <w:szCs w:val="28"/>
        </w:rPr>
        <w:tab/>
      </w:r>
      <w:r w:rsidRPr="001E4882">
        <w:rPr>
          <w:rFonts w:ascii="Times New Roman" w:eastAsia="Cambria" w:hAnsi="Times New Roman" w:cs="Times New Roman"/>
          <w:b/>
          <w:sz w:val="28"/>
          <w:szCs w:val="28"/>
        </w:rPr>
        <w:tab/>
        <w:t xml:space="preserve">                     Pavel FILIP</w:t>
      </w:r>
      <w:r w:rsidRPr="001E4882">
        <w:rPr>
          <w:rFonts w:ascii="Times New Roman" w:eastAsia="Cambria" w:hAnsi="Times New Roman" w:cs="Times New Roman"/>
          <w:b/>
          <w:sz w:val="28"/>
          <w:szCs w:val="28"/>
        </w:rPr>
        <w:tab/>
      </w: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E4882">
        <w:rPr>
          <w:rFonts w:ascii="Times New Roman" w:eastAsia="Cambria" w:hAnsi="Times New Roman" w:cs="Times New Roman"/>
          <w:sz w:val="28"/>
          <w:szCs w:val="28"/>
        </w:rPr>
        <w:t xml:space="preserve">Contrasemnează:   </w:t>
      </w: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rPr>
          <w:rFonts w:ascii="Times New Roman" w:eastAsia="Cambria" w:hAnsi="Times New Roman" w:cs="Times New Roman"/>
          <w:sz w:val="28"/>
          <w:szCs w:val="28"/>
        </w:rPr>
      </w:pPr>
      <w:r w:rsidRPr="001E4882">
        <w:rPr>
          <w:rFonts w:ascii="Times New Roman" w:eastAsia="Cambria" w:hAnsi="Times New Roman" w:cs="Times New Roman"/>
          <w:sz w:val="28"/>
          <w:szCs w:val="28"/>
        </w:rPr>
        <w:t xml:space="preserve">Ministrul </w:t>
      </w:r>
      <w:proofErr w:type="spellStart"/>
      <w:r w:rsidRPr="001E4882">
        <w:rPr>
          <w:rFonts w:ascii="Times New Roman" w:eastAsia="Cambria" w:hAnsi="Times New Roman" w:cs="Times New Roman"/>
          <w:sz w:val="28"/>
          <w:szCs w:val="28"/>
        </w:rPr>
        <w:t>finanţelor</w:t>
      </w:r>
      <w:proofErr w:type="spellEnd"/>
      <w:r w:rsidRPr="001E4882">
        <w:rPr>
          <w:rFonts w:ascii="Times New Roman" w:eastAsia="Cambria" w:hAnsi="Times New Roman" w:cs="Times New Roman"/>
          <w:sz w:val="28"/>
          <w:szCs w:val="28"/>
        </w:rPr>
        <w:t xml:space="preserve">                                           Octavian </w:t>
      </w:r>
      <w:proofErr w:type="spellStart"/>
      <w:r w:rsidRPr="001E4882">
        <w:rPr>
          <w:rFonts w:ascii="Times New Roman" w:eastAsia="Cambria" w:hAnsi="Times New Roman" w:cs="Times New Roman"/>
          <w:sz w:val="28"/>
          <w:szCs w:val="28"/>
        </w:rPr>
        <w:t>Armaşu</w:t>
      </w:r>
      <w:proofErr w:type="spellEnd"/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882" w:rsidRDefault="001E488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1E62" w:rsidRDefault="00D81E6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1E62" w:rsidRDefault="00D81E6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1E62" w:rsidRDefault="00D81E62" w:rsidP="00CD392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1E62" w:rsidRDefault="00D81E6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1E62" w:rsidRPr="00D81E62" w:rsidRDefault="00D81E62" w:rsidP="00D81E6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8"/>
          <w:szCs w:val="28"/>
        </w:rPr>
      </w:pPr>
      <w:r w:rsidRPr="00D81E62">
        <w:rPr>
          <w:rFonts w:ascii="Times New Roman" w:eastAsia="Cambria" w:hAnsi="Times New Roman" w:cs="Times New Roman"/>
          <w:sz w:val="28"/>
          <w:szCs w:val="28"/>
        </w:rPr>
        <w:lastRenderedPageBreak/>
        <w:t>Anex</w:t>
      </w:r>
      <w:r w:rsidR="00BF3744">
        <w:rPr>
          <w:rFonts w:ascii="Times New Roman" w:eastAsia="Cambria" w:hAnsi="Times New Roman" w:cs="Times New Roman"/>
          <w:sz w:val="28"/>
          <w:szCs w:val="28"/>
        </w:rPr>
        <w:t>ă</w:t>
      </w:r>
    </w:p>
    <w:p w:rsidR="00D81E62" w:rsidRPr="00D81E62" w:rsidRDefault="00D81E62" w:rsidP="00D81E6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8"/>
          <w:szCs w:val="28"/>
        </w:rPr>
      </w:pPr>
      <w:r w:rsidRPr="00D81E62">
        <w:rPr>
          <w:rFonts w:ascii="Times New Roman" w:eastAsia="Cambria" w:hAnsi="Times New Roman" w:cs="Times New Roman"/>
          <w:sz w:val="28"/>
          <w:szCs w:val="28"/>
        </w:rPr>
        <w:t>la Hotărîrea Guvernului</w:t>
      </w:r>
    </w:p>
    <w:p w:rsidR="00D81E62" w:rsidRPr="00D81E62" w:rsidRDefault="00D81E62" w:rsidP="00D81E6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8"/>
          <w:szCs w:val="28"/>
        </w:rPr>
      </w:pPr>
      <w:r w:rsidRPr="00D81E62">
        <w:rPr>
          <w:rFonts w:ascii="Times New Roman" w:eastAsia="Cambria" w:hAnsi="Times New Roman" w:cs="Times New Roman"/>
          <w:sz w:val="28"/>
          <w:szCs w:val="28"/>
        </w:rPr>
        <w:t>nr.__ din ____________</w:t>
      </w:r>
    </w:p>
    <w:p w:rsidR="00D81E62" w:rsidRPr="001E4882" w:rsidRDefault="00D81E6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882" w:rsidRPr="001E4882" w:rsidRDefault="001E4882" w:rsidP="001E4882">
      <w:pPr>
        <w:tabs>
          <w:tab w:val="left" w:pos="851"/>
          <w:tab w:val="left" w:pos="993"/>
          <w:tab w:val="left" w:pos="2799"/>
        </w:tabs>
        <w:spacing w:after="0" w:line="240" w:lineRule="auto"/>
        <w:ind w:firstLine="567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1E4882">
        <w:rPr>
          <w:rFonts w:ascii="Times New Roman" w:eastAsia="Cambria" w:hAnsi="Times New Roman" w:cs="Times New Roman"/>
          <w:b/>
          <w:sz w:val="28"/>
          <w:szCs w:val="28"/>
        </w:rPr>
        <w:t xml:space="preserve">REGULAMENTUL </w:t>
      </w:r>
    </w:p>
    <w:p w:rsidR="001E4882" w:rsidRPr="001E4882" w:rsidRDefault="001E4882" w:rsidP="001E4882">
      <w:pPr>
        <w:tabs>
          <w:tab w:val="left" w:pos="851"/>
          <w:tab w:val="left" w:pos="993"/>
          <w:tab w:val="left" w:pos="2799"/>
        </w:tabs>
        <w:spacing w:after="0" w:line="240" w:lineRule="auto"/>
        <w:ind w:firstLine="567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1E4882">
        <w:rPr>
          <w:rFonts w:ascii="Times New Roman" w:eastAsia="Cambria" w:hAnsi="Times New Roman" w:cs="Times New Roman"/>
          <w:b/>
          <w:sz w:val="28"/>
          <w:szCs w:val="28"/>
        </w:rPr>
        <w:t>cu privire la inițierea și desfășurarea</w:t>
      </w:r>
    </w:p>
    <w:p w:rsidR="001E4882" w:rsidRPr="001E4882" w:rsidRDefault="001E4882" w:rsidP="001E4882">
      <w:pPr>
        <w:tabs>
          <w:tab w:val="left" w:pos="851"/>
          <w:tab w:val="left" w:pos="993"/>
          <w:tab w:val="left" w:pos="2799"/>
        </w:tabs>
        <w:spacing w:after="0" w:line="240" w:lineRule="auto"/>
        <w:ind w:firstLine="567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1E4882">
        <w:rPr>
          <w:rFonts w:ascii="Times New Roman" w:eastAsia="Cambria" w:hAnsi="Times New Roman" w:cs="Times New Roman"/>
          <w:b/>
          <w:sz w:val="28"/>
          <w:szCs w:val="28"/>
        </w:rPr>
        <w:t>centralizată a procedurilor de achiziții publice</w:t>
      </w:r>
    </w:p>
    <w:p w:rsidR="001E4882" w:rsidRPr="001E4882" w:rsidRDefault="001E4882" w:rsidP="001E488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1E4882" w:rsidRPr="001E4882" w:rsidRDefault="001E4882" w:rsidP="001E4882">
      <w:pPr>
        <w:keepNext/>
        <w:tabs>
          <w:tab w:val="left" w:pos="851"/>
          <w:tab w:val="left" w:pos="993"/>
          <w:tab w:val="left" w:pos="1418"/>
        </w:tabs>
        <w:suppressAutoHyphens/>
        <w:spacing w:after="0" w:line="240" w:lineRule="auto"/>
        <w:ind w:firstLine="567"/>
        <w:jc w:val="center"/>
        <w:outlineLvl w:val="2"/>
        <w:rPr>
          <w:rFonts w:ascii="Times New Roman" w:eastAsia="MS Mincho" w:hAnsi="Times New Roman" w:cs="Times New Roman"/>
          <w:sz w:val="28"/>
          <w:szCs w:val="28"/>
          <w:lang w:eastAsia="zh-CN"/>
        </w:rPr>
      </w:pPr>
    </w:p>
    <w:p w:rsidR="001E4882" w:rsidRPr="007E5473" w:rsidRDefault="001E4882" w:rsidP="007E5473">
      <w:pPr>
        <w:pStyle w:val="ListParagraph"/>
        <w:keepNext/>
        <w:numPr>
          <w:ilvl w:val="0"/>
          <w:numId w:val="5"/>
        </w:numPr>
        <w:tabs>
          <w:tab w:val="left" w:pos="1418"/>
        </w:tabs>
        <w:suppressAutoHyphens/>
        <w:jc w:val="center"/>
        <w:outlineLvl w:val="2"/>
        <w:rPr>
          <w:rFonts w:eastAsia="MS Mincho"/>
          <w:b/>
          <w:i/>
          <w:szCs w:val="28"/>
          <w:lang w:eastAsia="zh-CN"/>
        </w:rPr>
      </w:pPr>
      <w:r w:rsidRPr="007E5473">
        <w:rPr>
          <w:rFonts w:eastAsia="MS Mincho"/>
          <w:b/>
          <w:i/>
          <w:szCs w:val="28"/>
          <w:lang w:eastAsia="zh-CN"/>
        </w:rPr>
        <w:t>Dispoziții generale</w:t>
      </w:r>
    </w:p>
    <w:p w:rsidR="001E4882" w:rsidRPr="001E4882" w:rsidRDefault="001E4882" w:rsidP="001E488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1E4882" w:rsidRPr="001E4882" w:rsidRDefault="001E4882" w:rsidP="001E4882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E48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E4882">
        <w:rPr>
          <w:rFonts w:ascii="Times New Roman" w:eastAsia="Times New Roman" w:hAnsi="Times New Roman" w:cs="Times New Roman"/>
          <w:sz w:val="28"/>
          <w:szCs w:val="24"/>
        </w:rPr>
        <w:tab/>
        <w:t>Regulamentul cu privire la inițierea și desfășurarea centralizată a procedurilor de achiziții publice (în continuare Regulament)</w:t>
      </w:r>
      <w:r w:rsidRPr="001E488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stabileşte modul de inițiere și </w:t>
      </w:r>
      <w:proofErr w:type="spellStart"/>
      <w:r w:rsidRPr="001E4882">
        <w:rPr>
          <w:rFonts w:ascii="Times New Roman" w:eastAsia="Times New Roman" w:hAnsi="Times New Roman" w:cs="Times New Roman"/>
          <w:color w:val="000000"/>
          <w:sz w:val="28"/>
          <w:szCs w:val="24"/>
        </w:rPr>
        <w:t>desfăşurare</w:t>
      </w:r>
      <w:proofErr w:type="spellEnd"/>
      <w:r w:rsidRPr="001E488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a procedurilor de achiziţie publică în mod centralizat de către </w:t>
      </w:r>
      <w:r w:rsidR="00205861">
        <w:rPr>
          <w:rFonts w:ascii="Times New Roman" w:eastAsia="Times New Roman" w:hAnsi="Times New Roman" w:cs="Times New Roman"/>
          <w:color w:val="000000"/>
          <w:sz w:val="28"/>
          <w:szCs w:val="24"/>
        </w:rPr>
        <w:t>autoritatea centrală de achiziție</w:t>
      </w:r>
      <w:r w:rsidRPr="001E488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pentru aceleași </w:t>
      </w:r>
      <w:proofErr w:type="spellStart"/>
      <w:r w:rsidRPr="001E4882">
        <w:rPr>
          <w:rFonts w:ascii="Times New Roman" w:eastAsia="Times New Roman" w:hAnsi="Times New Roman" w:cs="Times New Roman"/>
          <w:color w:val="000000"/>
          <w:sz w:val="28"/>
          <w:szCs w:val="24"/>
        </w:rPr>
        <w:t>necesităţi</w:t>
      </w:r>
      <w:proofErr w:type="spellEnd"/>
      <w:r w:rsidRPr="001E488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(comune) ale autorităților administrației publice centrale și locale.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</w:pPr>
      <w:r w:rsidRPr="001E4882">
        <w:t xml:space="preserve">Obiectivul prezentului Regulament este crearea mecanismului de achiziții centralizate pentru utilizarea eficientă şi optimă a mijloacelor financiare, </w:t>
      </w:r>
      <w:proofErr w:type="spellStart"/>
      <w:r w:rsidRPr="001E4882">
        <w:t>promovînd</w:t>
      </w:r>
      <w:proofErr w:type="spellEnd"/>
      <w:r w:rsidRPr="001E4882">
        <w:t xml:space="preserve"> concurența, transparența, calitatea și </w:t>
      </w:r>
      <w:r w:rsidR="000766CD">
        <w:t>sustenabilitatea</w:t>
      </w:r>
      <w:r w:rsidRPr="001E4882">
        <w:t xml:space="preserve"> în procesul de achiziție publică.</w:t>
      </w:r>
    </w:p>
    <w:p w:rsidR="001E4882" w:rsidRPr="001E4882" w:rsidRDefault="00205861" w:rsidP="001E4882">
      <w:pPr>
        <w:pStyle w:val="ListParagraph"/>
        <w:numPr>
          <w:ilvl w:val="0"/>
          <w:numId w:val="3"/>
        </w:numPr>
        <w:ind w:left="0" w:firstLine="567"/>
      </w:pPr>
      <w:r>
        <w:t>A</w:t>
      </w:r>
      <w:r w:rsidR="001E4882" w:rsidRPr="001E4882">
        <w:t>utoritate</w:t>
      </w:r>
      <w:r>
        <w:t>a</w:t>
      </w:r>
      <w:r w:rsidR="001E4882" w:rsidRPr="001E4882">
        <w:t xml:space="preserve"> centrală de achiziţie organizează, inițiază şi </w:t>
      </w:r>
      <w:proofErr w:type="spellStart"/>
      <w:r w:rsidR="001E4882" w:rsidRPr="001E4882">
        <w:t>desfăşoară</w:t>
      </w:r>
      <w:proofErr w:type="spellEnd"/>
      <w:r w:rsidR="001E4882" w:rsidRPr="001E4882">
        <w:t xml:space="preserve"> în mod centralizat</w:t>
      </w:r>
      <w:r w:rsidR="000766CD">
        <w:t xml:space="preserve"> proceduri de achiziţie publică</w:t>
      </w:r>
      <w:r w:rsidR="001E4882" w:rsidRPr="001E4882">
        <w:t xml:space="preserve"> pentru necesitățile comune ale autorităților administrației publice</w:t>
      </w:r>
      <w:r w:rsidR="00F87F73">
        <w:t xml:space="preserve"> centrale</w:t>
      </w:r>
      <w:r w:rsidR="001E4882" w:rsidRPr="001E4882">
        <w:t xml:space="preserve"> </w:t>
      </w:r>
      <w:r w:rsidR="00851DEE">
        <w:t xml:space="preserve">şi </w:t>
      </w:r>
      <w:r w:rsidR="001E4882" w:rsidRPr="001E4882">
        <w:t>locale.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</w:pPr>
      <w:r w:rsidRPr="001E4882">
        <w:t xml:space="preserve">Lista </w:t>
      </w:r>
      <w:r w:rsidR="00AB70B9">
        <w:t>autorităților</w:t>
      </w:r>
      <w:r w:rsidR="00AB70B9" w:rsidRPr="001E4882">
        <w:t xml:space="preserve"> </w:t>
      </w:r>
      <w:r w:rsidR="00AC7D51">
        <w:t>pentru care se</w:t>
      </w:r>
      <w:r w:rsidRPr="001E4882">
        <w:t xml:space="preserve"> desfășoară proceduri centralizate de achiziție, inclusiv lista </w:t>
      </w:r>
      <w:r w:rsidR="00C67B35" w:rsidRPr="001E4882">
        <w:t xml:space="preserve">bunurilor, serviciilor și lucrărilor comune </w:t>
      </w:r>
      <w:r w:rsidRPr="001E4882">
        <w:t xml:space="preserve">este stabilită prin </w:t>
      </w:r>
      <w:r w:rsidR="00205861">
        <w:t xml:space="preserve">consens și este publicată pe site-ul </w:t>
      </w:r>
      <w:r w:rsidR="00205861">
        <w:rPr>
          <w:color w:val="000000"/>
        </w:rPr>
        <w:t>autorității centrale de achiziție</w:t>
      </w:r>
      <w:r w:rsidRPr="001E4882">
        <w:t>.</w:t>
      </w:r>
      <w:r w:rsidR="009A2D78">
        <w:t xml:space="preserve"> În lista bunurilor comune vor fi incluse în mod obligatoriu produsele alimentare, cu excepția produselor alimentare care pot fi achiziționate de la gospodăriile țărănești, </w:t>
      </w:r>
      <w:r w:rsidR="00AC7D51">
        <w:t xml:space="preserve">în cazul în care </w:t>
      </w:r>
      <w:r w:rsidR="009A2D78">
        <w:t>acestea din urmă dispun de certificatele sanitare și actele ce atestă inofensivitatea produselor.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</w:pPr>
      <w:r w:rsidRPr="001E4882">
        <w:t xml:space="preserve">Orice autoritate contractantă care nu este inclusă în lista </w:t>
      </w:r>
      <w:r w:rsidR="00AB70B9">
        <w:t>autorităților pentru care se desfășoară proceduri centralizate de achiziție</w:t>
      </w:r>
      <w:r w:rsidRPr="001E4882">
        <w:t xml:space="preserve"> poate depune o cerere în adresa </w:t>
      </w:r>
      <w:r w:rsidR="00205861">
        <w:rPr>
          <w:color w:val="000000"/>
        </w:rPr>
        <w:t>autorității centrale de achiziție</w:t>
      </w:r>
      <w:r w:rsidRPr="001E4882">
        <w:t xml:space="preserve"> pentru a putea beneficia de procedurile centralizate de achiziție.</w:t>
      </w:r>
    </w:p>
    <w:p w:rsidR="001E4882" w:rsidRDefault="001E4882" w:rsidP="001E4882">
      <w:pPr>
        <w:pStyle w:val="ListParagraph"/>
        <w:numPr>
          <w:ilvl w:val="0"/>
          <w:numId w:val="3"/>
        </w:numPr>
        <w:ind w:left="0" w:firstLine="567"/>
      </w:pPr>
      <w:r w:rsidRPr="001E4882">
        <w:t>Achiziția centralizată de bunuri, lucrări sau servicii se efectuează conform prevederilor prezentului Regulament, ale Legii privind achizițiile publice nr. 131 din 03 iulie 2015 și a altor acte normative aprobate pentru implementarea acesteia.</w:t>
      </w:r>
    </w:p>
    <w:p w:rsidR="007E5473" w:rsidRPr="001E4882" w:rsidRDefault="007E5473" w:rsidP="007E5473">
      <w:pPr>
        <w:pStyle w:val="ListParagraph"/>
        <w:numPr>
          <w:ilvl w:val="0"/>
          <w:numId w:val="0"/>
        </w:numPr>
        <w:ind w:left="567"/>
      </w:pPr>
    </w:p>
    <w:p w:rsidR="001E4882" w:rsidRPr="001E4882" w:rsidRDefault="001E4882" w:rsidP="007E5473">
      <w:pPr>
        <w:pStyle w:val="ListParagraph"/>
        <w:keepNext/>
        <w:numPr>
          <w:ilvl w:val="0"/>
          <w:numId w:val="5"/>
        </w:numPr>
        <w:tabs>
          <w:tab w:val="left" w:pos="1418"/>
        </w:tabs>
        <w:suppressAutoHyphens/>
        <w:jc w:val="center"/>
        <w:outlineLvl w:val="2"/>
        <w:rPr>
          <w:rFonts w:eastAsia="MS Mincho"/>
          <w:b/>
          <w:i/>
          <w:szCs w:val="28"/>
          <w:lang w:eastAsia="zh-CN"/>
        </w:rPr>
      </w:pPr>
      <w:r w:rsidRPr="001E4882">
        <w:rPr>
          <w:rFonts w:eastAsia="MS Mincho"/>
          <w:b/>
          <w:i/>
          <w:szCs w:val="28"/>
          <w:lang w:eastAsia="zh-CN"/>
        </w:rPr>
        <w:t>Planificarea procedurilor de achiziţii</w:t>
      </w:r>
    </w:p>
    <w:p w:rsidR="001E4882" w:rsidRPr="001E4882" w:rsidRDefault="001E4882" w:rsidP="001E488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zh-CN"/>
        </w:rPr>
      </w:pP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rPr>
          <w:lang w:eastAsia="zh-CN"/>
        </w:rPr>
        <w:t xml:space="preserve">Lista bunurilor, serviciilor sau lucrărilor comune </w:t>
      </w:r>
      <w:r w:rsidR="00C67B35">
        <w:rPr>
          <w:lang w:eastAsia="zh-CN"/>
        </w:rPr>
        <w:t>care vor fi achiziționate centralizat</w:t>
      </w:r>
      <w:r w:rsidRPr="001E4882">
        <w:rPr>
          <w:lang w:eastAsia="zh-CN"/>
        </w:rPr>
        <w:t xml:space="preserve"> este publicată pe pagina web a </w:t>
      </w:r>
      <w:r w:rsidR="00205861">
        <w:rPr>
          <w:color w:val="000000"/>
        </w:rPr>
        <w:t>autorității centrale de achiziție</w:t>
      </w:r>
      <w:r w:rsidRPr="001E4882">
        <w:rPr>
          <w:lang w:eastAsia="zh-CN"/>
        </w:rPr>
        <w:t xml:space="preserve"> și orice </w:t>
      </w:r>
      <w:r w:rsidRPr="001E4882">
        <w:rPr>
          <w:lang w:eastAsia="zh-CN"/>
        </w:rPr>
        <w:lastRenderedPageBreak/>
        <w:t>autoritate contractantă interesată poate solicita suplinirea acesteia cu noi bunuri, lucrări sau servicii pentru a fi achiziționate centralizat.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rPr>
          <w:lang w:eastAsia="zh-CN"/>
        </w:rPr>
        <w:t>Pînă la data de 1 septembrie a anului de gestiune, autoritățile contractante</w:t>
      </w:r>
      <w:r w:rsidR="00C67B35">
        <w:rPr>
          <w:lang w:eastAsia="zh-CN"/>
        </w:rPr>
        <w:t xml:space="preserve"> incluse în lista pentru achiziții centralizate</w:t>
      </w:r>
      <w:r w:rsidRPr="001E4882">
        <w:rPr>
          <w:lang w:eastAsia="zh-CN"/>
        </w:rPr>
        <w:t xml:space="preserve"> remit </w:t>
      </w:r>
      <w:r w:rsidR="00BA58C1">
        <w:rPr>
          <w:color w:val="000000"/>
        </w:rPr>
        <w:t>autorității centrale de achiziție</w:t>
      </w:r>
      <w:r w:rsidRPr="001E4882">
        <w:rPr>
          <w:lang w:eastAsia="zh-CN"/>
        </w:rPr>
        <w:t xml:space="preserve"> cantitățile necesare de bunuri, lucrări sau servicii comune care fac obiectul achiziției centralizate pentru a fi incluse în planul de achiziții pentru anul următor.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 xml:space="preserve">În baza listelor </w:t>
      </w:r>
      <w:r w:rsidR="00C67B35" w:rsidRPr="001E4882">
        <w:t xml:space="preserve">bunurilor, serviciilor și lucrărilor comune </w:t>
      </w:r>
      <w:r w:rsidRPr="001E4882">
        <w:t xml:space="preserve">aprobate conform pct. 4 și a planului de achiziție, </w:t>
      </w:r>
      <w:r w:rsidR="00BA58C1">
        <w:rPr>
          <w:color w:val="000000"/>
        </w:rPr>
        <w:t>autoritatea centrală de achiziție</w:t>
      </w:r>
      <w:r w:rsidRPr="001E4882">
        <w:t xml:space="preserve"> inițiază procedura de achiziţie centralizată.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 xml:space="preserve">Autorităților contractante, incluse în Lista </w:t>
      </w:r>
      <w:r w:rsidR="00C67B35">
        <w:rPr>
          <w:lang w:eastAsia="zh-CN"/>
        </w:rPr>
        <w:t>pentru achiziții centralizate</w:t>
      </w:r>
      <w:r w:rsidRPr="001E4882">
        <w:t>, le este interzisă inițierea procedurilor de achiziție a bunurilor, lucrărilor sau serviciilor comune care fac obiectul achizițiilor centralizate.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 xml:space="preserve">Prin derogare de la pct. 10 autoritatea contractantă poate argumenta printr-o notă justificativă necesitatea achiziționării separate a bunurilor, lucrărilor sau serviciilor care fac obiectul achizițiilor centralizate, și poate iniția procedura de achiziție doar după obținerea punctului de vedere al </w:t>
      </w:r>
      <w:r w:rsidR="00BA58C1">
        <w:rPr>
          <w:color w:val="000000"/>
        </w:rPr>
        <w:t>autorității centrale de achiziție</w:t>
      </w:r>
      <w:r w:rsidR="00BA58C1" w:rsidRPr="001E4882">
        <w:t xml:space="preserve"> </w:t>
      </w:r>
      <w:r w:rsidRPr="001E4882">
        <w:t>asupra achiziției respective.</w:t>
      </w:r>
    </w:p>
    <w:p w:rsidR="001E4882" w:rsidRPr="001E4882" w:rsidRDefault="001E4882" w:rsidP="001E488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zh-CN"/>
        </w:rPr>
      </w:pPr>
    </w:p>
    <w:p w:rsidR="001E4882" w:rsidRPr="001E4882" w:rsidRDefault="001E4882" w:rsidP="007E5473">
      <w:pPr>
        <w:keepNext/>
        <w:tabs>
          <w:tab w:val="left" w:pos="851"/>
          <w:tab w:val="left" w:pos="993"/>
          <w:tab w:val="left" w:pos="1418"/>
        </w:tabs>
        <w:suppressAutoHyphens/>
        <w:spacing w:after="0" w:line="240" w:lineRule="auto"/>
        <w:outlineLvl w:val="2"/>
        <w:rPr>
          <w:rFonts w:ascii="Times New Roman" w:eastAsia="MS Mincho" w:hAnsi="Times New Roman" w:cs="Times New Roman"/>
          <w:sz w:val="28"/>
          <w:szCs w:val="28"/>
          <w:lang w:eastAsia="zh-CN"/>
        </w:rPr>
      </w:pPr>
    </w:p>
    <w:p w:rsidR="001E4882" w:rsidRPr="001E4882" w:rsidRDefault="001E4882" w:rsidP="007E5473">
      <w:pPr>
        <w:pStyle w:val="ListParagraph"/>
        <w:keepNext/>
        <w:numPr>
          <w:ilvl w:val="0"/>
          <w:numId w:val="5"/>
        </w:numPr>
        <w:tabs>
          <w:tab w:val="left" w:pos="1418"/>
        </w:tabs>
        <w:suppressAutoHyphens/>
        <w:jc w:val="center"/>
        <w:outlineLvl w:val="2"/>
        <w:rPr>
          <w:rFonts w:eastAsia="MS Mincho"/>
          <w:b/>
          <w:i/>
          <w:szCs w:val="28"/>
          <w:lang w:eastAsia="zh-CN"/>
        </w:rPr>
      </w:pPr>
      <w:r w:rsidRPr="001E4882">
        <w:rPr>
          <w:rFonts w:eastAsia="MS Mincho"/>
          <w:b/>
          <w:i/>
          <w:szCs w:val="28"/>
          <w:lang w:eastAsia="zh-CN"/>
        </w:rPr>
        <w:t>Desfăşurarea procedurilor centralizate de achiziţie publică</w:t>
      </w:r>
    </w:p>
    <w:p w:rsidR="001E4882" w:rsidRPr="001E4882" w:rsidRDefault="001E4882" w:rsidP="001E4882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Cambria" w:hAnsi="Times New Roman" w:cs="Times New Roman"/>
          <w:sz w:val="28"/>
          <w:szCs w:val="28"/>
          <w:lang w:eastAsia="zh-CN"/>
        </w:rPr>
      </w:pP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 xml:space="preserve">În conformitate cu listele de bunuri, lucrări sau servicii întocmite conform pct. 4 din prezentul Regulament, în funcţie de valoarea contractelor, destinaţia, </w:t>
      </w:r>
      <w:proofErr w:type="spellStart"/>
      <w:r w:rsidRPr="001E4882">
        <w:t>particularităţile</w:t>
      </w:r>
      <w:proofErr w:type="spellEnd"/>
      <w:r w:rsidRPr="001E4882">
        <w:t xml:space="preserve"> de </w:t>
      </w:r>
      <w:proofErr w:type="spellStart"/>
      <w:r w:rsidRPr="001E4882">
        <w:t>achiziţionare</w:t>
      </w:r>
      <w:proofErr w:type="spellEnd"/>
      <w:r w:rsidRPr="001E4882">
        <w:t xml:space="preserve"> şi utilizare a acestora, grupul de lucru al </w:t>
      </w:r>
      <w:r w:rsidR="00BA58C1">
        <w:rPr>
          <w:color w:val="000000"/>
        </w:rPr>
        <w:t>autorității centrale de achiziție</w:t>
      </w:r>
      <w:r w:rsidRPr="001E4882">
        <w:t xml:space="preserve"> aplică una dintre procedurile de achiziţie publică prevăzute în Legea nr. 131 din  3 iulie 2015 privind achiziţiile publice, dar în special, acordul-cadru.</w:t>
      </w:r>
      <w:r w:rsidRPr="001E4882">
        <w:rPr>
          <w:color w:val="000000"/>
          <w:szCs w:val="28"/>
        </w:rPr>
        <w:t> 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szCs w:val="28"/>
          <w:lang w:eastAsia="zh-CN"/>
        </w:rPr>
      </w:pPr>
      <w:r w:rsidRPr="001E4882">
        <w:t xml:space="preserve">Informaţiile generalizate privind lista şi </w:t>
      </w:r>
      <w:proofErr w:type="spellStart"/>
      <w:r w:rsidRPr="001E4882">
        <w:t>cantităţile</w:t>
      </w:r>
      <w:proofErr w:type="spellEnd"/>
      <w:r w:rsidRPr="001E4882">
        <w:t xml:space="preserve"> de bunuri, lucrări sau servicii, precum şi </w:t>
      </w:r>
      <w:proofErr w:type="spellStart"/>
      <w:r w:rsidRPr="001E4882">
        <w:t>cerinţele</w:t>
      </w:r>
      <w:proofErr w:type="spellEnd"/>
      <w:r w:rsidRPr="001E4882">
        <w:t xml:space="preserve"> de calitate faţă de acestea se examinează separat pentru fiecare lot ce va reprezenta un lot distinct în cadrul procedurii de achiziţie centralizată.</w:t>
      </w:r>
      <w:r w:rsidRPr="001E4882">
        <w:rPr>
          <w:color w:val="000000"/>
          <w:szCs w:val="28"/>
        </w:rPr>
        <w:t> 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 xml:space="preserve">Grupul de lucru al </w:t>
      </w:r>
      <w:r w:rsidR="00BA58C1">
        <w:rPr>
          <w:color w:val="000000"/>
        </w:rPr>
        <w:t>autorității centrale de achiziție</w:t>
      </w:r>
      <w:r w:rsidRPr="001E4882">
        <w:t xml:space="preserve"> are obligaţia să precizeze în documentele de atribuire sau în alte documente de atragere a ofertelor criteriul în baza căruia se atribuie contractul de achiziții publice şi alte cerinţe pe care urmează să le respecte operatorii economici </w:t>
      </w:r>
      <w:proofErr w:type="spellStart"/>
      <w:r w:rsidRPr="001E4882">
        <w:t>participanţi</w:t>
      </w:r>
      <w:proofErr w:type="spellEnd"/>
      <w:r w:rsidRPr="001E4882">
        <w:t>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 xml:space="preserve">Pentru </w:t>
      </w:r>
      <w:proofErr w:type="spellStart"/>
      <w:r w:rsidRPr="001E4882">
        <w:t>poziţiile</w:t>
      </w:r>
      <w:proofErr w:type="spellEnd"/>
      <w:r w:rsidRPr="001E4882">
        <w:t xml:space="preserve"> care nu au fost contractate, în urma </w:t>
      </w:r>
      <w:proofErr w:type="spellStart"/>
      <w:r w:rsidRPr="001E4882">
        <w:t>desfăşurării</w:t>
      </w:r>
      <w:proofErr w:type="spellEnd"/>
      <w:r w:rsidRPr="001E4882">
        <w:t xml:space="preserve"> procedurii centralizate de achiziţie, grupul de lucru al </w:t>
      </w:r>
      <w:r w:rsidR="00BA58C1">
        <w:rPr>
          <w:color w:val="000000"/>
        </w:rPr>
        <w:t>autorității centrale de achiziție</w:t>
      </w:r>
      <w:r w:rsidRPr="001E4882">
        <w:t>, ţinînd cont de valoarea estimativă a acestor poziții, va desfăşura o nouă procedură, în conformitate cu prevederile legislaţiei în domeniu.</w:t>
      </w:r>
    </w:p>
    <w:p w:rsidR="001E4882" w:rsidRPr="001E4882" w:rsidRDefault="001E4882" w:rsidP="001E488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zh-CN"/>
        </w:rPr>
      </w:pPr>
    </w:p>
    <w:p w:rsidR="001E4882" w:rsidRPr="001E4882" w:rsidRDefault="001E4882" w:rsidP="001E4882">
      <w:pPr>
        <w:keepNext/>
        <w:tabs>
          <w:tab w:val="left" w:pos="851"/>
          <w:tab w:val="left" w:pos="993"/>
          <w:tab w:val="left" w:pos="1418"/>
        </w:tabs>
        <w:suppressAutoHyphens/>
        <w:spacing w:after="0" w:line="240" w:lineRule="auto"/>
        <w:ind w:firstLine="567"/>
        <w:jc w:val="center"/>
        <w:outlineLvl w:val="2"/>
        <w:rPr>
          <w:rFonts w:ascii="Times New Roman" w:eastAsia="MS Mincho" w:hAnsi="Times New Roman" w:cs="Times New Roman"/>
          <w:sz w:val="28"/>
          <w:szCs w:val="28"/>
          <w:lang w:eastAsia="zh-CN"/>
        </w:rPr>
      </w:pPr>
    </w:p>
    <w:p w:rsidR="001E4882" w:rsidRPr="001E4882" w:rsidRDefault="001E4882" w:rsidP="007E5473">
      <w:pPr>
        <w:pStyle w:val="ListParagraph"/>
        <w:keepNext/>
        <w:numPr>
          <w:ilvl w:val="0"/>
          <w:numId w:val="5"/>
        </w:numPr>
        <w:tabs>
          <w:tab w:val="left" w:pos="1418"/>
        </w:tabs>
        <w:suppressAutoHyphens/>
        <w:jc w:val="center"/>
        <w:outlineLvl w:val="2"/>
        <w:rPr>
          <w:rFonts w:eastAsia="MS Mincho"/>
          <w:b/>
          <w:i/>
          <w:szCs w:val="28"/>
          <w:lang w:eastAsia="zh-CN"/>
        </w:rPr>
      </w:pPr>
      <w:proofErr w:type="spellStart"/>
      <w:r w:rsidRPr="001E4882">
        <w:rPr>
          <w:rFonts w:eastAsia="MS Mincho"/>
          <w:b/>
          <w:i/>
          <w:szCs w:val="28"/>
          <w:lang w:eastAsia="zh-CN"/>
        </w:rPr>
        <w:t>Atribuţiile</w:t>
      </w:r>
      <w:proofErr w:type="spellEnd"/>
      <w:r w:rsidRPr="001E4882">
        <w:rPr>
          <w:rFonts w:eastAsia="MS Mincho"/>
          <w:b/>
          <w:i/>
          <w:szCs w:val="28"/>
          <w:lang w:eastAsia="zh-CN"/>
        </w:rPr>
        <w:t xml:space="preserve"> şi </w:t>
      </w:r>
      <w:proofErr w:type="spellStart"/>
      <w:r w:rsidRPr="001E4882">
        <w:rPr>
          <w:rFonts w:eastAsia="MS Mincho"/>
          <w:b/>
          <w:i/>
          <w:szCs w:val="28"/>
          <w:lang w:eastAsia="zh-CN"/>
        </w:rPr>
        <w:t>responsabilităţile</w:t>
      </w:r>
      <w:proofErr w:type="spellEnd"/>
      <w:r w:rsidRPr="001E4882">
        <w:rPr>
          <w:rFonts w:eastAsia="MS Mincho"/>
          <w:b/>
          <w:i/>
          <w:szCs w:val="28"/>
          <w:lang w:eastAsia="zh-CN"/>
        </w:rPr>
        <w:t xml:space="preserve"> grupului de lucru în cadrul</w:t>
      </w:r>
      <w:r w:rsidRPr="001E4882">
        <w:rPr>
          <w:rFonts w:eastAsia="MS Mincho"/>
          <w:b/>
          <w:bCs/>
          <w:i/>
          <w:color w:val="000000"/>
          <w:szCs w:val="28"/>
          <w:lang w:eastAsia="zh-CN"/>
        </w:rPr>
        <w:t> </w:t>
      </w:r>
      <w:r w:rsidRPr="001E4882">
        <w:rPr>
          <w:rFonts w:eastAsia="MS Mincho"/>
          <w:b/>
          <w:i/>
          <w:szCs w:val="28"/>
          <w:lang w:eastAsia="zh-CN"/>
        </w:rPr>
        <w:br/>
        <w:t>procedurilor centralizate de achiziţie</w:t>
      </w: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zh-CN"/>
        </w:rPr>
      </w:pP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 xml:space="preserve">Grupul de lucru activează în conformitate cu </w:t>
      </w:r>
      <w:proofErr w:type="spellStart"/>
      <w:r w:rsidRPr="001E4882">
        <w:t>obligaţiile</w:t>
      </w:r>
      <w:proofErr w:type="spellEnd"/>
      <w:r w:rsidRPr="001E4882">
        <w:t xml:space="preserve">, </w:t>
      </w:r>
      <w:proofErr w:type="spellStart"/>
      <w:r w:rsidRPr="001E4882">
        <w:t>funcţiile</w:t>
      </w:r>
      <w:proofErr w:type="spellEnd"/>
      <w:r w:rsidRPr="001E4882">
        <w:t xml:space="preserve"> şi drepturile stipulate în Legea nr. 131 din 3 iulie 2015 privind achiziţiile publice, Hotărîrea Guvernului nr. 667  din  27 mai 2016 „Pentru aprobarea Regulamentului cu privire la activitatea grupului de lucru pentru achiziţii” şi ordinul </w:t>
      </w:r>
      <w:r w:rsidR="00BA58C1">
        <w:rPr>
          <w:color w:val="000000"/>
        </w:rPr>
        <w:t>autorității centrale de achiziție</w:t>
      </w:r>
      <w:r w:rsidRPr="001E4882">
        <w:t xml:space="preserve">, adus la </w:t>
      </w:r>
      <w:proofErr w:type="spellStart"/>
      <w:r w:rsidRPr="001E4882">
        <w:t>cunoştinţa</w:t>
      </w:r>
      <w:proofErr w:type="spellEnd"/>
      <w:r w:rsidRPr="001E4882">
        <w:t xml:space="preserve"> fiecărui membru al grupului de lucru sub semnătură.</w:t>
      </w:r>
      <w:r w:rsidRPr="001E4882">
        <w:rPr>
          <w:color w:val="000000"/>
          <w:szCs w:val="28"/>
        </w:rPr>
        <w:t> 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 xml:space="preserve">În ordinul de creare a grupului de lucru, </w:t>
      </w:r>
      <w:r w:rsidR="00BA58C1">
        <w:t xml:space="preserve">conducătorul </w:t>
      </w:r>
      <w:r w:rsidR="00BA58C1">
        <w:rPr>
          <w:color w:val="000000"/>
        </w:rPr>
        <w:t>autorității centrale de achiziție</w:t>
      </w:r>
      <w:r w:rsidRPr="001E4882">
        <w:t xml:space="preserve"> este obligat să </w:t>
      </w:r>
      <w:proofErr w:type="spellStart"/>
      <w:r w:rsidRPr="001E4882">
        <w:t>menţioneze</w:t>
      </w:r>
      <w:proofErr w:type="spellEnd"/>
      <w:r w:rsidRPr="001E4882">
        <w:t xml:space="preserve"> modul de activitate a acestuia, cu indicarea funcţiilor şi responsabilităţilor fiecărui membru al grupului.</w:t>
      </w:r>
      <w:r w:rsidRPr="001E4882">
        <w:rPr>
          <w:color w:val="000000"/>
          <w:szCs w:val="28"/>
        </w:rPr>
        <w:t> 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szCs w:val="28"/>
          <w:lang w:eastAsia="zh-CN"/>
        </w:rPr>
      </w:pPr>
      <w:r w:rsidRPr="001E4882">
        <w:t xml:space="preserve">Grupul de lucru din cadrul </w:t>
      </w:r>
      <w:r w:rsidR="00BA58C1">
        <w:rPr>
          <w:color w:val="000000"/>
        </w:rPr>
        <w:t>autorității centrale de achiziție</w:t>
      </w:r>
      <w:r w:rsidRPr="001E4882">
        <w:t xml:space="preserve"> cooptează, prin demers oficial, în caz de necesitate, experți şi/sau specialişti cu drept de vot, care îşi expun opinia separat în procesul-verbal al şe</w:t>
      </w:r>
      <w:bookmarkStart w:id="1" w:name="_GoBack"/>
      <w:bookmarkEnd w:id="1"/>
      <w:r w:rsidRPr="001E4882">
        <w:t>dinţei grupului de lucru, fapt pentru care poartă răspundere potrivit prevederilor legislaţiei în vigoare.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 xml:space="preserve">În calitate de membri ai grupului de lucru cu drept de vot pot fi cooptaţi şi reprezentanţi ai autorităților contractante incluse în listă </w:t>
      </w:r>
      <w:r w:rsidRPr="00762810">
        <w:t>potrivit pct. 4</w:t>
      </w:r>
      <w:r w:rsidRPr="001E4882">
        <w:t>,</w:t>
      </w:r>
      <w:r w:rsidR="00BA58C1">
        <w:t xml:space="preserve"> conform cererii acestora,</w:t>
      </w:r>
      <w:r w:rsidRPr="001E4882">
        <w:t xml:space="preserve"> </w:t>
      </w:r>
      <w:r w:rsidR="00BA58C1">
        <w:t>potrivit</w:t>
      </w:r>
      <w:r w:rsidRPr="001E4882">
        <w:t xml:space="preserve"> prevederilor Regulamentului cu privire la activitatea grupului de lucru pentru achiziţii, aprobat prin Hotărîrea Guvernului nr. 667 din 27 mai 2016.</w:t>
      </w:r>
    </w:p>
    <w:p w:rsidR="001E4882" w:rsidRPr="001E4882" w:rsidRDefault="001E4882" w:rsidP="001E488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zh-CN"/>
        </w:rPr>
      </w:pPr>
    </w:p>
    <w:p w:rsidR="001E4882" w:rsidRPr="001E4882" w:rsidRDefault="001E4882" w:rsidP="001E4882">
      <w:pPr>
        <w:keepNext/>
        <w:tabs>
          <w:tab w:val="left" w:pos="851"/>
          <w:tab w:val="left" w:pos="993"/>
          <w:tab w:val="left" w:pos="1418"/>
        </w:tabs>
        <w:suppressAutoHyphens/>
        <w:spacing w:after="0" w:line="240" w:lineRule="auto"/>
        <w:ind w:firstLine="567"/>
        <w:jc w:val="center"/>
        <w:outlineLvl w:val="2"/>
        <w:rPr>
          <w:rFonts w:ascii="Times New Roman" w:eastAsia="MS Mincho" w:hAnsi="Times New Roman" w:cs="Times New Roman"/>
          <w:sz w:val="28"/>
          <w:szCs w:val="28"/>
          <w:lang w:eastAsia="zh-CN"/>
        </w:rPr>
      </w:pPr>
    </w:p>
    <w:p w:rsidR="001E4882" w:rsidRPr="001E4882" w:rsidRDefault="001E4882" w:rsidP="007E5473">
      <w:pPr>
        <w:pStyle w:val="ListParagraph"/>
        <w:keepNext/>
        <w:numPr>
          <w:ilvl w:val="0"/>
          <w:numId w:val="5"/>
        </w:numPr>
        <w:tabs>
          <w:tab w:val="left" w:pos="1418"/>
        </w:tabs>
        <w:suppressAutoHyphens/>
        <w:jc w:val="center"/>
        <w:outlineLvl w:val="2"/>
        <w:rPr>
          <w:rFonts w:eastAsia="MS Mincho"/>
          <w:b/>
          <w:i/>
          <w:szCs w:val="28"/>
          <w:lang w:eastAsia="zh-CN"/>
        </w:rPr>
      </w:pPr>
      <w:r w:rsidRPr="001E4882">
        <w:rPr>
          <w:rFonts w:eastAsia="MS Mincho"/>
          <w:b/>
          <w:i/>
          <w:szCs w:val="28"/>
          <w:lang w:eastAsia="zh-CN"/>
        </w:rPr>
        <w:t>Elaborarea şi prezentarea ofertei. Garanția</w:t>
      </w:r>
    </w:p>
    <w:p w:rsidR="001E4882" w:rsidRPr="001E4882" w:rsidRDefault="001E4882" w:rsidP="001E488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zh-CN"/>
        </w:rPr>
      </w:pP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szCs w:val="28"/>
          <w:lang w:eastAsia="zh-CN"/>
        </w:rPr>
      </w:pPr>
      <w:r w:rsidRPr="001E4882">
        <w:t>Operatorul economic are obligaţia de a elabora oferta ţinînd cont de prevederile documentelor de atribuire şi altor documente de atragere a ofertelor.</w:t>
      </w:r>
      <w:r w:rsidRPr="001E4882">
        <w:rPr>
          <w:color w:val="000000"/>
          <w:szCs w:val="28"/>
        </w:rPr>
        <w:t> 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 xml:space="preserve">Oferta se prezintă </w:t>
      </w:r>
      <w:r w:rsidR="00BA58C1">
        <w:rPr>
          <w:color w:val="000000"/>
        </w:rPr>
        <w:t>autorității centrale de achiziție</w:t>
      </w:r>
      <w:r w:rsidRPr="001E4882">
        <w:t xml:space="preserve"> cu respectarea strictă a modelului acesteia, anexat la documentele de atribuire, altor documente de atragere a ofertelor, cu indicarea exactă a numărului lotului/</w:t>
      </w:r>
      <w:proofErr w:type="spellStart"/>
      <w:r w:rsidRPr="001E4882">
        <w:t>poziţiei</w:t>
      </w:r>
      <w:proofErr w:type="spellEnd"/>
      <w:r w:rsidRPr="001E4882">
        <w:t xml:space="preserve"> pentru care se depune oferta.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proofErr w:type="spellStart"/>
      <w:r w:rsidRPr="001E4882">
        <w:t>Garanţia</w:t>
      </w:r>
      <w:proofErr w:type="spellEnd"/>
      <w:r w:rsidRPr="001E4882">
        <w:t xml:space="preserve"> pentru ofertă se depune de către operatorul economic pe contul </w:t>
      </w:r>
      <w:r w:rsidR="00F87F73">
        <w:t>IBAN</w:t>
      </w:r>
      <w:r w:rsidR="00F87F73" w:rsidRPr="001E4882">
        <w:t xml:space="preserve"> </w:t>
      </w:r>
      <w:r w:rsidRPr="001E4882">
        <w:t xml:space="preserve">al </w:t>
      </w:r>
      <w:r w:rsidR="00BA58C1">
        <w:rPr>
          <w:color w:val="000000"/>
        </w:rPr>
        <w:t>autorității centrale de achiziție</w:t>
      </w:r>
      <w:r w:rsidRPr="001E4882">
        <w:t xml:space="preserve"> sau în formă de scrisoare de </w:t>
      </w:r>
      <w:proofErr w:type="spellStart"/>
      <w:r w:rsidRPr="001E4882">
        <w:t>garanţie</w:t>
      </w:r>
      <w:proofErr w:type="spellEnd"/>
      <w:r w:rsidRPr="001E4882">
        <w:t xml:space="preserve"> bancară, în cuantumul prevăzut în documentele de atribuire.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</w:pPr>
      <w:r w:rsidRPr="001E4882">
        <w:t xml:space="preserve">Operatorul economic desemnat </w:t>
      </w:r>
      <w:proofErr w:type="spellStart"/>
      <w:r w:rsidRPr="001E4882">
        <w:t>cîştigător</w:t>
      </w:r>
      <w:proofErr w:type="spellEnd"/>
      <w:r w:rsidRPr="001E4882">
        <w:t xml:space="preserve">, la încheierea contractului, prezintă </w:t>
      </w:r>
      <w:r w:rsidR="00BA58C1">
        <w:t xml:space="preserve">obligatoriu </w:t>
      </w:r>
      <w:r w:rsidRPr="001E4882">
        <w:t xml:space="preserve">autorității contractante garanţia de bună execuţie a acestuia </w:t>
      </w:r>
      <w:r w:rsidR="00762810">
        <w:t>în conformitate cu prevederile documentației de atribuire</w:t>
      </w:r>
      <w:r w:rsidRPr="001E4882">
        <w:t>.</w:t>
      </w:r>
    </w:p>
    <w:p w:rsidR="001E4882" w:rsidRPr="001E4882" w:rsidRDefault="001E4882" w:rsidP="001E488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zh-CN"/>
        </w:rPr>
      </w:pPr>
    </w:p>
    <w:p w:rsidR="001E4882" w:rsidRDefault="001E4882" w:rsidP="001E4882">
      <w:pPr>
        <w:keepNext/>
        <w:tabs>
          <w:tab w:val="left" w:pos="851"/>
          <w:tab w:val="left" w:pos="993"/>
          <w:tab w:val="left" w:pos="1418"/>
        </w:tabs>
        <w:suppressAutoHyphens/>
        <w:spacing w:after="0" w:line="240" w:lineRule="auto"/>
        <w:ind w:firstLine="567"/>
        <w:jc w:val="center"/>
        <w:outlineLvl w:val="2"/>
        <w:rPr>
          <w:rFonts w:ascii="Times New Roman" w:eastAsia="MS Mincho" w:hAnsi="Times New Roman" w:cs="Times New Roman"/>
          <w:sz w:val="28"/>
          <w:szCs w:val="28"/>
          <w:lang w:eastAsia="zh-CN"/>
        </w:rPr>
      </w:pPr>
    </w:p>
    <w:p w:rsidR="00102E34" w:rsidRPr="001E4882" w:rsidRDefault="00102E34" w:rsidP="001E4882">
      <w:pPr>
        <w:keepNext/>
        <w:tabs>
          <w:tab w:val="left" w:pos="851"/>
          <w:tab w:val="left" w:pos="993"/>
          <w:tab w:val="left" w:pos="1418"/>
        </w:tabs>
        <w:suppressAutoHyphens/>
        <w:spacing w:after="0" w:line="240" w:lineRule="auto"/>
        <w:ind w:firstLine="567"/>
        <w:jc w:val="center"/>
        <w:outlineLvl w:val="2"/>
        <w:rPr>
          <w:rFonts w:ascii="Times New Roman" w:eastAsia="MS Mincho" w:hAnsi="Times New Roman" w:cs="Times New Roman"/>
          <w:sz w:val="28"/>
          <w:szCs w:val="28"/>
          <w:lang w:eastAsia="zh-CN"/>
        </w:rPr>
      </w:pPr>
    </w:p>
    <w:p w:rsidR="001E4882" w:rsidRPr="001E4882" w:rsidRDefault="001E4882" w:rsidP="007E5473">
      <w:pPr>
        <w:pStyle w:val="ListParagraph"/>
        <w:keepNext/>
        <w:numPr>
          <w:ilvl w:val="0"/>
          <w:numId w:val="5"/>
        </w:numPr>
        <w:tabs>
          <w:tab w:val="left" w:pos="1418"/>
        </w:tabs>
        <w:suppressAutoHyphens/>
        <w:jc w:val="center"/>
        <w:outlineLvl w:val="2"/>
        <w:rPr>
          <w:rFonts w:eastAsia="MS Mincho"/>
          <w:b/>
          <w:i/>
          <w:szCs w:val="28"/>
          <w:lang w:eastAsia="zh-CN"/>
        </w:rPr>
      </w:pPr>
      <w:r w:rsidRPr="001E4882">
        <w:rPr>
          <w:rFonts w:eastAsia="MS Mincho"/>
          <w:b/>
          <w:i/>
          <w:szCs w:val="28"/>
          <w:lang w:eastAsia="zh-CN"/>
        </w:rPr>
        <w:t>Încheierea, executarea, supravegherea</w:t>
      </w:r>
      <w:r w:rsidRPr="001E4882">
        <w:rPr>
          <w:rFonts w:eastAsia="MS Mincho"/>
          <w:b/>
          <w:bCs/>
          <w:i/>
          <w:color w:val="000000"/>
          <w:szCs w:val="28"/>
          <w:lang w:eastAsia="zh-CN"/>
        </w:rPr>
        <w:t> </w:t>
      </w:r>
      <w:r w:rsidRPr="001E4882">
        <w:rPr>
          <w:rFonts w:eastAsia="MS Mincho"/>
          <w:b/>
          <w:i/>
          <w:szCs w:val="28"/>
          <w:lang w:eastAsia="zh-CN"/>
        </w:rPr>
        <w:t>şi monitorizarea executării</w:t>
      </w:r>
      <w:r w:rsidRPr="001E4882">
        <w:rPr>
          <w:rFonts w:eastAsia="MS Mincho"/>
          <w:b/>
          <w:bCs/>
          <w:i/>
          <w:color w:val="000000"/>
          <w:szCs w:val="28"/>
          <w:lang w:eastAsia="zh-CN"/>
        </w:rPr>
        <w:t> </w:t>
      </w:r>
      <w:r w:rsidRPr="001E4882">
        <w:rPr>
          <w:rFonts w:eastAsia="MS Mincho"/>
          <w:b/>
          <w:i/>
          <w:szCs w:val="28"/>
          <w:lang w:eastAsia="zh-CN"/>
        </w:rPr>
        <w:br/>
        <w:t>contractelor de achiziții publice</w:t>
      </w:r>
    </w:p>
    <w:p w:rsidR="001E4882" w:rsidRPr="001E4882" w:rsidRDefault="001E4882" w:rsidP="001E4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zh-CN"/>
        </w:rPr>
      </w:pP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>Desemnarea cîştigătorului pentru încheierea contractului de achiziţii publice se efectuează în baza utilizării criteriilor de atribuire a contractului, în funcţie de specificul şi destinaţia bunurilor, lucrărilor sau serviciilor. Aceste criterii se definesc clar şi, dacă au fost stabilite, nu pot fi schimbate pe toată durata de aplicare a procedurii de atribuire a contractului de achiziţie publică.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 xml:space="preserve">În urma rezultatelor achiziţiei publice centralizate, autoritățile contractante </w:t>
      </w:r>
      <w:r w:rsidR="00762810">
        <w:t>pentru care au fost desfășurate aceste proceduri</w:t>
      </w:r>
      <w:r w:rsidRPr="001E4882">
        <w:t xml:space="preserve"> încheie contractul/contractele cu cîștigătorul/cîștigătorii desemnat/desemnați, în baza deciziei grupului de lucru al </w:t>
      </w:r>
      <w:r w:rsidR="00BA58C1">
        <w:rPr>
          <w:color w:val="000000"/>
        </w:rPr>
        <w:t>autorității centrale de achiziție</w:t>
      </w:r>
      <w:r w:rsidRPr="001E4882">
        <w:t>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>Operatorii economici și autoritățile contractante care au semnat contractele de achiziții publice în urma procedurii centralizate de achiziție au obligația să execute contractele respective cu bună-credință și diligența corespunzătoare.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>În</w:t>
      </w:r>
      <w:r w:rsidR="00B85305">
        <w:t xml:space="preserve"> </w:t>
      </w:r>
      <w:r w:rsidRPr="001E4882">
        <w:t>scop</w:t>
      </w:r>
      <w:r w:rsidR="00BA58C1">
        <w:t>ul monitorizării executării</w:t>
      </w:r>
      <w:r w:rsidR="00BA58C1" w:rsidRPr="001E4882">
        <w:t xml:space="preserve"> contractelor de achiziții publice încheiate</w:t>
      </w:r>
      <w:r w:rsidRPr="001E4882">
        <w:t>, autoritățile contractate beneficiare</w:t>
      </w:r>
      <w:r w:rsidR="00B85305">
        <w:t>,</w:t>
      </w:r>
      <w:r w:rsidRPr="001E4882">
        <w:t xml:space="preserve"> </w:t>
      </w:r>
      <w:r w:rsidR="00BA58C1">
        <w:t>publică pe site-ul autorității centrale de achiziție</w:t>
      </w:r>
      <w:r w:rsidRPr="001E4882">
        <w:t xml:space="preserve"> o informaţie privind realizarea contractelor de achiziţii publice semnate ca urmare a procedurii centralizate de achiziție, inclusiv nivelul de executare a acestora.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>Informația stipulată în pct. 2</w:t>
      </w:r>
      <w:r w:rsidR="00D5002C">
        <w:t>7</w:t>
      </w:r>
      <w:r w:rsidRPr="001E4882">
        <w:t xml:space="preserve"> din prezentul Regulament se prezintă trimestrial </w:t>
      </w:r>
      <w:r w:rsidR="00BA58C1">
        <w:t>autorității centrale de achiziție</w:t>
      </w:r>
      <w:r w:rsidRPr="001E4882">
        <w:t xml:space="preserve">, în primele 10 zile a primei luni ce succede trimestrul pentru care se face raportarea. În baza informaţiilor generalizate, </w:t>
      </w:r>
      <w:r w:rsidR="00BA58C1">
        <w:t>autoritatea centrală de achiziție</w:t>
      </w:r>
      <w:r w:rsidRPr="001E4882">
        <w:t xml:space="preserve"> întocmește un raport despre nivelul de executare a contractelor de achiziții publice încheiate ca urmare a procedurii centralizate.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>În cazul neexecutării sau executării necorespunzătoare a clauzelor contractuale de către operatorii economici, autoritățile contractante sînt obligate să perfecteze și să înainteze</w:t>
      </w:r>
      <w:r w:rsidR="00BA58C1">
        <w:t xml:space="preserve"> </w:t>
      </w:r>
      <w:r w:rsidR="00BA58C1" w:rsidRPr="001E4882">
        <w:t>Agenției</w:t>
      </w:r>
      <w:r w:rsidR="00BA58C1">
        <w:t xml:space="preserve"> Achiziții Publice,</w:t>
      </w:r>
      <w:r w:rsidRPr="001E4882">
        <w:t xml:space="preserve"> </w:t>
      </w:r>
      <w:r w:rsidR="00BA58C1">
        <w:t>prin intermediul autorității centrale de achiziție,</w:t>
      </w:r>
      <w:r w:rsidR="00BA58C1" w:rsidRPr="001E4882">
        <w:t xml:space="preserve"> </w:t>
      </w:r>
      <w:r w:rsidRPr="001E4882">
        <w:t>actele confirmative pentru includerea operatorilor economici în Lista de interdicţie.</w:t>
      </w:r>
    </w:p>
    <w:p w:rsidR="001E4882" w:rsidRPr="001E4882" w:rsidRDefault="001E4882" w:rsidP="001E4882">
      <w:pPr>
        <w:pStyle w:val="ListParagraph"/>
        <w:numPr>
          <w:ilvl w:val="0"/>
          <w:numId w:val="3"/>
        </w:numPr>
        <w:ind w:left="0" w:firstLine="567"/>
        <w:rPr>
          <w:lang w:eastAsia="zh-CN"/>
        </w:rPr>
      </w:pPr>
      <w:r w:rsidRPr="001E4882">
        <w:t>Contractul de achiziție atribuit ca urmare a procedurilor centralizate poate fi modificat numai în conformitate cu clauzele sale, respectîndu-se prevederile Legii nr. 131 din  3 iulie 2015 privind achiziţiile publice și altor acte normative în domeniu.</w:t>
      </w:r>
      <w:r w:rsidRPr="001E4882">
        <w:rPr>
          <w:color w:val="000000"/>
          <w:szCs w:val="28"/>
        </w:rPr>
        <w:t> </w:t>
      </w:r>
    </w:p>
    <w:p w:rsidR="0071057A" w:rsidRDefault="0071057A" w:rsidP="001E4882">
      <w:pPr>
        <w:ind w:firstLine="567"/>
      </w:pPr>
    </w:p>
    <w:sectPr w:rsidR="0071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B7A"/>
    <w:multiLevelType w:val="hybridMultilevel"/>
    <w:tmpl w:val="83E43F76"/>
    <w:lvl w:ilvl="0" w:tplc="F44A5A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C70078"/>
    <w:multiLevelType w:val="hybridMultilevel"/>
    <w:tmpl w:val="22A2F53E"/>
    <w:lvl w:ilvl="0" w:tplc="DFC88324">
      <w:start w:val="1"/>
      <w:numFmt w:val="decimal"/>
      <w:pStyle w:val="ListParagraph"/>
      <w:lvlText w:val="%1."/>
      <w:lvlJc w:val="left"/>
      <w:pPr>
        <w:ind w:left="5464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6184" w:hanging="360"/>
      </w:pPr>
    </w:lvl>
    <w:lvl w:ilvl="2" w:tplc="0418001B" w:tentative="1">
      <w:start w:val="1"/>
      <w:numFmt w:val="lowerRoman"/>
      <w:lvlText w:val="%3."/>
      <w:lvlJc w:val="right"/>
      <w:pPr>
        <w:ind w:left="6904" w:hanging="180"/>
      </w:pPr>
    </w:lvl>
    <w:lvl w:ilvl="3" w:tplc="0418000F" w:tentative="1">
      <w:start w:val="1"/>
      <w:numFmt w:val="decimal"/>
      <w:lvlText w:val="%4."/>
      <w:lvlJc w:val="left"/>
      <w:pPr>
        <w:ind w:left="7624" w:hanging="360"/>
      </w:pPr>
    </w:lvl>
    <w:lvl w:ilvl="4" w:tplc="04180019" w:tentative="1">
      <w:start w:val="1"/>
      <w:numFmt w:val="lowerLetter"/>
      <w:lvlText w:val="%5."/>
      <w:lvlJc w:val="left"/>
      <w:pPr>
        <w:ind w:left="8344" w:hanging="360"/>
      </w:pPr>
    </w:lvl>
    <w:lvl w:ilvl="5" w:tplc="0418001B" w:tentative="1">
      <w:start w:val="1"/>
      <w:numFmt w:val="lowerRoman"/>
      <w:lvlText w:val="%6."/>
      <w:lvlJc w:val="right"/>
      <w:pPr>
        <w:ind w:left="9064" w:hanging="180"/>
      </w:pPr>
    </w:lvl>
    <w:lvl w:ilvl="6" w:tplc="0418000F" w:tentative="1">
      <w:start w:val="1"/>
      <w:numFmt w:val="decimal"/>
      <w:lvlText w:val="%7."/>
      <w:lvlJc w:val="left"/>
      <w:pPr>
        <w:ind w:left="9784" w:hanging="360"/>
      </w:pPr>
    </w:lvl>
    <w:lvl w:ilvl="7" w:tplc="04180019" w:tentative="1">
      <w:start w:val="1"/>
      <w:numFmt w:val="lowerLetter"/>
      <w:lvlText w:val="%8."/>
      <w:lvlJc w:val="left"/>
      <w:pPr>
        <w:ind w:left="10504" w:hanging="360"/>
      </w:pPr>
    </w:lvl>
    <w:lvl w:ilvl="8" w:tplc="0418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" w15:restartNumberingAfterBreak="0">
    <w:nsid w:val="3DEC47AD"/>
    <w:multiLevelType w:val="hybridMultilevel"/>
    <w:tmpl w:val="FE1E58B4"/>
    <w:lvl w:ilvl="0" w:tplc="0418000F">
      <w:start w:val="1"/>
      <w:numFmt w:val="decimal"/>
      <w:lvlText w:val="%1."/>
      <w:lvlJc w:val="left"/>
      <w:pPr>
        <w:ind w:left="489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74F02"/>
    <w:multiLevelType w:val="hybridMultilevel"/>
    <w:tmpl w:val="F3EAE736"/>
    <w:lvl w:ilvl="0" w:tplc="80E09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82"/>
    <w:rsid w:val="00054888"/>
    <w:rsid w:val="000766CD"/>
    <w:rsid w:val="000C291B"/>
    <w:rsid w:val="00102E34"/>
    <w:rsid w:val="00150774"/>
    <w:rsid w:val="001E4882"/>
    <w:rsid w:val="001F1BCB"/>
    <w:rsid w:val="00205861"/>
    <w:rsid w:val="002843C8"/>
    <w:rsid w:val="00412519"/>
    <w:rsid w:val="004D4343"/>
    <w:rsid w:val="006C5601"/>
    <w:rsid w:val="0071057A"/>
    <w:rsid w:val="00736EB9"/>
    <w:rsid w:val="0074699C"/>
    <w:rsid w:val="00762810"/>
    <w:rsid w:val="007E5473"/>
    <w:rsid w:val="00851DEE"/>
    <w:rsid w:val="00876C7C"/>
    <w:rsid w:val="008D170F"/>
    <w:rsid w:val="00993529"/>
    <w:rsid w:val="009A2D78"/>
    <w:rsid w:val="00A62F2F"/>
    <w:rsid w:val="00AB70B9"/>
    <w:rsid w:val="00AC7D51"/>
    <w:rsid w:val="00AE3F0A"/>
    <w:rsid w:val="00AF31F0"/>
    <w:rsid w:val="00B85305"/>
    <w:rsid w:val="00BA58C1"/>
    <w:rsid w:val="00BF3744"/>
    <w:rsid w:val="00C67B35"/>
    <w:rsid w:val="00CD392A"/>
    <w:rsid w:val="00D02C92"/>
    <w:rsid w:val="00D5002C"/>
    <w:rsid w:val="00D81E62"/>
    <w:rsid w:val="00E10B44"/>
    <w:rsid w:val="00E35F29"/>
    <w:rsid w:val="00E764C4"/>
    <w:rsid w:val="00F4326D"/>
    <w:rsid w:val="00F8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772BF5-17C6-4871-A68F-5A02B769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"/>
    <w:basedOn w:val="Normal"/>
    <w:autoRedefine/>
    <w:uiPriority w:val="34"/>
    <w:qFormat/>
    <w:rsid w:val="001E4882"/>
    <w:pPr>
      <w:numPr>
        <w:numId w:val="1"/>
      </w:numPr>
      <w:tabs>
        <w:tab w:val="left" w:pos="851"/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0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7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D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D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9D9B-A126-41C5-ABED-C9CC0F9D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1615</Words>
  <Characters>9210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</dc:creator>
  <cp:keywords/>
  <dc:description/>
  <cp:lastModifiedBy>Ochinca Dumitru</cp:lastModifiedBy>
  <cp:revision>5</cp:revision>
  <cp:lastPrinted>2017-03-09T11:58:00Z</cp:lastPrinted>
  <dcterms:created xsi:type="dcterms:W3CDTF">2017-03-09T11:55:00Z</dcterms:created>
  <dcterms:modified xsi:type="dcterms:W3CDTF">2017-07-20T08:18:00Z</dcterms:modified>
</cp:coreProperties>
</file>