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90" w:rsidRPr="00DE0790" w:rsidRDefault="00DE0790" w:rsidP="00F36CFD">
      <w:pPr>
        <w:ind w:firstLine="0"/>
        <w:jc w:val="center"/>
      </w:pPr>
    </w:p>
    <w:p w:rsidR="003C0E1F" w:rsidRPr="00005CE8" w:rsidRDefault="00005CE8" w:rsidP="00F36CFD">
      <w:pPr>
        <w:ind w:firstLine="0"/>
        <w:jc w:val="center"/>
        <w:rPr>
          <w:b/>
        </w:rPr>
      </w:pPr>
      <w:r w:rsidRPr="00005CE8">
        <w:rPr>
          <w:b/>
        </w:rPr>
        <w:t>Nota informativă</w:t>
      </w:r>
      <w:r w:rsidR="00D75DE3">
        <w:rPr>
          <w:b/>
        </w:rPr>
        <w:br/>
        <w:t>la Proiectul Hotărârii Guvernului p</w:t>
      </w:r>
      <w:r w:rsidR="00D75DE3" w:rsidRPr="00D75DE3">
        <w:rPr>
          <w:b/>
        </w:rPr>
        <w:t xml:space="preserve">entru aprobarea </w:t>
      </w:r>
      <w:r w:rsidR="00D75DE3">
        <w:rPr>
          <w:b/>
        </w:rPr>
        <w:br/>
      </w:r>
      <w:r w:rsidR="00D75DE3" w:rsidRPr="00D75DE3">
        <w:rPr>
          <w:b/>
        </w:rPr>
        <w:t>Pachetului standard de servicii educaţional în învăţământul general</w:t>
      </w:r>
    </w:p>
    <w:p w:rsidR="003B66EA" w:rsidRDefault="003B66EA"/>
    <w:p w:rsidR="007D12ED" w:rsidRDefault="007D12ED" w:rsidP="00BB20F7">
      <w:pPr>
        <w:spacing w:after="0"/>
      </w:pPr>
      <w:r>
        <w:t>Proiectul Hotărârii de Guvern este elaborat în temeiul art. 9, aln. (2) şi art. 140, aln. (1</w:t>
      </w:r>
      <w:r w:rsidR="00974857">
        <w:t>)</w:t>
      </w:r>
      <w:r>
        <w:t>, pct. i) din Codul Educaţiei nr. 152 din 17.07.2014 (Monitorul Oficial, 2014, nr. 319-324, art. 634).</w:t>
      </w:r>
    </w:p>
    <w:p w:rsidR="00E91220" w:rsidRDefault="00C93742" w:rsidP="00BB20F7">
      <w:pPr>
        <w:spacing w:after="0"/>
        <w:rPr>
          <w:lang w:val="en-US"/>
        </w:rPr>
      </w:pPr>
      <w:r>
        <w:t xml:space="preserve">Proiectul Hotărârii de Guvern </w:t>
      </w:r>
      <w:r w:rsidR="00CB6BB4">
        <w:t>are drept scop</w:t>
      </w:r>
      <w:r w:rsidR="00CB6BB4">
        <w:rPr>
          <w:lang w:val="en-US"/>
        </w:rPr>
        <w:t>:</w:t>
      </w:r>
    </w:p>
    <w:p w:rsidR="00CB6BB4" w:rsidRPr="00CB6BB4" w:rsidRDefault="00CB6BB4" w:rsidP="00CB6BB4">
      <w:pPr>
        <w:pStyle w:val="ListParagraph"/>
        <w:numPr>
          <w:ilvl w:val="0"/>
          <w:numId w:val="3"/>
        </w:numPr>
        <w:spacing w:before="0"/>
        <w:ind w:left="0" w:firstLine="567"/>
      </w:pPr>
      <w:r>
        <w:t>r</w:t>
      </w:r>
      <w:r w:rsidRPr="00CB6BB4">
        <w:t>eglementarea rela</w:t>
      </w:r>
      <w:r w:rsidRPr="00CB6BB4">
        <w:rPr>
          <w:rFonts w:ascii="Cambria Math" w:hAnsi="Cambria Math" w:cs="Cambria Math"/>
        </w:rPr>
        <w:t>ț</w:t>
      </w:r>
      <w:r w:rsidRPr="00CB6BB4">
        <w:t xml:space="preserve">iilor dintre prestatorii </w:t>
      </w:r>
      <w:r w:rsidRPr="00CB6BB4">
        <w:rPr>
          <w:rFonts w:ascii="Cambria Math" w:hAnsi="Cambria Math" w:cs="Cambria Math"/>
        </w:rPr>
        <w:t>ș</w:t>
      </w:r>
      <w:r w:rsidRPr="00CB6BB4">
        <w:rPr>
          <w:rFonts w:cs="Times New Roman"/>
        </w:rPr>
        <w:t>i beneficiarii de servicii educa</w:t>
      </w:r>
      <w:r w:rsidRPr="00CB6BB4">
        <w:rPr>
          <w:rFonts w:ascii="Cambria Math" w:hAnsi="Cambria Math" w:cs="Cambria Math"/>
        </w:rPr>
        <w:t>ț</w:t>
      </w:r>
      <w:r w:rsidRPr="00CB6BB4">
        <w:rPr>
          <w:rFonts w:cs="Times New Roman"/>
        </w:rPr>
        <w:t>ionale</w:t>
      </w:r>
      <w:r>
        <w:rPr>
          <w:rFonts w:cs="Times New Roman"/>
        </w:rPr>
        <w:t>;</w:t>
      </w:r>
    </w:p>
    <w:p w:rsidR="00CB6BB4" w:rsidRPr="00CB6BB4" w:rsidRDefault="00CB6BB4" w:rsidP="00CB6BB4">
      <w:pPr>
        <w:pStyle w:val="ListParagraph"/>
        <w:numPr>
          <w:ilvl w:val="0"/>
          <w:numId w:val="3"/>
        </w:numPr>
        <w:spacing w:before="0"/>
        <w:ind w:left="0" w:firstLine="567"/>
      </w:pPr>
      <w:r>
        <w:t>a</w:t>
      </w:r>
      <w:r w:rsidRPr="00CB6BB4">
        <w:t xml:space="preserve">sigurarea accesului universal </w:t>
      </w:r>
      <w:r w:rsidRPr="00CB6BB4">
        <w:rPr>
          <w:rFonts w:ascii="Cambria Math" w:hAnsi="Cambria Math" w:cs="Cambria Math"/>
        </w:rPr>
        <w:t>ș</w:t>
      </w:r>
      <w:r w:rsidRPr="00CB6BB4">
        <w:t>i nediscriminatoriu la serviciile educa</w:t>
      </w:r>
      <w:r w:rsidRPr="00CB6BB4">
        <w:rPr>
          <w:rFonts w:ascii="Cambria Math" w:hAnsi="Cambria Math" w:cs="Cambria Math"/>
        </w:rPr>
        <w:t>ț</w:t>
      </w:r>
      <w:r w:rsidRPr="00CB6BB4">
        <w:rPr>
          <w:rFonts w:cs="Times New Roman"/>
        </w:rPr>
        <w:t>ionale</w:t>
      </w:r>
      <w:r>
        <w:rPr>
          <w:rFonts w:cs="Times New Roman"/>
        </w:rPr>
        <w:t>;</w:t>
      </w:r>
    </w:p>
    <w:p w:rsidR="00CB6BB4" w:rsidRPr="00CB6BB4" w:rsidRDefault="00CB6BB4" w:rsidP="00CB6BB4">
      <w:pPr>
        <w:pStyle w:val="ListParagraph"/>
        <w:numPr>
          <w:ilvl w:val="0"/>
          <w:numId w:val="3"/>
        </w:numPr>
        <w:spacing w:before="0"/>
        <w:ind w:left="0" w:firstLine="567"/>
      </w:pPr>
      <w:r>
        <w:t>a</w:t>
      </w:r>
      <w:r w:rsidRPr="00CB6BB4">
        <w:t>sigurarea incluziunii educa</w:t>
      </w:r>
      <w:r w:rsidRPr="00CB6BB4">
        <w:rPr>
          <w:rFonts w:ascii="Cambria Math" w:hAnsi="Cambria Math" w:cs="Cambria Math"/>
        </w:rPr>
        <w:t>ț</w:t>
      </w:r>
      <w:r w:rsidRPr="00CB6BB4">
        <w:t xml:space="preserve">ionale </w:t>
      </w:r>
      <w:r w:rsidRPr="00CB6BB4">
        <w:rPr>
          <w:rFonts w:ascii="Cambria Math" w:hAnsi="Cambria Math" w:cs="Cambria Math"/>
        </w:rPr>
        <w:t>ș</w:t>
      </w:r>
      <w:r w:rsidRPr="00CB6BB4">
        <w:rPr>
          <w:rFonts w:cs="Times New Roman"/>
        </w:rPr>
        <w:t>i celei sociale</w:t>
      </w:r>
      <w:r>
        <w:rPr>
          <w:rFonts w:cs="Times New Roman"/>
        </w:rPr>
        <w:t>;</w:t>
      </w:r>
    </w:p>
    <w:p w:rsidR="00CB6BB4" w:rsidRPr="00CB6BB4" w:rsidRDefault="00CB6BB4" w:rsidP="00CB6BB4">
      <w:pPr>
        <w:pStyle w:val="ListParagraph"/>
        <w:numPr>
          <w:ilvl w:val="0"/>
          <w:numId w:val="3"/>
        </w:numPr>
        <w:spacing w:before="0"/>
        <w:ind w:left="0" w:firstLine="567"/>
      </w:pPr>
      <w:r>
        <w:t>d</w:t>
      </w:r>
      <w:r w:rsidRPr="00CB6BB4">
        <w:t>elimitarea explicită a serviciilor educa</w:t>
      </w:r>
      <w:r w:rsidRPr="00CB6BB4">
        <w:rPr>
          <w:rFonts w:ascii="Cambria Math" w:hAnsi="Cambria Math" w:cs="Cambria Math"/>
        </w:rPr>
        <w:t>ț</w:t>
      </w:r>
      <w:r w:rsidRPr="00CB6BB4">
        <w:t>ionale garantate de stat de cele ce pot fi prestate suplimentar de institu</w:t>
      </w:r>
      <w:r w:rsidRPr="00CB6BB4">
        <w:rPr>
          <w:rFonts w:ascii="Cambria Math" w:hAnsi="Cambria Math" w:cs="Cambria Math"/>
        </w:rPr>
        <w:t>ț</w:t>
      </w:r>
      <w:r w:rsidRPr="00CB6BB4">
        <w:rPr>
          <w:rFonts w:cs="Times New Roman"/>
        </w:rPr>
        <w:t>iile de</w:t>
      </w:r>
      <w:r w:rsidRPr="00CB6BB4">
        <w:t xml:space="preserve"> învă</w:t>
      </w:r>
      <w:r w:rsidRPr="00CB6BB4">
        <w:rPr>
          <w:rFonts w:ascii="Cambria Math" w:hAnsi="Cambria Math" w:cs="Cambria Math"/>
        </w:rPr>
        <w:t>ț</w:t>
      </w:r>
      <w:r w:rsidRPr="00CB6BB4">
        <w:t xml:space="preserve">ământ la solicitările </w:t>
      </w:r>
      <w:r w:rsidRPr="00CB6BB4">
        <w:rPr>
          <w:rFonts w:ascii="Cambria Math" w:hAnsi="Cambria Math" w:cs="Cambria Math"/>
        </w:rPr>
        <w:t>ș</w:t>
      </w:r>
      <w:r w:rsidRPr="00CB6BB4">
        <w:rPr>
          <w:rFonts w:cs="Times New Roman"/>
        </w:rPr>
        <w:t>i din contul beneficiarilor</w:t>
      </w:r>
      <w:r>
        <w:rPr>
          <w:rFonts w:cs="Times New Roman"/>
        </w:rPr>
        <w:t xml:space="preserve"> direcţi şi indirecţi ai educaţiei (copiii, elevii, părinţii, comunităţile locale).</w:t>
      </w:r>
    </w:p>
    <w:p w:rsidR="00CB6BB4" w:rsidRPr="00D75DE3" w:rsidRDefault="00CB6BB4" w:rsidP="00CB6BB4">
      <w:r>
        <w:t xml:space="preserve">Termenii utilizaţi în </w:t>
      </w:r>
      <w:r w:rsidR="00D75DE3">
        <w:t xml:space="preserve">Proiectul Hotărârii de Guvern </w:t>
      </w:r>
      <w:r>
        <w:t>au următoarea semnificaţie</w:t>
      </w:r>
      <w:r w:rsidRPr="00D75DE3">
        <w:t>:</w:t>
      </w:r>
    </w:p>
    <w:p w:rsidR="00E91220" w:rsidRDefault="00CB6BB4" w:rsidP="00BB20F7">
      <w:pPr>
        <w:spacing w:after="0"/>
      </w:pPr>
      <w:r w:rsidRPr="00CB6BB4">
        <w:rPr>
          <w:i/>
        </w:rPr>
        <w:t>Serviciu public</w:t>
      </w:r>
      <w:r w:rsidRPr="00CB6BB4">
        <w:t xml:space="preserve"> – activitate organizată sau autorizată de o autoritate publică, în scopul satisfacerii unui interes public; serviciul public trebuie prestat în mod continuu şi transparent, trebuie să fie accesibil tuturor şi nediscriminatoriu pentru destinatarii săi</w:t>
      </w:r>
      <w:r>
        <w:t>.</w:t>
      </w:r>
    </w:p>
    <w:p w:rsidR="00CB6BB4" w:rsidRDefault="00CB6BB4" w:rsidP="00BB20F7">
      <w:pPr>
        <w:spacing w:after="0"/>
      </w:pPr>
      <w:r w:rsidRPr="00CB6BB4">
        <w:rPr>
          <w:i/>
        </w:rPr>
        <w:t>Serviciu educaţional</w:t>
      </w:r>
      <w:r w:rsidRPr="00CB6BB4">
        <w:t xml:space="preserve"> – </w:t>
      </w:r>
      <w:r>
        <w:t xml:space="preserve">serviciu public ce constă dintr-un </w:t>
      </w:r>
      <w:r w:rsidRPr="00CB6BB4">
        <w:t>ansamblu de activităţi specializate, desfăşurate in cadrul institu</w:t>
      </w:r>
      <w:r w:rsidRPr="00CB6BB4">
        <w:rPr>
          <w:rFonts w:ascii="Cambria Math" w:hAnsi="Cambria Math" w:cs="Cambria Math"/>
        </w:rPr>
        <w:t>ț</w:t>
      </w:r>
      <w:r w:rsidRPr="00CB6BB4">
        <w:rPr>
          <w:rFonts w:cs="Times New Roman"/>
        </w:rPr>
        <w:t>iilor sau organizaţiilor din sectorul educa</w:t>
      </w:r>
      <w:r w:rsidRPr="00CB6BB4">
        <w:rPr>
          <w:rFonts w:ascii="Cambria Math" w:hAnsi="Cambria Math" w:cs="Cambria Math"/>
        </w:rPr>
        <w:t>ț</w:t>
      </w:r>
      <w:r w:rsidRPr="00CB6BB4">
        <w:rPr>
          <w:rFonts w:cs="Times New Roman"/>
        </w:rPr>
        <w:t>ional si care au ca scop rezolvarea problemelor legate</w:t>
      </w:r>
      <w:r w:rsidRPr="00CB6BB4">
        <w:t xml:space="preserve"> de educaţie si instrucţie a categoriilor de beneficiari identificaţi cu nevoi educaţionale</w:t>
      </w:r>
      <w:r>
        <w:t>.</w:t>
      </w:r>
    </w:p>
    <w:p w:rsidR="00CB6BB4" w:rsidRDefault="00CB6BB4" w:rsidP="00BB20F7">
      <w:pPr>
        <w:spacing w:after="0"/>
      </w:pPr>
      <w:r w:rsidRPr="00CB6BB4">
        <w:rPr>
          <w:i/>
        </w:rPr>
        <w:t>Pachet standard de servicii educaţionale</w:t>
      </w:r>
      <w:r>
        <w:t xml:space="preserve"> </w:t>
      </w:r>
      <w:r w:rsidRPr="00CB6BB4">
        <w:t>–</w:t>
      </w:r>
      <w:r>
        <w:t xml:space="preserve"> </w:t>
      </w:r>
      <w:r w:rsidRPr="00CB6BB4">
        <w:t>sistem de oferte şi programe educaţionale, orientate spre atingerea unor finalităţi concrete şi dobândirea unui volum de cunoştinţe, formarea unor competenţe conforme cu standardele educaţionale</w:t>
      </w:r>
      <w:r w:rsidR="00995048">
        <w:t>.</w:t>
      </w:r>
    </w:p>
    <w:p w:rsidR="00F73687" w:rsidRDefault="00995048" w:rsidP="00BB20F7">
      <w:pPr>
        <w:spacing w:after="0"/>
      </w:pPr>
      <w:r w:rsidRPr="00995048">
        <w:rPr>
          <w:i/>
        </w:rPr>
        <w:t>Program educaţional</w:t>
      </w:r>
      <w:r w:rsidR="00FB170A">
        <w:rPr>
          <w:i/>
        </w:rPr>
        <w:t>-tip</w:t>
      </w:r>
      <w:r>
        <w:t xml:space="preserve"> </w:t>
      </w:r>
      <w:r w:rsidRPr="00CB6BB4">
        <w:t>–</w:t>
      </w:r>
      <w:r>
        <w:t xml:space="preserve"> </w:t>
      </w:r>
      <w:r w:rsidR="00F73687">
        <w:t xml:space="preserve">ansamblu de activităţi ce au drept scop formarea şi dezvoltarea </w:t>
      </w:r>
      <w:r w:rsidR="00F73687" w:rsidRPr="00F73687">
        <w:t>cultur</w:t>
      </w:r>
      <w:r w:rsidR="00F73687">
        <w:t>ii</w:t>
      </w:r>
      <w:r w:rsidR="00F73687" w:rsidRPr="00F73687">
        <w:t xml:space="preserve"> general</w:t>
      </w:r>
      <w:r w:rsidR="00F73687">
        <w:t>e</w:t>
      </w:r>
      <w:r w:rsidR="00F73687" w:rsidRPr="00F73687">
        <w:t xml:space="preserve">, </w:t>
      </w:r>
      <w:r w:rsidR="00F73687">
        <w:t xml:space="preserve">dezvoltarea </w:t>
      </w:r>
      <w:r w:rsidR="00F73687" w:rsidRPr="00F73687">
        <w:t xml:space="preserve">spirituală </w:t>
      </w:r>
      <w:r w:rsidR="00F73687" w:rsidRPr="00F73687">
        <w:rPr>
          <w:rFonts w:ascii="Cambria Math" w:hAnsi="Cambria Math" w:cs="Cambria Math"/>
        </w:rPr>
        <w:t>ș</w:t>
      </w:r>
      <w:r w:rsidR="00F73687" w:rsidRPr="00F73687">
        <w:rPr>
          <w:rFonts w:cs="Times New Roman"/>
        </w:rPr>
        <w:t xml:space="preserve">i morală, civilă, socială, personală </w:t>
      </w:r>
      <w:r w:rsidR="00F73687" w:rsidRPr="00F73687">
        <w:rPr>
          <w:rFonts w:ascii="Cambria Math" w:hAnsi="Cambria Math" w:cs="Cambria Math"/>
        </w:rPr>
        <w:t>ș</w:t>
      </w:r>
      <w:r w:rsidR="00F73687" w:rsidRPr="00F73687">
        <w:rPr>
          <w:rFonts w:cs="Times New Roman"/>
        </w:rPr>
        <w:t xml:space="preserve">i intelectuală a </w:t>
      </w:r>
      <w:r w:rsidR="00F73687">
        <w:rPr>
          <w:rFonts w:cs="Times New Roman"/>
        </w:rPr>
        <w:t>copiilor şi elevilor</w:t>
      </w:r>
      <w:r w:rsidR="00F73687" w:rsidRPr="00F73687">
        <w:rPr>
          <w:rFonts w:cs="Times New Roman"/>
        </w:rPr>
        <w:t xml:space="preserve">, auto-dezvoltare </w:t>
      </w:r>
      <w:r w:rsidR="00F73687" w:rsidRPr="00F73687">
        <w:rPr>
          <w:rFonts w:ascii="Cambria Math" w:hAnsi="Cambria Math" w:cs="Cambria Math"/>
        </w:rPr>
        <w:t>ș</w:t>
      </w:r>
      <w:r w:rsidR="00F73687" w:rsidRPr="00F73687">
        <w:rPr>
          <w:rFonts w:cs="Times New Roman"/>
        </w:rPr>
        <w:t>i auto-</w:t>
      </w:r>
      <w:r w:rsidR="00F73687">
        <w:rPr>
          <w:rFonts w:cs="Times New Roman"/>
        </w:rPr>
        <w:t>perfecţionare în scopul asigurării</w:t>
      </w:r>
      <w:r w:rsidR="00F73687" w:rsidRPr="00F73687">
        <w:rPr>
          <w:rFonts w:cs="Times New Roman"/>
        </w:rPr>
        <w:t xml:space="preserve"> </w:t>
      </w:r>
      <w:r w:rsidR="00F73687">
        <w:rPr>
          <w:rFonts w:cs="Times New Roman"/>
        </w:rPr>
        <w:t xml:space="preserve">integrării şi </w:t>
      </w:r>
      <w:r w:rsidR="00F73687" w:rsidRPr="00F73687">
        <w:rPr>
          <w:rFonts w:cs="Times New Roman"/>
        </w:rPr>
        <w:t>succesul</w:t>
      </w:r>
      <w:r w:rsidR="00F73687">
        <w:rPr>
          <w:rFonts w:cs="Times New Roman"/>
        </w:rPr>
        <w:t>ui</w:t>
      </w:r>
      <w:r w:rsidR="00F73687" w:rsidRPr="00F73687">
        <w:rPr>
          <w:rFonts w:cs="Times New Roman"/>
        </w:rPr>
        <w:t xml:space="preserve"> social, </w:t>
      </w:r>
      <w:r w:rsidR="00F73687">
        <w:rPr>
          <w:rFonts w:cs="Times New Roman"/>
        </w:rPr>
        <w:t xml:space="preserve">dezvoltării </w:t>
      </w:r>
      <w:r w:rsidR="00F73687" w:rsidRPr="00F73687">
        <w:rPr>
          <w:rFonts w:cs="Times New Roman"/>
        </w:rPr>
        <w:t>creativit</w:t>
      </w:r>
      <w:r w:rsidR="00F73687">
        <w:rPr>
          <w:rFonts w:cs="Times New Roman"/>
        </w:rPr>
        <w:t>ăţii</w:t>
      </w:r>
      <w:r w:rsidR="00F73687" w:rsidRPr="00F73687">
        <w:rPr>
          <w:rFonts w:cs="Times New Roman"/>
        </w:rPr>
        <w:t>, abilită</w:t>
      </w:r>
      <w:r w:rsidR="00F73687" w:rsidRPr="00F73687">
        <w:rPr>
          <w:rFonts w:ascii="Cambria Math" w:hAnsi="Cambria Math" w:cs="Cambria Math"/>
        </w:rPr>
        <w:t>ț</w:t>
      </w:r>
      <w:r w:rsidR="00F73687" w:rsidRPr="00F73687">
        <w:rPr>
          <w:rFonts w:cs="Times New Roman"/>
        </w:rPr>
        <w:t>i</w:t>
      </w:r>
      <w:r w:rsidR="00F73687">
        <w:rPr>
          <w:rFonts w:cs="Times New Roman"/>
        </w:rPr>
        <w:t>lor</w:t>
      </w:r>
      <w:r w:rsidR="00F73687" w:rsidRPr="00F73687">
        <w:rPr>
          <w:rFonts w:cs="Times New Roman"/>
        </w:rPr>
        <w:t xml:space="preserve"> fizice, păstr</w:t>
      </w:r>
      <w:r w:rsidR="00F73687">
        <w:rPr>
          <w:rFonts w:cs="Times New Roman"/>
        </w:rPr>
        <w:t xml:space="preserve">ării </w:t>
      </w:r>
      <w:r w:rsidR="00F73687" w:rsidRPr="00F73687">
        <w:rPr>
          <w:rFonts w:ascii="Cambria Math" w:hAnsi="Cambria Math" w:cs="Cambria Math"/>
        </w:rPr>
        <w:t>ș</w:t>
      </w:r>
      <w:r w:rsidR="00F73687" w:rsidRPr="00F73687">
        <w:rPr>
          <w:rFonts w:cs="Times New Roman"/>
        </w:rPr>
        <w:t xml:space="preserve">i </w:t>
      </w:r>
      <w:r w:rsidR="00F73687">
        <w:rPr>
          <w:rFonts w:cs="Times New Roman"/>
        </w:rPr>
        <w:t xml:space="preserve">consolidării </w:t>
      </w:r>
      <w:r w:rsidR="00F73687" w:rsidRPr="00F73687">
        <w:rPr>
          <w:rFonts w:cs="Times New Roman"/>
        </w:rPr>
        <w:t>sănătă</w:t>
      </w:r>
      <w:r w:rsidR="00F73687" w:rsidRPr="00F73687">
        <w:rPr>
          <w:rFonts w:ascii="Cambria Math" w:hAnsi="Cambria Math" w:cs="Cambria Math"/>
        </w:rPr>
        <w:t>ț</w:t>
      </w:r>
      <w:r w:rsidR="00F73687">
        <w:rPr>
          <w:rFonts w:cs="Times New Roman"/>
        </w:rPr>
        <w:t>ii.</w:t>
      </w:r>
      <w:r w:rsidR="003A12BB">
        <w:rPr>
          <w:rFonts w:cs="Times New Roman"/>
        </w:rPr>
        <w:t xml:space="preserve"> Programele educaţionale sunt realizate de către instituţiile din sistemul de învăţământ prin activităţi şcolare şi extraşcolare în conformitate cu </w:t>
      </w:r>
      <w:r w:rsidR="003C0E1F">
        <w:rPr>
          <w:rFonts w:cs="Times New Roman"/>
        </w:rPr>
        <w:t>Standardele educaţionale de stat, C</w:t>
      </w:r>
      <w:r w:rsidR="003A12BB">
        <w:rPr>
          <w:rFonts w:cs="Times New Roman"/>
        </w:rPr>
        <w:t>urriculumul naţional</w:t>
      </w:r>
      <w:r w:rsidR="003C0E1F">
        <w:rPr>
          <w:rFonts w:cs="Times New Roman"/>
        </w:rPr>
        <w:t xml:space="preserve">, statutele şi regulamentele </w:t>
      </w:r>
      <w:r w:rsidR="00FB170A">
        <w:rPr>
          <w:rFonts w:cs="Times New Roman"/>
        </w:rPr>
        <w:t xml:space="preserve">de funcţionare a </w:t>
      </w:r>
      <w:r w:rsidR="003C0E1F">
        <w:rPr>
          <w:rFonts w:cs="Times New Roman"/>
        </w:rPr>
        <w:t xml:space="preserve">instituţiilor de învăţământ, </w:t>
      </w:r>
      <w:r w:rsidR="003A12BB">
        <w:rPr>
          <w:rFonts w:cs="Times New Roman"/>
        </w:rPr>
        <w:t>cu respectarea cerinţelor stabilite în regulamentele sanitare</w:t>
      </w:r>
      <w:r w:rsidR="003C0E1F">
        <w:rPr>
          <w:rFonts w:cs="Times New Roman"/>
        </w:rPr>
        <w:t xml:space="preserve"> de stat</w:t>
      </w:r>
      <w:r w:rsidR="003A12BB">
        <w:rPr>
          <w:rFonts w:cs="Times New Roman"/>
        </w:rPr>
        <w:t>.</w:t>
      </w:r>
    </w:p>
    <w:p w:rsidR="00995048" w:rsidRPr="00D66F3F" w:rsidRDefault="00995048" w:rsidP="00D66F3F">
      <w:pPr>
        <w:spacing w:after="0"/>
      </w:pPr>
      <w:r w:rsidRPr="00995048">
        <w:rPr>
          <w:i/>
        </w:rPr>
        <w:t>Program</w:t>
      </w:r>
      <w:r w:rsidR="00FB170A">
        <w:rPr>
          <w:i/>
        </w:rPr>
        <w:t xml:space="preserve"> educaţional</w:t>
      </w:r>
      <w:r w:rsidRPr="00995048">
        <w:rPr>
          <w:i/>
        </w:rPr>
        <w:t xml:space="preserve"> cu abordări individualizate</w:t>
      </w:r>
      <w:r>
        <w:t xml:space="preserve"> </w:t>
      </w:r>
      <w:r w:rsidRPr="00CB6BB4">
        <w:t>–</w:t>
      </w:r>
      <w:r>
        <w:t xml:space="preserve"> </w:t>
      </w:r>
      <w:r w:rsidR="003C0E1F">
        <w:t>program educaţional</w:t>
      </w:r>
      <w:r w:rsidR="00D66F3F">
        <w:t>-tip, extins prin activităţi</w:t>
      </w:r>
      <w:r w:rsidR="003C0E1F">
        <w:t xml:space="preserve"> </w:t>
      </w:r>
      <w:r w:rsidR="00D66F3F">
        <w:t xml:space="preserve">ce asigură </w:t>
      </w:r>
      <w:r w:rsidR="00D66F3F" w:rsidRPr="00D66F3F">
        <w:t>incluziunea copiilor şi elevilor cu cerinţe educaţionale special</w:t>
      </w:r>
      <w:r w:rsidR="00D66F3F">
        <w:t xml:space="preserve">e prin abordări individualizate </w:t>
      </w:r>
      <w:r w:rsidR="00FB170A">
        <w:t>(</w:t>
      </w:r>
      <w:r w:rsidR="00D66F3F">
        <w:t xml:space="preserve">curricula adaptate, curricula modificate, </w:t>
      </w:r>
      <w:r w:rsidR="00D66F3F" w:rsidRPr="00D66F3F">
        <w:t>plan</w:t>
      </w:r>
      <w:r w:rsidR="00D66F3F">
        <w:t>uri</w:t>
      </w:r>
      <w:r w:rsidR="00D66F3F" w:rsidRPr="00D66F3F">
        <w:t xml:space="preserve"> educaţional</w:t>
      </w:r>
      <w:r w:rsidR="00D66F3F">
        <w:t>e</w:t>
      </w:r>
      <w:r w:rsidR="00D66F3F" w:rsidRPr="00D66F3F">
        <w:t xml:space="preserve"> individualizat</w:t>
      </w:r>
      <w:r w:rsidR="00D66F3F">
        <w:t>e</w:t>
      </w:r>
      <w:r w:rsidR="00FB170A">
        <w:t>)</w:t>
      </w:r>
      <w:r w:rsidR="00D66F3F">
        <w:t xml:space="preserve">, crearea </w:t>
      </w:r>
      <w:r w:rsidR="00D66F3F" w:rsidRPr="00D66F3F">
        <w:t>condiţii</w:t>
      </w:r>
      <w:r w:rsidR="00D66F3F">
        <w:t>lor</w:t>
      </w:r>
      <w:r w:rsidR="00D66F3F" w:rsidRPr="00D66F3F">
        <w:t xml:space="preserve"> de ordin ambiental</w:t>
      </w:r>
      <w:r w:rsidR="00D66F3F">
        <w:t>, a</w:t>
      </w:r>
      <w:r w:rsidR="00D66F3F">
        <w:t>sigurarea cu  mijloace tehnice compensatorii</w:t>
      </w:r>
      <w:r w:rsidR="00D66F3F">
        <w:t xml:space="preserve"> şi cu </w:t>
      </w:r>
      <w:r w:rsidR="00D66F3F">
        <w:t xml:space="preserve">tehnologii </w:t>
      </w:r>
      <w:proofErr w:type="spellStart"/>
      <w:r w:rsidR="00D66F3F">
        <w:t>asistive</w:t>
      </w:r>
      <w:proofErr w:type="spellEnd"/>
      <w:r w:rsidR="00D66F3F">
        <w:t>.</w:t>
      </w:r>
    </w:p>
    <w:p w:rsidR="00E91220" w:rsidRDefault="00E91220" w:rsidP="00BB20F7">
      <w:pPr>
        <w:spacing w:after="0"/>
      </w:pPr>
    </w:p>
    <w:p w:rsidR="00BB20F7" w:rsidRDefault="003B66EA" w:rsidP="00BB20F7">
      <w:pPr>
        <w:spacing w:after="0"/>
      </w:pPr>
      <w:r>
        <w:lastRenderedPageBreak/>
        <w:t xml:space="preserve">Serviciile educaţionale </w:t>
      </w:r>
      <w:r w:rsidR="00BD649A">
        <w:t xml:space="preserve">din componenţa Pachetului standard </w:t>
      </w:r>
      <w:r>
        <w:t>sunt grupate pe</w:t>
      </w:r>
      <w:r w:rsidR="00BB20F7" w:rsidRPr="00BB20F7">
        <w:t xml:space="preserve"> n</w:t>
      </w:r>
      <w:r w:rsidRPr="003B66EA">
        <w:t>iveluri</w:t>
      </w:r>
      <w:r>
        <w:t>/ ciclur</w:t>
      </w:r>
      <w:r w:rsidRPr="003B66EA">
        <w:t>i/</w:t>
      </w:r>
      <w:r>
        <w:t xml:space="preserve"> </w:t>
      </w:r>
      <w:r w:rsidRPr="003B66EA">
        <w:t>forme de învăţământ</w:t>
      </w:r>
      <w:r w:rsidR="00BB20F7">
        <w:t>, după cum urmează:</w:t>
      </w:r>
    </w:p>
    <w:p w:rsidR="00BB20F7" w:rsidRPr="00BB20F7" w:rsidRDefault="00BB20F7" w:rsidP="00BB20F7">
      <w:pPr>
        <w:pStyle w:val="ListParagraph"/>
        <w:numPr>
          <w:ilvl w:val="0"/>
          <w:numId w:val="1"/>
        </w:numPr>
        <w:spacing w:before="0"/>
        <w:ind w:left="1281" w:hanging="357"/>
      </w:pPr>
      <w:r>
        <w:t>E</w:t>
      </w:r>
      <w:r w:rsidRPr="00BB20F7">
        <w:t>ducaţia antepreşcolară</w:t>
      </w:r>
      <w:r>
        <w:t>.</w:t>
      </w:r>
    </w:p>
    <w:p w:rsidR="00BB20F7" w:rsidRDefault="00BB20F7" w:rsidP="00BB20F7">
      <w:pPr>
        <w:pStyle w:val="ListParagraph"/>
        <w:numPr>
          <w:ilvl w:val="0"/>
          <w:numId w:val="1"/>
        </w:numPr>
        <w:ind w:left="1281" w:hanging="357"/>
      </w:pPr>
      <w:r>
        <w:t>Î</w:t>
      </w:r>
      <w:r w:rsidRPr="00BB20F7">
        <w:t>nvăţământul preşcolar</w:t>
      </w:r>
      <w:r>
        <w:t>.</w:t>
      </w:r>
    </w:p>
    <w:p w:rsidR="00BB20F7" w:rsidRDefault="00BB20F7" w:rsidP="00BB20F7">
      <w:pPr>
        <w:pStyle w:val="ListParagraph"/>
        <w:numPr>
          <w:ilvl w:val="0"/>
          <w:numId w:val="1"/>
        </w:numPr>
        <w:ind w:left="1281" w:hanging="357"/>
      </w:pPr>
      <w:r>
        <w:t>Î</w:t>
      </w:r>
      <w:r w:rsidRPr="00BB20F7">
        <w:t xml:space="preserve">nvăţământul </w:t>
      </w:r>
      <w:r>
        <w:t>primar.</w:t>
      </w:r>
    </w:p>
    <w:p w:rsidR="00BB20F7" w:rsidRDefault="00BB20F7" w:rsidP="00BB20F7">
      <w:pPr>
        <w:pStyle w:val="ListParagraph"/>
        <w:numPr>
          <w:ilvl w:val="0"/>
          <w:numId w:val="1"/>
        </w:numPr>
        <w:ind w:left="1281" w:hanging="357"/>
      </w:pPr>
      <w:r>
        <w:t>Î</w:t>
      </w:r>
      <w:r w:rsidRPr="00BB20F7">
        <w:t xml:space="preserve">nvăţământul </w:t>
      </w:r>
      <w:r>
        <w:t>gimnazial.</w:t>
      </w:r>
    </w:p>
    <w:p w:rsidR="003B66EA" w:rsidRDefault="00BB20F7" w:rsidP="00BB20F7">
      <w:pPr>
        <w:pStyle w:val="ListParagraph"/>
        <w:numPr>
          <w:ilvl w:val="0"/>
          <w:numId w:val="1"/>
        </w:numPr>
        <w:ind w:left="1281" w:hanging="357"/>
      </w:pPr>
      <w:r>
        <w:t>Î</w:t>
      </w:r>
      <w:r w:rsidRPr="00BB20F7">
        <w:t>nvăţământul</w:t>
      </w:r>
      <w:r>
        <w:t xml:space="preserve"> liceal.</w:t>
      </w:r>
    </w:p>
    <w:p w:rsidR="00BB20F7" w:rsidRDefault="00BB20F7" w:rsidP="00BB20F7">
      <w:pPr>
        <w:pStyle w:val="ListParagraph"/>
        <w:numPr>
          <w:ilvl w:val="0"/>
          <w:numId w:val="1"/>
        </w:numPr>
        <w:ind w:left="1281" w:hanging="357"/>
      </w:pPr>
      <w:r w:rsidRPr="00BB20F7">
        <w:t>Învăţământul extraşcolar</w:t>
      </w:r>
      <w:r>
        <w:t>.</w:t>
      </w:r>
    </w:p>
    <w:p w:rsidR="00BB20F7" w:rsidRDefault="00BB20F7" w:rsidP="00BB20F7">
      <w:pPr>
        <w:pStyle w:val="ListParagraph"/>
        <w:numPr>
          <w:ilvl w:val="0"/>
          <w:numId w:val="1"/>
        </w:numPr>
        <w:ind w:left="1281" w:hanging="357"/>
      </w:pPr>
      <w:r w:rsidRPr="00BB20F7">
        <w:t>Alternative educaţionale</w:t>
      </w:r>
      <w:r>
        <w:t>.</w:t>
      </w:r>
    </w:p>
    <w:p w:rsidR="00BB20F7" w:rsidRDefault="00BB20F7" w:rsidP="00DE0790">
      <w:pPr>
        <w:spacing w:after="0"/>
      </w:pPr>
      <w:r>
        <w:t xml:space="preserve">În cadrul fiecărui </w:t>
      </w:r>
      <w:r w:rsidRPr="00BB20F7">
        <w:t>n</w:t>
      </w:r>
      <w:r w:rsidRPr="003B66EA">
        <w:t>ivel</w:t>
      </w:r>
      <w:r>
        <w:t>/ ciclu</w:t>
      </w:r>
      <w:r w:rsidRPr="003B66EA">
        <w:t>/</w:t>
      </w:r>
      <w:r>
        <w:t xml:space="preserve"> formă</w:t>
      </w:r>
      <w:r w:rsidRPr="003B66EA">
        <w:t xml:space="preserve"> de învăţământ</w:t>
      </w:r>
      <w:r>
        <w:t xml:space="preserve"> serviciile sunt grupate pe categorii, numărul şi componenţa acestora fiind determinat de specificul </w:t>
      </w:r>
      <w:r w:rsidR="00FB170A" w:rsidRPr="00BB20F7">
        <w:t>n</w:t>
      </w:r>
      <w:r w:rsidR="00FB170A" w:rsidRPr="003B66EA">
        <w:t>ivelu</w:t>
      </w:r>
      <w:r w:rsidR="00FB170A">
        <w:t>lui/ ciclului</w:t>
      </w:r>
      <w:r w:rsidR="00FB170A" w:rsidRPr="003B66EA">
        <w:t>/</w:t>
      </w:r>
      <w:r w:rsidR="00FB170A">
        <w:t xml:space="preserve"> </w:t>
      </w:r>
      <w:r w:rsidR="00FB170A" w:rsidRPr="003B66EA">
        <w:t>forme</w:t>
      </w:r>
      <w:r w:rsidR="00FB170A">
        <w:t>i</w:t>
      </w:r>
      <w:r w:rsidR="00FB170A" w:rsidRPr="003B66EA">
        <w:t xml:space="preserve"> de învăţământ</w:t>
      </w:r>
      <w:r>
        <w:t xml:space="preserve"> în cauză:</w:t>
      </w:r>
    </w:p>
    <w:p w:rsidR="00BB20F7" w:rsidRDefault="00BB20F7" w:rsidP="00DE0790">
      <w:pPr>
        <w:pStyle w:val="ListParagraph"/>
        <w:numPr>
          <w:ilvl w:val="0"/>
          <w:numId w:val="2"/>
        </w:numPr>
        <w:spacing w:before="0"/>
        <w:ind w:left="1281" w:hanging="357"/>
      </w:pPr>
      <w:r w:rsidRPr="00BB20F7">
        <w:t>Servicii de dezvoltare şi instruire</w:t>
      </w:r>
      <w:r>
        <w:t>.</w:t>
      </w:r>
    </w:p>
    <w:p w:rsidR="00BB20F7" w:rsidRDefault="00BB20F7" w:rsidP="00DE0790">
      <w:pPr>
        <w:pStyle w:val="ListParagraph"/>
        <w:numPr>
          <w:ilvl w:val="0"/>
          <w:numId w:val="2"/>
        </w:numPr>
      </w:pPr>
      <w:r w:rsidRPr="00091A3F">
        <w:t>Servicii de îngrijire</w:t>
      </w:r>
      <w:r>
        <w:t>.</w:t>
      </w:r>
    </w:p>
    <w:p w:rsidR="00DE0790" w:rsidRDefault="00DE0790" w:rsidP="00DE0790">
      <w:pPr>
        <w:pStyle w:val="ListParagraph"/>
        <w:numPr>
          <w:ilvl w:val="0"/>
          <w:numId w:val="2"/>
        </w:numPr>
      </w:pPr>
      <w:r w:rsidRPr="00091A3F">
        <w:t>Servicii de învăţare</w:t>
      </w:r>
      <w:r>
        <w:t>.</w:t>
      </w:r>
    </w:p>
    <w:p w:rsidR="00BB20F7" w:rsidRDefault="00BB20F7" w:rsidP="00DE0790">
      <w:pPr>
        <w:pStyle w:val="ListParagraph"/>
        <w:numPr>
          <w:ilvl w:val="0"/>
          <w:numId w:val="2"/>
        </w:numPr>
      </w:pPr>
      <w:r w:rsidRPr="00091A3F">
        <w:t>Servicii de sprijin</w:t>
      </w:r>
      <w:r>
        <w:t>.</w:t>
      </w:r>
    </w:p>
    <w:p w:rsidR="00DE0790" w:rsidRDefault="00DE0790" w:rsidP="00DE0790">
      <w:pPr>
        <w:pStyle w:val="ListParagraph"/>
        <w:numPr>
          <w:ilvl w:val="0"/>
          <w:numId w:val="2"/>
        </w:numPr>
      </w:pPr>
      <w:r w:rsidRPr="00091A3F">
        <w:t>Servicii informaţionale</w:t>
      </w:r>
      <w:r>
        <w:t>.</w:t>
      </w:r>
    </w:p>
    <w:p w:rsidR="00BB20F7" w:rsidRDefault="00BB20F7" w:rsidP="00DE0790">
      <w:pPr>
        <w:pStyle w:val="ListParagraph"/>
        <w:numPr>
          <w:ilvl w:val="0"/>
          <w:numId w:val="2"/>
        </w:numPr>
      </w:pPr>
      <w:r w:rsidRPr="00091A3F">
        <w:t>Servicii parentale</w:t>
      </w:r>
      <w:r>
        <w:t>.</w:t>
      </w:r>
    </w:p>
    <w:p w:rsidR="00DE0790" w:rsidRDefault="00DE0790" w:rsidP="00DE0790">
      <w:pPr>
        <w:pStyle w:val="ListParagraph"/>
        <w:numPr>
          <w:ilvl w:val="0"/>
          <w:numId w:val="2"/>
        </w:numPr>
      </w:pPr>
      <w:r w:rsidRPr="00091A3F">
        <w:t>Servicii de susţinere a elevilor capabili de performanţe înalte</w:t>
      </w:r>
      <w:r>
        <w:t>.</w:t>
      </w:r>
    </w:p>
    <w:p w:rsidR="00DE0790" w:rsidRDefault="00DE0790" w:rsidP="00DE0790">
      <w:pPr>
        <w:pStyle w:val="ListParagraph"/>
        <w:numPr>
          <w:ilvl w:val="0"/>
          <w:numId w:val="2"/>
        </w:numPr>
      </w:pPr>
      <w:r w:rsidRPr="00091A3F">
        <w:t>Servicii de educaţie complementară</w:t>
      </w:r>
      <w:r>
        <w:t>.</w:t>
      </w:r>
    </w:p>
    <w:p w:rsidR="00DE0790" w:rsidRDefault="00DE0790" w:rsidP="00DE0790">
      <w:pPr>
        <w:pStyle w:val="ListParagraph"/>
        <w:numPr>
          <w:ilvl w:val="0"/>
          <w:numId w:val="2"/>
        </w:numPr>
      </w:pPr>
      <w:r w:rsidRPr="00091A3F">
        <w:t>Servicii de dezvoltare personală</w:t>
      </w:r>
      <w:r>
        <w:t>.</w:t>
      </w:r>
    </w:p>
    <w:p w:rsidR="00DE0790" w:rsidRDefault="00DE0790" w:rsidP="00DE0790">
      <w:pPr>
        <w:pStyle w:val="ListParagraph"/>
        <w:numPr>
          <w:ilvl w:val="0"/>
          <w:numId w:val="2"/>
        </w:numPr>
      </w:pPr>
      <w:r w:rsidRPr="00091A3F">
        <w:t>Servicii educaţionale alternative</w:t>
      </w:r>
      <w:r>
        <w:t>.</w:t>
      </w:r>
    </w:p>
    <w:p w:rsidR="00BB20F7" w:rsidRDefault="00DE0790" w:rsidP="00DE0790">
      <w:pPr>
        <w:pStyle w:val="ListParagraph"/>
        <w:numPr>
          <w:ilvl w:val="0"/>
          <w:numId w:val="2"/>
        </w:numPr>
      </w:pPr>
      <w:r w:rsidRPr="00091A3F">
        <w:t xml:space="preserve">Servicii </w:t>
      </w:r>
      <w:r>
        <w:t>opţionale.</w:t>
      </w:r>
    </w:p>
    <w:p w:rsidR="00FB170A" w:rsidRPr="00BB20F7" w:rsidRDefault="00FB170A" w:rsidP="00FB170A">
      <w:r w:rsidRPr="00FB170A">
        <w:t>În categoria serviciilor opţionale sunt incluse serviciile care sunt complementare la cele prevăzute în planurile-cadru şi programele educaţionale aprobate de Ministerul Educaţiei. Serviciile opţionale vor fi prestate la solicitarea reprezentanţilor legali ai copiilor şi elevilor conform standardelor educaţionale şi regulamentelor de funcţionare a instituţiilor de învăţământ.</w:t>
      </w:r>
    </w:p>
    <w:p w:rsidR="00BB20F7" w:rsidRPr="00BB20F7" w:rsidRDefault="00BB20F7">
      <w:r>
        <w:t xml:space="preserve">Codul serviciului educaţional este format prin concatenarea (alipirea) codului </w:t>
      </w:r>
      <w:r w:rsidRPr="00BB20F7">
        <w:t>n</w:t>
      </w:r>
      <w:r w:rsidRPr="003B66EA">
        <w:t>iveluri</w:t>
      </w:r>
      <w:r>
        <w:t>/ ciclur</w:t>
      </w:r>
      <w:r w:rsidRPr="003B66EA">
        <w:t>i/</w:t>
      </w:r>
      <w:r>
        <w:t xml:space="preserve"> </w:t>
      </w:r>
      <w:r w:rsidRPr="003B66EA">
        <w:t>forme de învăţământ</w:t>
      </w:r>
      <w:r>
        <w:t>, codului categoriei de servicii şi a codului serviciului propriu-zis.</w:t>
      </w:r>
    </w:p>
    <w:p w:rsidR="00BB20F7" w:rsidRDefault="00FB170A" w:rsidP="00FB170A">
      <w:r>
        <w:t xml:space="preserve">Descrierea serviciilor din Pachetul standard </w:t>
      </w:r>
      <w:r>
        <w:t>include instituţiile prestatoare, beneficiarii, indicatorii de rezultat, modul de finanţare şi lista actelor normativ-juridice ce reglementează prestarea serviciilor în cauză.</w:t>
      </w:r>
    </w:p>
    <w:p w:rsidR="00FB170A" w:rsidRDefault="00C93742" w:rsidP="00D75DE3">
      <w:r>
        <w:t xml:space="preserve">Pentru </w:t>
      </w:r>
      <w:r w:rsidR="00D75DE3">
        <w:t>implementarea</w:t>
      </w:r>
      <w:r w:rsidR="00D75DE3">
        <w:t xml:space="preserve"> Hotărâ</w:t>
      </w:r>
      <w:r w:rsidR="00D75DE3">
        <w:t xml:space="preserve">rii Guvernului pentru aprobarea </w:t>
      </w:r>
      <w:r w:rsidR="00D75DE3">
        <w:t>Pachetului standard de servicii educaţional în învăţământul general</w:t>
      </w:r>
      <w:r w:rsidR="00D75DE3">
        <w:t xml:space="preserve"> </w:t>
      </w:r>
      <w:r>
        <w:t xml:space="preserve">nu sunt necesare </w:t>
      </w:r>
      <w:r w:rsidR="00D75DE3" w:rsidRPr="00D75DE3">
        <w:t>mijloace financiare suplimentare de la bugetul de stat</w:t>
      </w:r>
      <w:r>
        <w:t>.</w:t>
      </w:r>
    </w:p>
    <w:p w:rsidR="00BB20F7" w:rsidRPr="00BB20F7" w:rsidRDefault="00BB20F7"/>
    <w:p w:rsidR="003B66EA" w:rsidRPr="00BB20F7" w:rsidRDefault="003B66EA"/>
    <w:sectPr w:rsidR="003B66EA" w:rsidRPr="00BB20F7" w:rsidSect="00005CE8">
      <w:footerReference w:type="default" r:id="rId7"/>
      <w:pgSz w:w="11906" w:h="16838" w:code="9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3F0" w:rsidRDefault="004953F0" w:rsidP="00DE0790">
      <w:pPr>
        <w:spacing w:before="0" w:after="0" w:line="240" w:lineRule="auto"/>
      </w:pPr>
      <w:r>
        <w:separator/>
      </w:r>
    </w:p>
  </w:endnote>
  <w:endnote w:type="continuationSeparator" w:id="0">
    <w:p w:rsidR="004953F0" w:rsidRDefault="004953F0" w:rsidP="00DE07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2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C0E1F" w:rsidRPr="00DE0790" w:rsidRDefault="003C0E1F" w:rsidP="00DE0790">
            <w:pPr>
              <w:pStyle w:val="Footer"/>
              <w:tabs>
                <w:tab w:val="clear" w:pos="4513"/>
              </w:tabs>
              <w:ind w:firstLine="0"/>
              <w:jc w:val="center"/>
            </w:pPr>
            <w:fldSimple w:instr=" PAGE ">
              <w:r w:rsidR="00D75DE3">
                <w:rPr>
                  <w:noProof/>
                </w:rPr>
                <w:t>2</w:t>
              </w:r>
            </w:fldSimple>
            <w:r w:rsidRPr="00DE0790">
              <w:t xml:space="preserve"> </w:t>
            </w:r>
            <w:r w:rsidRPr="00DE0790">
              <w:rPr>
                <w:lang w:val="en-US"/>
              </w:rPr>
              <w:t>/</w:t>
            </w:r>
            <w:r w:rsidRPr="00DE0790">
              <w:t xml:space="preserve"> </w:t>
            </w:r>
            <w:fldSimple w:instr=" NUMPAGES  ">
              <w:r w:rsidR="00D75DE3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3F0" w:rsidRDefault="004953F0" w:rsidP="00DE0790">
      <w:pPr>
        <w:spacing w:before="0" w:after="0" w:line="240" w:lineRule="auto"/>
      </w:pPr>
      <w:r>
        <w:separator/>
      </w:r>
    </w:p>
  </w:footnote>
  <w:footnote w:type="continuationSeparator" w:id="0">
    <w:p w:rsidR="004953F0" w:rsidRDefault="004953F0" w:rsidP="00DE079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E411F"/>
    <w:multiLevelType w:val="hybridMultilevel"/>
    <w:tmpl w:val="0BF06C10"/>
    <w:lvl w:ilvl="0" w:tplc="6F125E7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CC63979"/>
    <w:multiLevelType w:val="hybridMultilevel"/>
    <w:tmpl w:val="0BFCFEBA"/>
    <w:lvl w:ilvl="0" w:tplc="6F125E7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CD2AEB"/>
    <w:multiLevelType w:val="hybridMultilevel"/>
    <w:tmpl w:val="807EC634"/>
    <w:lvl w:ilvl="0" w:tplc="B27CB316">
      <w:start w:val="1"/>
      <w:numFmt w:val="bullet"/>
      <w:lvlText w:val="−"/>
      <w:lvlJc w:val="left"/>
      <w:pPr>
        <w:ind w:left="1287" w:hanging="360"/>
      </w:pPr>
      <w:rPr>
        <w:rFonts w:ascii="Calibri" w:hAnsi="Calibri" w:cs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24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CE8"/>
    <w:rsid w:val="00005CE8"/>
    <w:rsid w:val="0006185F"/>
    <w:rsid w:val="0008394A"/>
    <w:rsid w:val="001D5DA6"/>
    <w:rsid w:val="002A5D49"/>
    <w:rsid w:val="002B0F0E"/>
    <w:rsid w:val="003764D1"/>
    <w:rsid w:val="003A12BB"/>
    <w:rsid w:val="003B66EA"/>
    <w:rsid w:val="003C0E1F"/>
    <w:rsid w:val="004953F0"/>
    <w:rsid w:val="005007C3"/>
    <w:rsid w:val="00590437"/>
    <w:rsid w:val="005C1C76"/>
    <w:rsid w:val="00656DCD"/>
    <w:rsid w:val="006A6BF3"/>
    <w:rsid w:val="00712532"/>
    <w:rsid w:val="007D12ED"/>
    <w:rsid w:val="008F0716"/>
    <w:rsid w:val="00916E85"/>
    <w:rsid w:val="0092218B"/>
    <w:rsid w:val="009305C7"/>
    <w:rsid w:val="00940FD8"/>
    <w:rsid w:val="00974857"/>
    <w:rsid w:val="00995048"/>
    <w:rsid w:val="009B38F6"/>
    <w:rsid w:val="00A57451"/>
    <w:rsid w:val="00BB20F7"/>
    <w:rsid w:val="00BD649A"/>
    <w:rsid w:val="00C452DB"/>
    <w:rsid w:val="00C93742"/>
    <w:rsid w:val="00CB2BC6"/>
    <w:rsid w:val="00CB6BB4"/>
    <w:rsid w:val="00D11ED7"/>
    <w:rsid w:val="00D66F3F"/>
    <w:rsid w:val="00D75DE3"/>
    <w:rsid w:val="00DE0790"/>
    <w:rsid w:val="00E5216F"/>
    <w:rsid w:val="00E56593"/>
    <w:rsid w:val="00E91220"/>
    <w:rsid w:val="00E96DAE"/>
    <w:rsid w:val="00F17611"/>
    <w:rsid w:val="00F36CFD"/>
    <w:rsid w:val="00F73687"/>
    <w:rsid w:val="00FB170A"/>
    <w:rsid w:val="00FB72CC"/>
    <w:rsid w:val="00FF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F7"/>
    <w:pPr>
      <w:spacing w:before="120" w:after="120"/>
      <w:ind w:firstLine="567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0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079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079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E079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790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696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IPP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 Gremalschi</dc:creator>
  <cp:keywords/>
  <dc:description/>
  <cp:lastModifiedBy>Anatol Gremalschi</cp:lastModifiedBy>
  <cp:revision>10</cp:revision>
  <dcterms:created xsi:type="dcterms:W3CDTF">2017-07-14T03:22:00Z</dcterms:created>
  <dcterms:modified xsi:type="dcterms:W3CDTF">2017-07-14T05:43:00Z</dcterms:modified>
</cp:coreProperties>
</file>