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694" w:rsidRPr="00384D86" w:rsidRDefault="00E76694" w:rsidP="00384D86">
      <w:pPr>
        <w:shd w:val="clear" w:color="auto" w:fill="FFFFFF"/>
        <w:spacing w:before="240" w:after="120" w:line="276" w:lineRule="auto"/>
        <w:jc w:val="right"/>
        <w:textAlignment w:val="baseline"/>
        <w:rPr>
          <w:rFonts w:ascii="Times New Roman" w:eastAsia="Times New Roman" w:hAnsi="Times New Roman" w:cs="Times New Roman"/>
          <w:bCs/>
          <w:color w:val="444444"/>
          <w:sz w:val="24"/>
          <w:szCs w:val="24"/>
          <w:lang w:val="ro-RO" w:eastAsia="ru-RU"/>
        </w:rPr>
      </w:pPr>
      <w:r w:rsidRPr="00384D86">
        <w:rPr>
          <w:rFonts w:ascii="Times New Roman" w:eastAsia="Times New Roman" w:hAnsi="Times New Roman" w:cs="Times New Roman"/>
          <w:bCs/>
          <w:color w:val="444444"/>
          <w:sz w:val="24"/>
          <w:szCs w:val="24"/>
          <w:lang w:val="ro-RO" w:eastAsia="ru-RU"/>
        </w:rPr>
        <w:t xml:space="preserve">Proiect </w:t>
      </w:r>
    </w:p>
    <w:p w:rsidR="00313751" w:rsidRPr="00384D86" w:rsidRDefault="00313751" w:rsidP="00384D86">
      <w:pPr>
        <w:spacing w:after="0" w:line="276" w:lineRule="auto"/>
        <w:jc w:val="center"/>
        <w:rPr>
          <w:rFonts w:ascii="Times New Roman" w:eastAsia="Calibri" w:hAnsi="Times New Roman" w:cs="Times New Roman"/>
          <w:sz w:val="24"/>
          <w:szCs w:val="24"/>
          <w:lang w:val="ro-RO"/>
        </w:rPr>
      </w:pPr>
    </w:p>
    <w:p w:rsidR="000538DE" w:rsidRPr="00384D86" w:rsidRDefault="000538DE" w:rsidP="00384D86">
      <w:pPr>
        <w:spacing w:after="0" w:line="276" w:lineRule="auto"/>
        <w:jc w:val="center"/>
        <w:rPr>
          <w:rFonts w:ascii="Times New Roman" w:eastAsia="Calibri" w:hAnsi="Times New Roman" w:cs="Times New Roman"/>
          <w:sz w:val="24"/>
          <w:szCs w:val="24"/>
          <w:lang w:val="ro-RO"/>
        </w:rPr>
      </w:pPr>
      <w:r w:rsidRPr="00384D86">
        <w:rPr>
          <w:rFonts w:ascii="Times New Roman" w:eastAsia="Calibri" w:hAnsi="Times New Roman" w:cs="Times New Roman"/>
          <w:sz w:val="24"/>
          <w:szCs w:val="24"/>
          <w:lang w:val="ro-RO"/>
        </w:rPr>
        <w:t>Guvernul Republicii Moldova</w:t>
      </w:r>
    </w:p>
    <w:p w:rsidR="00313751" w:rsidRPr="00384D86" w:rsidRDefault="00313751" w:rsidP="00384D86">
      <w:pPr>
        <w:spacing w:after="0" w:line="276" w:lineRule="auto"/>
        <w:jc w:val="center"/>
        <w:rPr>
          <w:rFonts w:ascii="Times New Roman" w:eastAsia="Calibri" w:hAnsi="Times New Roman" w:cs="Times New Roman"/>
          <w:sz w:val="24"/>
          <w:szCs w:val="24"/>
          <w:lang w:val="ro-RO"/>
        </w:rPr>
      </w:pPr>
    </w:p>
    <w:p w:rsidR="000538DE" w:rsidRPr="00384D86" w:rsidRDefault="000538DE" w:rsidP="00384D86">
      <w:pPr>
        <w:spacing w:after="0" w:line="276" w:lineRule="auto"/>
        <w:jc w:val="center"/>
        <w:rPr>
          <w:rFonts w:ascii="Times New Roman" w:eastAsia="Calibri" w:hAnsi="Times New Roman" w:cs="Times New Roman"/>
          <w:sz w:val="24"/>
          <w:szCs w:val="24"/>
          <w:lang w:val="ro-RO"/>
        </w:rPr>
      </w:pPr>
      <w:r w:rsidRPr="00384D86">
        <w:rPr>
          <w:rFonts w:ascii="Times New Roman" w:eastAsia="Calibri" w:hAnsi="Times New Roman" w:cs="Times New Roman"/>
          <w:sz w:val="24"/>
          <w:szCs w:val="24"/>
          <w:lang w:val="ro-RO"/>
        </w:rPr>
        <w:t>HOTĂRÂRE nr._______</w:t>
      </w:r>
    </w:p>
    <w:p w:rsidR="000538DE" w:rsidRPr="00384D86" w:rsidRDefault="000538DE" w:rsidP="00384D86">
      <w:pPr>
        <w:spacing w:after="0" w:line="276" w:lineRule="auto"/>
        <w:jc w:val="center"/>
        <w:rPr>
          <w:rFonts w:ascii="Times New Roman" w:eastAsia="Calibri" w:hAnsi="Times New Roman" w:cs="Times New Roman"/>
          <w:sz w:val="24"/>
          <w:szCs w:val="24"/>
          <w:lang w:val="ro-RO"/>
        </w:rPr>
      </w:pPr>
      <w:r w:rsidRPr="00384D86">
        <w:rPr>
          <w:rFonts w:ascii="Times New Roman" w:eastAsia="Calibri" w:hAnsi="Times New Roman" w:cs="Times New Roman"/>
          <w:sz w:val="24"/>
          <w:szCs w:val="24"/>
          <w:lang w:val="ro-RO"/>
        </w:rPr>
        <w:t>din_______</w:t>
      </w:r>
    </w:p>
    <w:p w:rsidR="000538DE" w:rsidRPr="00384D86" w:rsidRDefault="000538DE" w:rsidP="00384D86">
      <w:pPr>
        <w:spacing w:after="0" w:line="276" w:lineRule="auto"/>
        <w:jc w:val="center"/>
        <w:rPr>
          <w:rFonts w:ascii="Times New Roman" w:eastAsia="Calibri" w:hAnsi="Times New Roman" w:cs="Times New Roman"/>
          <w:sz w:val="24"/>
          <w:szCs w:val="24"/>
          <w:lang w:val="ro-RO"/>
        </w:rPr>
      </w:pPr>
    </w:p>
    <w:p w:rsidR="000538DE" w:rsidRPr="00384D86" w:rsidRDefault="000538DE" w:rsidP="00384D86">
      <w:pPr>
        <w:shd w:val="clear" w:color="auto" w:fill="FFFFFF"/>
        <w:spacing w:before="240" w:after="120" w:line="276" w:lineRule="auto"/>
        <w:jc w:val="center"/>
        <w:textAlignment w:val="baseline"/>
        <w:rPr>
          <w:rFonts w:ascii="Times New Roman" w:eastAsia="Times New Roman" w:hAnsi="Times New Roman" w:cs="Times New Roman"/>
          <w:b/>
          <w:bCs/>
          <w:color w:val="000000" w:themeColor="text1"/>
          <w:sz w:val="24"/>
          <w:szCs w:val="24"/>
          <w:lang w:val="ro-RO" w:eastAsia="ru-RU"/>
        </w:rPr>
      </w:pPr>
      <w:r w:rsidRPr="00384D86">
        <w:rPr>
          <w:rFonts w:ascii="Times New Roman" w:eastAsia="Calibri" w:hAnsi="Times New Roman" w:cs="Times New Roman"/>
          <w:b/>
          <w:color w:val="000000" w:themeColor="text1"/>
          <w:sz w:val="24"/>
          <w:szCs w:val="24"/>
          <w:lang w:val="ro-RO"/>
        </w:rPr>
        <w:t>Cu privire la aprobarea Listei</w:t>
      </w:r>
      <w:r w:rsidRPr="00384D86">
        <w:rPr>
          <w:rFonts w:ascii="Times New Roman" w:eastAsia="Times New Roman" w:hAnsi="Times New Roman" w:cs="Times New Roman"/>
          <w:b/>
          <w:bCs/>
          <w:color w:val="000000" w:themeColor="text1"/>
          <w:sz w:val="24"/>
          <w:szCs w:val="24"/>
          <w:lang w:val="ro-RO" w:eastAsia="ru-RU"/>
        </w:rPr>
        <w:t xml:space="preserve"> de mențiuni de sănătate permise, înscrise pe produsele alimentare, altele decât cele care se referă la reducerea riscului de îmbolnăvire și la dezvoltarea și sănătatea copiilor</w:t>
      </w:r>
    </w:p>
    <w:p w:rsidR="003D6EA6" w:rsidRPr="00384D86" w:rsidRDefault="003D6EA6" w:rsidP="00384D86">
      <w:pPr>
        <w:spacing w:line="276" w:lineRule="auto"/>
        <w:ind w:firstLine="708"/>
        <w:jc w:val="both"/>
        <w:rPr>
          <w:rFonts w:ascii="Times New Roman" w:eastAsia="Calibri" w:hAnsi="Times New Roman" w:cs="Times New Roman"/>
          <w:sz w:val="24"/>
          <w:szCs w:val="24"/>
          <w:lang w:val="ro-RO"/>
        </w:rPr>
      </w:pPr>
    </w:p>
    <w:p w:rsidR="003D6EA6" w:rsidRPr="00384D86" w:rsidRDefault="00565E2F" w:rsidP="00384D86">
      <w:pPr>
        <w:spacing w:line="276" w:lineRule="auto"/>
        <w:ind w:firstLine="708"/>
        <w:jc w:val="both"/>
        <w:rPr>
          <w:rFonts w:ascii="Times New Roman" w:eastAsia="Calibri" w:hAnsi="Times New Roman" w:cs="Times New Roman"/>
          <w:b/>
          <w:sz w:val="24"/>
          <w:szCs w:val="24"/>
          <w:lang w:val="ro-RO" w:eastAsia="ru-RU"/>
        </w:rPr>
      </w:pPr>
      <w:r w:rsidRPr="00384D86">
        <w:rPr>
          <w:rFonts w:ascii="Times New Roman" w:eastAsia="Calibri" w:hAnsi="Times New Roman" w:cs="Times New Roman"/>
          <w:color w:val="000000"/>
          <w:sz w:val="24"/>
          <w:szCs w:val="24"/>
          <w:lang w:val="ro-RO" w:eastAsia="ru-RU"/>
        </w:rPr>
        <w:t xml:space="preserve">În temeiul art. 6 din Legea nr.10-XVI din 10 februarie 2009 privind supravegherea de stat a sănătăţii publice (Monitorul Oficial al Republicii Moldova, 2009, nr.67, art.183), art. 5 alin. (2) şi art. 9 </w:t>
      </w:r>
      <w:r w:rsidR="00FF4B9B" w:rsidRPr="00384D86">
        <w:rPr>
          <w:rFonts w:ascii="Times New Roman" w:eastAsia="Calibri" w:hAnsi="Times New Roman" w:cs="Times New Roman"/>
          <w:color w:val="000000"/>
          <w:sz w:val="24"/>
          <w:szCs w:val="24"/>
          <w:lang w:val="ro-RO" w:eastAsia="ru-RU"/>
        </w:rPr>
        <w:t xml:space="preserve">alin. (1) </w:t>
      </w:r>
      <w:r w:rsidRPr="00384D86">
        <w:rPr>
          <w:rFonts w:ascii="Times New Roman" w:eastAsia="Calibri" w:hAnsi="Times New Roman" w:cs="Times New Roman"/>
          <w:color w:val="000000"/>
          <w:sz w:val="24"/>
          <w:szCs w:val="24"/>
          <w:lang w:val="ro-RO" w:eastAsia="ru-RU"/>
        </w:rPr>
        <w:t>din Legea nr.78-XV din 18 martie 2004 privind produsele alimentare (Monitorul Oficial al Republicii Moldova, 2004, nr.83-87, art.431)</w:t>
      </w:r>
      <w:r w:rsidR="00D27372" w:rsidRPr="00384D86">
        <w:rPr>
          <w:rFonts w:ascii="Times New Roman" w:eastAsia="Calibri" w:hAnsi="Times New Roman" w:cs="Times New Roman"/>
          <w:color w:val="000000"/>
          <w:sz w:val="24"/>
          <w:szCs w:val="24"/>
          <w:lang w:val="ro-RO" w:eastAsia="ru-RU"/>
        </w:rPr>
        <w:t xml:space="preserve">, </w:t>
      </w:r>
      <w:r w:rsidRPr="00384D86">
        <w:rPr>
          <w:rFonts w:ascii="Times New Roman" w:eastAsia="Calibri" w:hAnsi="Times New Roman" w:cs="Times New Roman"/>
          <w:color w:val="000000"/>
          <w:sz w:val="24"/>
          <w:szCs w:val="24"/>
          <w:lang w:val="ro-RO" w:eastAsia="ru-RU"/>
        </w:rPr>
        <w:t xml:space="preserve">în scopul </w:t>
      </w:r>
      <w:r w:rsidR="00137288" w:rsidRPr="00384D86">
        <w:rPr>
          <w:rFonts w:ascii="Times New Roman" w:eastAsia="Calibri" w:hAnsi="Times New Roman" w:cs="Times New Roman"/>
          <w:color w:val="000000"/>
          <w:sz w:val="24"/>
          <w:szCs w:val="24"/>
          <w:lang w:val="ro-RO" w:eastAsia="ru-RU"/>
        </w:rPr>
        <w:t xml:space="preserve">implementării Regulamentului </w:t>
      </w:r>
      <w:r w:rsidR="003D6EA6" w:rsidRPr="00384D86">
        <w:rPr>
          <w:rFonts w:ascii="Times New Roman" w:eastAsia="Calibri" w:hAnsi="Times New Roman" w:cs="Times New Roman"/>
          <w:color w:val="000000"/>
          <w:sz w:val="24"/>
          <w:szCs w:val="24"/>
          <w:lang w:val="ro-RO" w:eastAsia="ru-RU"/>
        </w:rPr>
        <w:t xml:space="preserve">sanitar </w:t>
      </w:r>
      <w:r w:rsidR="003D6EA6" w:rsidRPr="00384D86">
        <w:rPr>
          <w:rFonts w:ascii="Times New Roman" w:eastAsia="Times New Roman" w:hAnsi="Times New Roman" w:cs="Times New Roman"/>
          <w:bCs/>
          <w:color w:val="000000"/>
          <w:sz w:val="24"/>
          <w:szCs w:val="24"/>
          <w:lang w:val="ro-RO" w:eastAsia="ru-RU"/>
        </w:rPr>
        <w:t xml:space="preserve">privind menţiunile nutriţionale şi de sănătate înscrise pe produsele alimentare, aprobat prin Hotărîrea Guvernului </w:t>
      </w:r>
      <w:r w:rsidR="003D6EA6" w:rsidRPr="00384D86">
        <w:rPr>
          <w:rFonts w:ascii="Times New Roman" w:eastAsia="Calibri" w:hAnsi="Times New Roman" w:cs="Times New Roman"/>
          <w:color w:val="000000"/>
          <w:sz w:val="24"/>
          <w:szCs w:val="24"/>
          <w:lang w:val="ro-RO" w:eastAsia="ru-RU"/>
        </w:rPr>
        <w:t xml:space="preserve">nr. 196 din 23 martie </w:t>
      </w:r>
      <w:r w:rsidR="00137288" w:rsidRPr="00384D86">
        <w:rPr>
          <w:rFonts w:ascii="Times New Roman" w:eastAsia="Calibri" w:hAnsi="Times New Roman" w:cs="Times New Roman"/>
          <w:color w:val="000000"/>
          <w:sz w:val="24"/>
          <w:szCs w:val="24"/>
          <w:lang w:val="ro-RO" w:eastAsia="ru-RU"/>
        </w:rPr>
        <w:t>201</w:t>
      </w:r>
      <w:r w:rsidR="003D6EA6" w:rsidRPr="00384D86">
        <w:rPr>
          <w:rFonts w:ascii="Times New Roman" w:eastAsia="Calibri" w:hAnsi="Times New Roman" w:cs="Times New Roman"/>
          <w:color w:val="000000"/>
          <w:sz w:val="24"/>
          <w:szCs w:val="24"/>
          <w:lang w:val="ro-RO" w:eastAsia="ru-RU"/>
        </w:rPr>
        <w:t>1</w:t>
      </w:r>
      <w:r w:rsidR="00137288" w:rsidRPr="00384D86">
        <w:rPr>
          <w:rFonts w:ascii="Times New Roman" w:eastAsia="Calibri" w:hAnsi="Times New Roman" w:cs="Times New Roman"/>
          <w:color w:val="000000"/>
          <w:sz w:val="24"/>
          <w:szCs w:val="24"/>
          <w:lang w:val="ro-RO" w:eastAsia="ru-RU"/>
        </w:rPr>
        <w:t xml:space="preserve">, </w:t>
      </w:r>
      <w:r w:rsidR="00D27372" w:rsidRPr="00384D86">
        <w:rPr>
          <w:rFonts w:ascii="Times New Roman" w:eastAsia="Calibri" w:hAnsi="Times New Roman" w:cs="Times New Roman"/>
          <w:color w:val="000000"/>
          <w:sz w:val="24"/>
          <w:szCs w:val="24"/>
          <w:lang w:val="ro-RO" w:eastAsia="ru-RU"/>
        </w:rPr>
        <w:t xml:space="preserve">ajustării cadrului normativ național la prevederile </w:t>
      </w:r>
      <w:r w:rsidR="00D27372" w:rsidRPr="00384D86">
        <w:rPr>
          <w:rFonts w:ascii="Times New Roman" w:eastAsia="Times New Roman" w:hAnsi="Times New Roman" w:cs="Times New Roman"/>
          <w:color w:val="000000" w:themeColor="text1"/>
          <w:sz w:val="24"/>
          <w:szCs w:val="24"/>
          <w:lang w:val="ro-RO" w:eastAsia="ru-RU"/>
        </w:rPr>
        <w:t>Regulamentul</w:t>
      </w:r>
      <w:r w:rsidR="00CB7451" w:rsidRPr="00384D86">
        <w:rPr>
          <w:rFonts w:ascii="Times New Roman" w:eastAsia="Times New Roman" w:hAnsi="Times New Roman" w:cs="Times New Roman"/>
          <w:color w:val="000000" w:themeColor="text1"/>
          <w:sz w:val="24"/>
          <w:szCs w:val="24"/>
          <w:lang w:val="ro-RO" w:eastAsia="ru-RU"/>
        </w:rPr>
        <w:t>ui</w:t>
      </w:r>
      <w:r w:rsidR="00D27372" w:rsidRPr="00384D86">
        <w:rPr>
          <w:rFonts w:ascii="Times New Roman" w:eastAsia="Times New Roman" w:hAnsi="Times New Roman" w:cs="Times New Roman"/>
          <w:color w:val="000000" w:themeColor="text1"/>
          <w:sz w:val="24"/>
          <w:szCs w:val="24"/>
          <w:lang w:val="ro-RO" w:eastAsia="ru-RU"/>
        </w:rPr>
        <w:t xml:space="preserve"> (CE) nr. 1924/2006 al Parlamentului European și al Consiliului din 20 decembrie 2006 privind mențiunile nutriționale și de sănătate înscrise pe produsele alimentare</w:t>
      </w:r>
      <w:r w:rsidR="0086669D" w:rsidRPr="00384D86">
        <w:rPr>
          <w:rFonts w:ascii="Times New Roman" w:eastAsia="Times New Roman" w:hAnsi="Times New Roman" w:cs="Times New Roman"/>
          <w:color w:val="000000" w:themeColor="text1"/>
          <w:sz w:val="24"/>
          <w:szCs w:val="24"/>
          <w:lang w:val="ro-RO" w:eastAsia="ru-RU"/>
        </w:rPr>
        <w:t xml:space="preserve"> </w:t>
      </w:r>
      <w:r w:rsidR="0086669D" w:rsidRPr="00384D86">
        <w:rPr>
          <w:rFonts w:ascii="Times New Roman" w:hAnsi="Times New Roman" w:cs="Times New Roman"/>
          <w:color w:val="000000" w:themeColor="text1"/>
          <w:sz w:val="24"/>
          <w:szCs w:val="24"/>
          <w:lang w:val="ro-RO"/>
        </w:rPr>
        <w:t>(JO L 404, 30.12.2006, p. 9</w:t>
      </w:r>
      <w:r w:rsidR="00CB7451" w:rsidRPr="00384D86">
        <w:rPr>
          <w:rFonts w:ascii="Times New Roman" w:eastAsia="Times New Roman" w:hAnsi="Times New Roman" w:cs="Times New Roman"/>
          <w:color w:val="000000" w:themeColor="text1"/>
          <w:sz w:val="24"/>
          <w:szCs w:val="24"/>
          <w:lang w:val="ro-RO" w:eastAsia="ru-RU"/>
        </w:rPr>
        <w:t>),</w:t>
      </w:r>
      <w:r w:rsidR="0086669D" w:rsidRPr="00384D86">
        <w:rPr>
          <w:rFonts w:ascii="Times New Roman" w:hAnsi="Times New Roman" w:cs="Times New Roman"/>
          <w:color w:val="000000" w:themeColor="text1"/>
          <w:sz w:val="24"/>
          <w:szCs w:val="24"/>
          <w:bdr w:val="none" w:sz="0" w:space="0" w:color="auto" w:frame="1"/>
          <w:shd w:val="clear" w:color="auto" w:fill="FFFFFF"/>
          <w:lang w:val="ro-RO"/>
        </w:rPr>
        <w:t xml:space="preserve"> </w:t>
      </w:r>
      <w:r w:rsidR="0086669D" w:rsidRPr="00384D86">
        <w:rPr>
          <w:rStyle w:val="a8"/>
          <w:rFonts w:ascii="Times New Roman" w:hAnsi="Times New Roman" w:cs="Times New Roman"/>
          <w:b w:val="0"/>
          <w:color w:val="000000" w:themeColor="text1"/>
          <w:sz w:val="24"/>
          <w:szCs w:val="24"/>
          <w:bdr w:val="none" w:sz="0" w:space="0" w:color="auto" w:frame="1"/>
          <w:shd w:val="clear" w:color="auto" w:fill="FFFFFF"/>
          <w:lang w:val="ro-RO"/>
        </w:rPr>
        <w:t>Regulamentului (UE) nr. 432/2012 al Comisiei din 16 mai 2012 de stabilire a unei liste de mențiuni de sănătate permise, înscrise pe produsele alimentare, altele decât cele care se referă la reducerea riscului de îmbolnăvire și la dezvoltarea și sănătatea copiilor</w:t>
      </w:r>
      <w:r w:rsidR="00CB7451" w:rsidRPr="00384D86">
        <w:rPr>
          <w:rFonts w:ascii="Times New Roman" w:eastAsia="Times New Roman" w:hAnsi="Times New Roman" w:cs="Times New Roman"/>
          <w:b/>
          <w:color w:val="000000" w:themeColor="text1"/>
          <w:sz w:val="24"/>
          <w:szCs w:val="24"/>
          <w:lang w:val="ro-RO" w:eastAsia="ru-RU"/>
        </w:rPr>
        <w:t xml:space="preserve"> </w:t>
      </w:r>
      <w:r w:rsidR="0086669D" w:rsidRPr="00384D86">
        <w:rPr>
          <w:rFonts w:ascii="Times New Roman" w:eastAsia="Times New Roman" w:hAnsi="Times New Roman" w:cs="Times New Roman"/>
          <w:b/>
          <w:color w:val="000000" w:themeColor="text1"/>
          <w:sz w:val="24"/>
          <w:szCs w:val="24"/>
          <w:lang w:val="ro-RO" w:eastAsia="ru-RU"/>
        </w:rPr>
        <w:t>(</w:t>
      </w:r>
      <w:r w:rsidR="0086669D" w:rsidRPr="00384D86">
        <w:rPr>
          <w:rFonts w:ascii="Times New Roman" w:hAnsi="Times New Roman" w:cs="Times New Roman"/>
          <w:bCs/>
          <w:color w:val="000000" w:themeColor="text1"/>
          <w:sz w:val="24"/>
          <w:szCs w:val="24"/>
          <w:lang w:val="ro-RO"/>
        </w:rPr>
        <w:t xml:space="preserve">Monitorul Oficial al Uniunii Europene </w:t>
      </w:r>
      <w:r w:rsidR="0086669D" w:rsidRPr="00384D86">
        <w:rPr>
          <w:rFonts w:ascii="Times New Roman" w:eastAsia="Times New Roman" w:hAnsi="Times New Roman" w:cs="Times New Roman"/>
          <w:bCs/>
          <w:color w:val="000000" w:themeColor="text1"/>
          <w:sz w:val="24"/>
          <w:szCs w:val="24"/>
          <w:lang w:val="ro-RO" w:eastAsia="ru-RU"/>
        </w:rPr>
        <w:t>(J</w:t>
      </w:r>
      <w:r w:rsidR="0086669D" w:rsidRPr="00384D86">
        <w:rPr>
          <w:rFonts w:ascii="Times New Roman" w:hAnsi="Times New Roman" w:cs="Times New Roman"/>
          <w:bCs/>
          <w:color w:val="000000" w:themeColor="text1"/>
          <w:sz w:val="24"/>
          <w:szCs w:val="24"/>
          <w:lang w:val="ro-RO"/>
        </w:rPr>
        <w:t>.O.</w:t>
      </w:r>
      <w:r w:rsidR="0086669D" w:rsidRPr="00384D86">
        <w:rPr>
          <w:rFonts w:ascii="Times New Roman" w:eastAsia="Times New Roman" w:hAnsi="Times New Roman" w:cs="Times New Roman"/>
          <w:bCs/>
          <w:color w:val="000000" w:themeColor="text1"/>
          <w:sz w:val="24"/>
          <w:szCs w:val="24"/>
          <w:lang w:val="ro-RO" w:eastAsia="ru-RU"/>
        </w:rPr>
        <w:t xml:space="preserve"> </w:t>
      </w:r>
      <w:r w:rsidR="0086669D" w:rsidRPr="00384D86">
        <w:rPr>
          <w:rFonts w:ascii="Times New Roman" w:hAnsi="Times New Roman" w:cs="Times New Roman"/>
          <w:color w:val="000000" w:themeColor="text1"/>
          <w:sz w:val="24"/>
          <w:szCs w:val="24"/>
          <w:lang w:val="ro-RO"/>
        </w:rPr>
        <w:t xml:space="preserve">L 136, 25.5.2012, p.1) </w:t>
      </w:r>
      <w:r w:rsidR="0086669D" w:rsidRPr="00384D86">
        <w:rPr>
          <w:rFonts w:ascii="Times New Roman" w:eastAsia="Times New Roman" w:hAnsi="Times New Roman" w:cs="Times New Roman"/>
          <w:color w:val="000000" w:themeColor="text1"/>
          <w:sz w:val="24"/>
          <w:szCs w:val="24"/>
          <w:lang w:val="ro-RO" w:eastAsia="ru-RU"/>
        </w:rPr>
        <w:t xml:space="preserve">cu completările ulterioare </w:t>
      </w:r>
      <w:r w:rsidR="00D27372" w:rsidRPr="00384D86">
        <w:rPr>
          <w:rFonts w:ascii="Times New Roman" w:eastAsia="Calibri" w:hAnsi="Times New Roman" w:cs="Times New Roman"/>
          <w:color w:val="000000"/>
          <w:sz w:val="24"/>
          <w:szCs w:val="24"/>
          <w:lang w:val="ro-RO" w:eastAsia="ru-RU"/>
        </w:rPr>
        <w:t>și sporirii accesului la</w:t>
      </w:r>
      <w:r w:rsidRPr="00384D86">
        <w:rPr>
          <w:rFonts w:ascii="Times New Roman" w:eastAsia="Calibri" w:hAnsi="Times New Roman" w:cs="Times New Roman"/>
          <w:color w:val="000000"/>
          <w:sz w:val="24"/>
          <w:szCs w:val="24"/>
          <w:lang w:val="ro-RO" w:eastAsia="ru-RU"/>
        </w:rPr>
        <w:t xml:space="preserve"> </w:t>
      </w:r>
      <w:r w:rsidR="008970D5" w:rsidRPr="00384D86">
        <w:rPr>
          <w:rFonts w:ascii="Times New Roman" w:eastAsia="Calibri" w:hAnsi="Times New Roman" w:cs="Times New Roman"/>
          <w:color w:val="000000"/>
          <w:sz w:val="24"/>
          <w:szCs w:val="24"/>
          <w:lang w:val="ro-RO" w:eastAsia="ru-RU"/>
        </w:rPr>
        <w:t xml:space="preserve">informare și </w:t>
      </w:r>
      <w:r w:rsidRPr="00384D86">
        <w:rPr>
          <w:rFonts w:ascii="Times New Roman" w:eastAsia="Calibri" w:hAnsi="Times New Roman" w:cs="Times New Roman"/>
          <w:color w:val="000000"/>
          <w:sz w:val="24"/>
          <w:szCs w:val="24"/>
          <w:lang w:val="ro-RO" w:eastAsia="ru-RU"/>
        </w:rPr>
        <w:t>protecţie a sănătăţii populaţiei,</w:t>
      </w:r>
      <w:r w:rsidRPr="00384D86">
        <w:rPr>
          <w:rFonts w:ascii="Times New Roman" w:eastAsia="Calibri" w:hAnsi="Times New Roman" w:cs="Times New Roman"/>
          <w:b/>
          <w:sz w:val="24"/>
          <w:szCs w:val="24"/>
          <w:lang w:val="ro-RO" w:eastAsia="ru-RU"/>
        </w:rPr>
        <w:t xml:space="preserve"> </w:t>
      </w:r>
    </w:p>
    <w:p w:rsidR="00565E2F" w:rsidRPr="00384D86" w:rsidRDefault="00565E2F" w:rsidP="00384D86">
      <w:pPr>
        <w:spacing w:line="276" w:lineRule="auto"/>
        <w:ind w:firstLine="708"/>
        <w:jc w:val="center"/>
        <w:rPr>
          <w:rFonts w:ascii="Times New Roman" w:eastAsia="Calibri" w:hAnsi="Times New Roman" w:cs="Times New Roman"/>
          <w:sz w:val="24"/>
          <w:szCs w:val="24"/>
          <w:lang w:val="ro-RO" w:eastAsia="ru-RU"/>
        </w:rPr>
      </w:pPr>
      <w:r w:rsidRPr="00384D86">
        <w:rPr>
          <w:rFonts w:ascii="Times New Roman" w:eastAsia="Calibri" w:hAnsi="Times New Roman" w:cs="Times New Roman"/>
          <w:sz w:val="24"/>
          <w:szCs w:val="24"/>
          <w:lang w:val="ro-RO" w:eastAsia="ru-RU"/>
        </w:rPr>
        <w:t>Guvernul HOTĂRĂŞTE:</w:t>
      </w:r>
    </w:p>
    <w:p w:rsidR="001D1405" w:rsidRPr="00384D86" w:rsidRDefault="0086669D" w:rsidP="00384D86">
      <w:pPr>
        <w:pStyle w:val="a5"/>
        <w:numPr>
          <w:ilvl w:val="0"/>
          <w:numId w:val="4"/>
        </w:numPr>
        <w:shd w:val="clear" w:color="auto" w:fill="FFFFFF"/>
        <w:spacing w:before="240" w:after="120" w:line="276" w:lineRule="auto"/>
        <w:jc w:val="both"/>
        <w:textAlignment w:val="baseline"/>
        <w:rPr>
          <w:rFonts w:ascii="Times New Roman" w:eastAsia="Times New Roman" w:hAnsi="Times New Roman" w:cs="Times New Roman"/>
          <w:bCs/>
          <w:color w:val="000000" w:themeColor="text1"/>
          <w:sz w:val="24"/>
          <w:szCs w:val="24"/>
          <w:lang w:val="ro-RO" w:eastAsia="ru-RU"/>
        </w:rPr>
      </w:pPr>
      <w:r w:rsidRPr="00384D86">
        <w:rPr>
          <w:rFonts w:ascii="Times New Roman" w:eastAsia="Calibri" w:hAnsi="Times New Roman" w:cs="Times New Roman"/>
          <w:sz w:val="24"/>
          <w:szCs w:val="24"/>
          <w:lang w:val="ro-RO"/>
        </w:rPr>
        <w:t>Se</w:t>
      </w:r>
      <w:r w:rsidR="001D1405" w:rsidRPr="00384D86">
        <w:rPr>
          <w:rFonts w:ascii="Times New Roman" w:eastAsia="Calibri" w:hAnsi="Times New Roman" w:cs="Times New Roman"/>
          <w:sz w:val="24"/>
          <w:szCs w:val="24"/>
          <w:lang w:val="ro-RO"/>
        </w:rPr>
        <w:t xml:space="preserve"> aprob</w:t>
      </w:r>
      <w:r w:rsidRPr="00384D86">
        <w:rPr>
          <w:rFonts w:ascii="Times New Roman" w:eastAsia="Calibri" w:hAnsi="Times New Roman" w:cs="Times New Roman"/>
          <w:sz w:val="24"/>
          <w:szCs w:val="24"/>
          <w:lang w:val="ro-RO"/>
        </w:rPr>
        <w:t>ă</w:t>
      </w:r>
      <w:r w:rsidR="001D1405" w:rsidRPr="00384D86">
        <w:rPr>
          <w:rFonts w:ascii="Times New Roman" w:eastAsia="Calibri" w:hAnsi="Times New Roman" w:cs="Times New Roman"/>
          <w:sz w:val="24"/>
          <w:szCs w:val="24"/>
          <w:lang w:val="ro-RO"/>
        </w:rPr>
        <w:t xml:space="preserve"> </w:t>
      </w:r>
      <w:r w:rsidR="001D1405" w:rsidRPr="00384D86">
        <w:rPr>
          <w:rFonts w:ascii="Times New Roman" w:eastAsia="Calibri" w:hAnsi="Times New Roman" w:cs="Times New Roman"/>
          <w:color w:val="000000" w:themeColor="text1"/>
          <w:sz w:val="24"/>
          <w:szCs w:val="24"/>
          <w:lang w:val="ro-RO"/>
        </w:rPr>
        <w:t xml:space="preserve">Lista </w:t>
      </w:r>
      <w:r w:rsidR="001D1405" w:rsidRPr="00384D86">
        <w:rPr>
          <w:rFonts w:ascii="Times New Roman" w:eastAsia="Times New Roman" w:hAnsi="Times New Roman" w:cs="Times New Roman"/>
          <w:bCs/>
          <w:color w:val="000000" w:themeColor="text1"/>
          <w:sz w:val="24"/>
          <w:szCs w:val="24"/>
          <w:lang w:val="ro-RO" w:eastAsia="ru-RU"/>
        </w:rPr>
        <w:t>de mențiuni de sănătate permise, înscrise pe produsele alimentare, altele decât cele care se referă la reducerea riscului de îmbolnăvire și la dezvoltarea și sănătatea copiilor</w:t>
      </w:r>
      <w:r w:rsidR="00313751" w:rsidRPr="00384D86">
        <w:rPr>
          <w:rFonts w:ascii="Times New Roman" w:eastAsia="Times New Roman" w:hAnsi="Times New Roman" w:cs="Times New Roman"/>
          <w:bCs/>
          <w:color w:val="000000" w:themeColor="text1"/>
          <w:sz w:val="24"/>
          <w:szCs w:val="24"/>
          <w:lang w:val="ro-RO" w:eastAsia="ru-RU"/>
        </w:rPr>
        <w:t>,</w:t>
      </w:r>
      <w:r w:rsidR="001D1405" w:rsidRPr="00384D86">
        <w:rPr>
          <w:rFonts w:ascii="Times New Roman" w:eastAsia="Times New Roman" w:hAnsi="Times New Roman" w:cs="Times New Roman"/>
          <w:bCs/>
          <w:color w:val="000000" w:themeColor="text1"/>
          <w:sz w:val="24"/>
          <w:szCs w:val="24"/>
          <w:lang w:val="ro-RO" w:eastAsia="ru-RU"/>
        </w:rPr>
        <w:t xml:space="preserve"> conform anexei.</w:t>
      </w:r>
    </w:p>
    <w:p w:rsidR="001D1405" w:rsidRPr="00384D86" w:rsidRDefault="00D27372" w:rsidP="00384D86">
      <w:pPr>
        <w:pStyle w:val="a5"/>
        <w:numPr>
          <w:ilvl w:val="0"/>
          <w:numId w:val="4"/>
        </w:numPr>
        <w:shd w:val="clear" w:color="auto" w:fill="FFFFFF"/>
        <w:spacing w:before="240" w:after="120" w:line="276" w:lineRule="auto"/>
        <w:jc w:val="both"/>
        <w:textAlignment w:val="baseline"/>
        <w:rPr>
          <w:rFonts w:ascii="Times New Roman" w:eastAsia="Times New Roman" w:hAnsi="Times New Roman" w:cs="Times New Roman"/>
          <w:b/>
          <w:bCs/>
          <w:color w:val="444444"/>
          <w:sz w:val="24"/>
          <w:szCs w:val="24"/>
          <w:lang w:val="ro-RO" w:eastAsia="ru-RU"/>
        </w:rPr>
      </w:pPr>
      <w:r w:rsidRPr="00384D86">
        <w:rPr>
          <w:rFonts w:ascii="Times New Roman" w:eastAsia="Times New Roman" w:hAnsi="Times New Roman" w:cs="Times New Roman"/>
          <w:bCs/>
          <w:color w:val="000000" w:themeColor="text1"/>
          <w:sz w:val="24"/>
          <w:szCs w:val="24"/>
          <w:lang w:val="ro-RO" w:eastAsia="ru-RU"/>
        </w:rPr>
        <w:t xml:space="preserve">Prezenta hotărîre intră în vigoare la 3 luni din data publicării în </w:t>
      </w:r>
      <w:r w:rsidRPr="00384D86">
        <w:rPr>
          <w:rFonts w:ascii="Times New Roman" w:eastAsia="Calibri" w:hAnsi="Times New Roman" w:cs="Times New Roman"/>
          <w:color w:val="000000" w:themeColor="text1"/>
          <w:sz w:val="24"/>
          <w:szCs w:val="24"/>
          <w:lang w:val="ro-RO" w:eastAsia="ru-RU"/>
        </w:rPr>
        <w:t xml:space="preserve">Monitorul </w:t>
      </w:r>
      <w:r w:rsidRPr="00384D86">
        <w:rPr>
          <w:rFonts w:ascii="Times New Roman" w:eastAsia="Calibri" w:hAnsi="Times New Roman" w:cs="Times New Roman"/>
          <w:color w:val="000000"/>
          <w:sz w:val="24"/>
          <w:szCs w:val="24"/>
          <w:lang w:val="ro-RO" w:eastAsia="ru-RU"/>
        </w:rPr>
        <w:t>Oficial al Republicii Moldova.</w:t>
      </w:r>
    </w:p>
    <w:p w:rsidR="000538DE" w:rsidRPr="00384D86" w:rsidRDefault="000538DE" w:rsidP="00384D86">
      <w:pPr>
        <w:spacing w:after="0" w:line="276" w:lineRule="auto"/>
        <w:jc w:val="both"/>
        <w:rPr>
          <w:rFonts w:ascii="Times New Roman" w:eastAsia="Calibri" w:hAnsi="Times New Roman" w:cs="Times New Roman"/>
          <w:sz w:val="24"/>
          <w:szCs w:val="24"/>
          <w:lang w:val="ro-RO"/>
        </w:rPr>
      </w:pPr>
    </w:p>
    <w:p w:rsidR="000538DE" w:rsidRPr="00384D86" w:rsidRDefault="000538DE" w:rsidP="00384D86">
      <w:pPr>
        <w:spacing w:after="0" w:line="276" w:lineRule="auto"/>
        <w:jc w:val="both"/>
        <w:rPr>
          <w:rFonts w:ascii="Times New Roman" w:eastAsia="Calibri" w:hAnsi="Times New Roman" w:cs="Times New Roman"/>
          <w:b/>
          <w:sz w:val="24"/>
          <w:szCs w:val="24"/>
          <w:lang w:val="ro-RO" w:eastAsia="ru-RU"/>
        </w:rPr>
      </w:pPr>
      <w:r w:rsidRPr="00384D86">
        <w:rPr>
          <w:rFonts w:ascii="Times New Roman" w:eastAsia="Calibri" w:hAnsi="Times New Roman" w:cs="Times New Roman"/>
          <w:sz w:val="24"/>
          <w:szCs w:val="24"/>
          <w:lang w:val="ro-RO"/>
        </w:rPr>
        <w:t xml:space="preserve"> </w:t>
      </w:r>
      <w:r w:rsidR="00384D86">
        <w:rPr>
          <w:rFonts w:ascii="Times New Roman" w:eastAsia="Calibri" w:hAnsi="Times New Roman" w:cs="Times New Roman"/>
          <w:sz w:val="24"/>
          <w:szCs w:val="24"/>
          <w:lang w:val="ro-RO"/>
        </w:rPr>
        <w:t xml:space="preserve">           </w:t>
      </w:r>
      <w:r w:rsidRPr="00384D86">
        <w:rPr>
          <w:rFonts w:ascii="Times New Roman" w:eastAsia="Calibri" w:hAnsi="Times New Roman" w:cs="Times New Roman"/>
          <w:b/>
          <w:sz w:val="24"/>
          <w:szCs w:val="24"/>
          <w:lang w:val="ro-RO" w:eastAsia="ru-RU"/>
        </w:rPr>
        <w:t xml:space="preserve">Prim-ministru </w:t>
      </w:r>
      <w:r w:rsidRPr="00384D86">
        <w:rPr>
          <w:rFonts w:ascii="Times New Roman" w:eastAsia="Calibri" w:hAnsi="Times New Roman" w:cs="Times New Roman"/>
          <w:b/>
          <w:sz w:val="24"/>
          <w:szCs w:val="24"/>
          <w:lang w:val="ro-RO" w:eastAsia="ru-RU"/>
        </w:rPr>
        <w:tab/>
      </w:r>
      <w:r w:rsidRPr="00384D86">
        <w:rPr>
          <w:rFonts w:ascii="Times New Roman" w:eastAsia="Calibri" w:hAnsi="Times New Roman" w:cs="Times New Roman"/>
          <w:b/>
          <w:sz w:val="24"/>
          <w:szCs w:val="24"/>
          <w:lang w:val="ro-RO" w:eastAsia="ru-RU"/>
        </w:rPr>
        <w:tab/>
      </w:r>
      <w:r w:rsidRPr="00384D86">
        <w:rPr>
          <w:rFonts w:ascii="Times New Roman" w:eastAsia="Calibri" w:hAnsi="Times New Roman" w:cs="Times New Roman"/>
          <w:b/>
          <w:sz w:val="24"/>
          <w:szCs w:val="24"/>
          <w:lang w:val="ro-RO" w:eastAsia="ru-RU"/>
        </w:rPr>
        <w:tab/>
      </w:r>
      <w:r w:rsidRPr="00384D86">
        <w:rPr>
          <w:rFonts w:ascii="Times New Roman" w:eastAsia="Calibri" w:hAnsi="Times New Roman" w:cs="Times New Roman"/>
          <w:b/>
          <w:sz w:val="24"/>
          <w:szCs w:val="24"/>
          <w:lang w:val="ro-RO" w:eastAsia="ru-RU"/>
        </w:rPr>
        <w:tab/>
      </w:r>
      <w:r w:rsidRPr="00384D86">
        <w:rPr>
          <w:rFonts w:ascii="Times New Roman" w:eastAsia="Calibri" w:hAnsi="Times New Roman" w:cs="Times New Roman"/>
          <w:b/>
          <w:sz w:val="24"/>
          <w:szCs w:val="24"/>
          <w:lang w:val="ro-RO" w:eastAsia="ru-RU"/>
        </w:rPr>
        <w:tab/>
      </w:r>
      <w:r w:rsidRPr="00384D86">
        <w:rPr>
          <w:rFonts w:ascii="Times New Roman" w:eastAsia="Calibri" w:hAnsi="Times New Roman" w:cs="Times New Roman"/>
          <w:b/>
          <w:sz w:val="24"/>
          <w:szCs w:val="24"/>
          <w:lang w:val="ro-RO" w:eastAsia="ru-RU"/>
        </w:rPr>
        <w:tab/>
        <w:t>PAVEL FILIP</w:t>
      </w:r>
    </w:p>
    <w:p w:rsidR="000538DE" w:rsidRPr="00384D86" w:rsidRDefault="000538DE" w:rsidP="00384D86">
      <w:pPr>
        <w:spacing w:line="276" w:lineRule="auto"/>
        <w:ind w:firstLine="709"/>
        <w:rPr>
          <w:rFonts w:ascii="Times New Roman" w:eastAsia="Calibri" w:hAnsi="Times New Roman" w:cs="Times New Roman"/>
          <w:b/>
          <w:sz w:val="24"/>
          <w:szCs w:val="24"/>
          <w:lang w:val="ro-RO" w:eastAsia="ru-RU"/>
        </w:rPr>
      </w:pPr>
    </w:p>
    <w:p w:rsidR="000538DE" w:rsidRPr="00384D86" w:rsidRDefault="000538DE" w:rsidP="00384D86">
      <w:pPr>
        <w:spacing w:line="276" w:lineRule="auto"/>
        <w:ind w:firstLine="709"/>
        <w:rPr>
          <w:rFonts w:ascii="Times New Roman" w:eastAsia="Calibri" w:hAnsi="Times New Roman" w:cs="Times New Roman"/>
          <w:sz w:val="24"/>
          <w:szCs w:val="24"/>
          <w:lang w:val="ro-RO" w:eastAsia="ru-RU"/>
        </w:rPr>
      </w:pPr>
      <w:r w:rsidRPr="00384D86">
        <w:rPr>
          <w:rFonts w:ascii="Times New Roman" w:eastAsia="Calibri" w:hAnsi="Times New Roman" w:cs="Times New Roman"/>
          <w:sz w:val="24"/>
          <w:szCs w:val="24"/>
          <w:lang w:val="ro-RO" w:eastAsia="ru-RU"/>
        </w:rPr>
        <w:t>Contrasemnează:</w:t>
      </w:r>
    </w:p>
    <w:p w:rsidR="000538DE" w:rsidRPr="00384D86" w:rsidRDefault="000538DE" w:rsidP="00384D86">
      <w:pPr>
        <w:spacing w:line="276" w:lineRule="auto"/>
        <w:ind w:firstLine="709"/>
        <w:rPr>
          <w:rFonts w:ascii="Times New Roman" w:eastAsia="Calibri" w:hAnsi="Times New Roman" w:cs="Times New Roman"/>
          <w:color w:val="000000"/>
          <w:sz w:val="24"/>
          <w:szCs w:val="24"/>
          <w:lang w:val="ro-RO" w:eastAsia="ru-RU"/>
        </w:rPr>
      </w:pPr>
      <w:r w:rsidRPr="00384D86">
        <w:rPr>
          <w:rFonts w:ascii="Times New Roman" w:eastAsia="Calibri" w:hAnsi="Times New Roman" w:cs="Times New Roman"/>
          <w:color w:val="000000"/>
          <w:sz w:val="24"/>
          <w:szCs w:val="24"/>
          <w:lang w:val="ro-RO" w:eastAsia="ru-RU"/>
        </w:rPr>
        <w:t xml:space="preserve">Ministrul sănătăţii </w:t>
      </w:r>
      <w:r w:rsidRPr="00384D86">
        <w:rPr>
          <w:rFonts w:ascii="Times New Roman" w:eastAsia="Calibri" w:hAnsi="Times New Roman" w:cs="Times New Roman"/>
          <w:color w:val="000000"/>
          <w:sz w:val="24"/>
          <w:szCs w:val="24"/>
          <w:lang w:val="ro-RO" w:eastAsia="ru-RU"/>
        </w:rPr>
        <w:tab/>
      </w:r>
      <w:r w:rsidRPr="00384D86">
        <w:rPr>
          <w:rFonts w:ascii="Times New Roman" w:eastAsia="Calibri" w:hAnsi="Times New Roman" w:cs="Times New Roman"/>
          <w:color w:val="000000"/>
          <w:sz w:val="24"/>
          <w:szCs w:val="24"/>
          <w:lang w:val="ro-RO" w:eastAsia="ru-RU"/>
        </w:rPr>
        <w:tab/>
      </w:r>
      <w:r w:rsidRPr="00384D86">
        <w:rPr>
          <w:rFonts w:ascii="Times New Roman" w:eastAsia="Calibri" w:hAnsi="Times New Roman" w:cs="Times New Roman"/>
          <w:color w:val="000000"/>
          <w:sz w:val="24"/>
          <w:szCs w:val="24"/>
          <w:lang w:val="ro-RO" w:eastAsia="ru-RU"/>
        </w:rPr>
        <w:tab/>
      </w:r>
      <w:r w:rsidRPr="00384D86">
        <w:rPr>
          <w:rFonts w:ascii="Times New Roman" w:eastAsia="Calibri" w:hAnsi="Times New Roman" w:cs="Times New Roman"/>
          <w:color w:val="000000"/>
          <w:sz w:val="24"/>
          <w:szCs w:val="24"/>
          <w:lang w:val="ro-RO" w:eastAsia="ru-RU"/>
        </w:rPr>
        <w:tab/>
      </w:r>
      <w:r w:rsidRPr="00384D86">
        <w:rPr>
          <w:rFonts w:ascii="Times New Roman" w:eastAsia="Calibri" w:hAnsi="Times New Roman" w:cs="Times New Roman"/>
          <w:color w:val="000000"/>
          <w:sz w:val="24"/>
          <w:szCs w:val="24"/>
          <w:lang w:val="ro-RO" w:eastAsia="ru-RU"/>
        </w:rPr>
        <w:tab/>
      </w:r>
      <w:r w:rsidRPr="00384D86">
        <w:rPr>
          <w:rFonts w:ascii="Times New Roman" w:eastAsia="Calibri" w:hAnsi="Times New Roman" w:cs="Times New Roman"/>
          <w:color w:val="000000"/>
          <w:sz w:val="24"/>
          <w:szCs w:val="24"/>
          <w:lang w:val="ro-RO" w:eastAsia="ru-RU"/>
        </w:rPr>
        <w:tab/>
        <w:t>Ruxanda  G</w:t>
      </w:r>
      <w:r w:rsidR="00384D86">
        <w:rPr>
          <w:rFonts w:ascii="Times New Roman" w:eastAsia="Calibri" w:hAnsi="Times New Roman" w:cs="Times New Roman"/>
          <w:color w:val="000000"/>
          <w:sz w:val="24"/>
          <w:szCs w:val="24"/>
          <w:lang w:val="ro-RO" w:eastAsia="ru-RU"/>
        </w:rPr>
        <w:t>LAVAN</w:t>
      </w:r>
      <w:r w:rsidRPr="00384D86">
        <w:rPr>
          <w:rFonts w:ascii="Times New Roman" w:eastAsia="Calibri" w:hAnsi="Times New Roman" w:cs="Times New Roman"/>
          <w:color w:val="000000"/>
          <w:sz w:val="24"/>
          <w:szCs w:val="24"/>
          <w:lang w:val="ro-RO" w:eastAsia="ru-RU"/>
        </w:rPr>
        <w:t xml:space="preserve"> </w:t>
      </w:r>
    </w:p>
    <w:p w:rsidR="001D1405" w:rsidRPr="00384D86" w:rsidRDefault="001D1405" w:rsidP="00384D86">
      <w:pPr>
        <w:spacing w:line="276" w:lineRule="auto"/>
        <w:ind w:firstLine="709"/>
        <w:rPr>
          <w:rFonts w:ascii="Times New Roman" w:eastAsia="Calibri" w:hAnsi="Times New Roman" w:cs="Times New Roman"/>
          <w:sz w:val="24"/>
          <w:szCs w:val="24"/>
          <w:lang w:val="ro-RO"/>
        </w:rPr>
      </w:pPr>
      <w:r w:rsidRPr="00384D86">
        <w:rPr>
          <w:rFonts w:ascii="Times New Roman" w:eastAsia="Calibri" w:hAnsi="Times New Roman" w:cs="Times New Roman"/>
          <w:color w:val="000000"/>
          <w:sz w:val="24"/>
          <w:szCs w:val="24"/>
          <w:lang w:val="ro-RO" w:eastAsia="ru-RU"/>
        </w:rPr>
        <w:t xml:space="preserve">Ministrul econimiei </w:t>
      </w:r>
      <w:r w:rsidRPr="00384D86">
        <w:rPr>
          <w:rFonts w:ascii="Times New Roman" w:eastAsia="Calibri" w:hAnsi="Times New Roman" w:cs="Times New Roman"/>
          <w:color w:val="000000"/>
          <w:sz w:val="24"/>
          <w:szCs w:val="24"/>
          <w:lang w:val="ro-RO" w:eastAsia="ru-RU"/>
        </w:rPr>
        <w:tab/>
      </w:r>
      <w:r w:rsidRPr="00384D86">
        <w:rPr>
          <w:rFonts w:ascii="Times New Roman" w:eastAsia="Calibri" w:hAnsi="Times New Roman" w:cs="Times New Roman"/>
          <w:color w:val="000000"/>
          <w:sz w:val="24"/>
          <w:szCs w:val="24"/>
          <w:lang w:val="ro-RO" w:eastAsia="ru-RU"/>
        </w:rPr>
        <w:tab/>
      </w:r>
      <w:r w:rsidRPr="00384D86">
        <w:rPr>
          <w:rFonts w:ascii="Times New Roman" w:eastAsia="Calibri" w:hAnsi="Times New Roman" w:cs="Times New Roman"/>
          <w:color w:val="000000"/>
          <w:sz w:val="24"/>
          <w:szCs w:val="24"/>
          <w:lang w:val="ro-RO" w:eastAsia="ru-RU"/>
        </w:rPr>
        <w:tab/>
      </w:r>
      <w:r w:rsidRPr="00384D86">
        <w:rPr>
          <w:rFonts w:ascii="Times New Roman" w:eastAsia="Calibri" w:hAnsi="Times New Roman" w:cs="Times New Roman"/>
          <w:color w:val="000000"/>
          <w:sz w:val="24"/>
          <w:szCs w:val="24"/>
          <w:lang w:val="ro-RO" w:eastAsia="ru-RU"/>
        </w:rPr>
        <w:tab/>
      </w:r>
      <w:r w:rsidRPr="00384D86">
        <w:rPr>
          <w:rFonts w:ascii="Times New Roman" w:eastAsia="Calibri" w:hAnsi="Times New Roman" w:cs="Times New Roman"/>
          <w:color w:val="000000"/>
          <w:sz w:val="24"/>
          <w:szCs w:val="24"/>
          <w:lang w:val="ro-RO" w:eastAsia="ru-RU"/>
        </w:rPr>
        <w:tab/>
      </w:r>
      <w:r w:rsidR="00384D86">
        <w:rPr>
          <w:rFonts w:ascii="Times New Roman" w:eastAsia="Calibri" w:hAnsi="Times New Roman" w:cs="Times New Roman"/>
          <w:color w:val="000000"/>
          <w:sz w:val="24"/>
          <w:szCs w:val="24"/>
          <w:lang w:val="ro-RO" w:eastAsia="ru-RU"/>
        </w:rPr>
        <w:t xml:space="preserve">            Octavian CALMÎC</w:t>
      </w:r>
      <w:bookmarkStart w:id="0" w:name="_GoBack"/>
      <w:bookmarkEnd w:id="0"/>
    </w:p>
    <w:p w:rsidR="000538DE" w:rsidRPr="00384D86" w:rsidRDefault="000538DE" w:rsidP="00384D86">
      <w:pPr>
        <w:spacing w:after="0" w:line="276" w:lineRule="auto"/>
        <w:ind w:firstLine="709"/>
        <w:rPr>
          <w:rFonts w:ascii="Times New Roman" w:eastAsia="Calibri" w:hAnsi="Times New Roman" w:cs="Times New Roman"/>
          <w:color w:val="000000"/>
          <w:sz w:val="24"/>
          <w:szCs w:val="24"/>
          <w:lang w:val="ro-RO" w:eastAsia="ru-RU"/>
        </w:rPr>
      </w:pPr>
      <w:r w:rsidRPr="00384D86">
        <w:rPr>
          <w:rFonts w:ascii="Times New Roman" w:eastAsia="Calibri" w:hAnsi="Times New Roman" w:cs="Times New Roman"/>
          <w:color w:val="000000"/>
          <w:sz w:val="24"/>
          <w:szCs w:val="24"/>
          <w:lang w:val="ro-RO" w:eastAsia="ru-RU"/>
        </w:rPr>
        <w:t xml:space="preserve">Ministrul agriculturii </w:t>
      </w:r>
    </w:p>
    <w:p w:rsidR="000538DE" w:rsidRPr="00384D86" w:rsidRDefault="008A7EEF" w:rsidP="00384D86">
      <w:pPr>
        <w:spacing w:after="0" w:line="276" w:lineRule="auto"/>
        <w:ind w:firstLine="709"/>
        <w:rPr>
          <w:rFonts w:ascii="Times New Roman" w:eastAsia="Times New Roman" w:hAnsi="Times New Roman" w:cs="Times New Roman"/>
          <w:b/>
          <w:bCs/>
          <w:color w:val="444444"/>
          <w:sz w:val="24"/>
          <w:szCs w:val="24"/>
          <w:lang w:val="ro-RO" w:eastAsia="ru-RU"/>
        </w:rPr>
      </w:pPr>
      <w:r w:rsidRPr="00384D86">
        <w:rPr>
          <w:rFonts w:ascii="Times New Roman" w:eastAsia="Calibri" w:hAnsi="Times New Roman" w:cs="Times New Roman"/>
          <w:color w:val="000000"/>
          <w:sz w:val="24"/>
          <w:szCs w:val="24"/>
          <w:lang w:val="ro-RO" w:eastAsia="ru-RU"/>
        </w:rPr>
        <w:t xml:space="preserve">şi industriei alimentare </w:t>
      </w:r>
      <w:r w:rsidRPr="00384D86">
        <w:rPr>
          <w:rFonts w:ascii="Times New Roman" w:eastAsia="Calibri" w:hAnsi="Times New Roman" w:cs="Times New Roman"/>
          <w:color w:val="000000"/>
          <w:sz w:val="24"/>
          <w:szCs w:val="24"/>
          <w:lang w:val="ro-RO" w:eastAsia="ru-RU"/>
        </w:rPr>
        <w:tab/>
      </w:r>
      <w:r w:rsidRPr="00384D86">
        <w:rPr>
          <w:rFonts w:ascii="Times New Roman" w:eastAsia="Calibri" w:hAnsi="Times New Roman" w:cs="Times New Roman"/>
          <w:color w:val="000000"/>
          <w:sz w:val="24"/>
          <w:szCs w:val="24"/>
          <w:lang w:val="ro-RO" w:eastAsia="ru-RU"/>
        </w:rPr>
        <w:tab/>
      </w:r>
      <w:r w:rsidRPr="00384D86">
        <w:rPr>
          <w:rFonts w:ascii="Times New Roman" w:eastAsia="Calibri" w:hAnsi="Times New Roman" w:cs="Times New Roman"/>
          <w:color w:val="000000"/>
          <w:sz w:val="24"/>
          <w:szCs w:val="24"/>
          <w:lang w:val="ro-RO" w:eastAsia="ru-RU"/>
        </w:rPr>
        <w:tab/>
      </w:r>
      <w:r w:rsidRPr="00384D86">
        <w:rPr>
          <w:rFonts w:ascii="Times New Roman" w:eastAsia="Calibri" w:hAnsi="Times New Roman" w:cs="Times New Roman"/>
          <w:color w:val="000000"/>
          <w:sz w:val="24"/>
          <w:szCs w:val="24"/>
          <w:lang w:val="ro-RO" w:eastAsia="ru-RU"/>
        </w:rPr>
        <w:tab/>
      </w:r>
      <w:r w:rsidR="000538DE" w:rsidRPr="00384D86">
        <w:rPr>
          <w:rFonts w:ascii="Times New Roman" w:eastAsia="Times New Roman" w:hAnsi="Times New Roman" w:cs="Times New Roman"/>
          <w:b/>
          <w:bCs/>
          <w:color w:val="444444"/>
          <w:sz w:val="24"/>
          <w:szCs w:val="24"/>
          <w:lang w:val="ro-RO" w:eastAsia="ru-RU"/>
        </w:rPr>
        <w:br w:type="page"/>
      </w:r>
    </w:p>
    <w:p w:rsidR="00565E2F" w:rsidRPr="00384D86" w:rsidRDefault="001D1405" w:rsidP="00384D86">
      <w:pPr>
        <w:shd w:val="clear" w:color="auto" w:fill="FFFFFF"/>
        <w:spacing w:after="0" w:line="276" w:lineRule="auto"/>
        <w:jc w:val="right"/>
        <w:textAlignment w:val="baseline"/>
        <w:rPr>
          <w:rFonts w:ascii="Times New Roman" w:eastAsia="Times New Roman" w:hAnsi="Times New Roman" w:cs="Times New Roman"/>
          <w:bCs/>
          <w:color w:val="444444"/>
          <w:sz w:val="24"/>
          <w:szCs w:val="24"/>
          <w:lang w:val="ro-RO" w:eastAsia="ru-RU"/>
        </w:rPr>
      </w:pPr>
      <w:r w:rsidRPr="00384D86">
        <w:rPr>
          <w:rFonts w:ascii="Times New Roman" w:eastAsia="Times New Roman" w:hAnsi="Times New Roman" w:cs="Times New Roman"/>
          <w:bCs/>
          <w:color w:val="444444"/>
          <w:sz w:val="24"/>
          <w:szCs w:val="24"/>
          <w:lang w:val="ro-RO" w:eastAsia="ru-RU"/>
        </w:rPr>
        <w:lastRenderedPageBreak/>
        <w:t xml:space="preserve">Anexă </w:t>
      </w:r>
    </w:p>
    <w:p w:rsidR="00565E2F" w:rsidRPr="00384D86" w:rsidRDefault="001D1405" w:rsidP="00384D86">
      <w:pPr>
        <w:shd w:val="clear" w:color="auto" w:fill="FFFFFF"/>
        <w:spacing w:after="0" w:line="276" w:lineRule="auto"/>
        <w:jc w:val="right"/>
        <w:textAlignment w:val="baseline"/>
        <w:rPr>
          <w:rFonts w:ascii="Times New Roman" w:eastAsia="Times New Roman" w:hAnsi="Times New Roman" w:cs="Times New Roman"/>
          <w:bCs/>
          <w:color w:val="444444"/>
          <w:sz w:val="24"/>
          <w:szCs w:val="24"/>
          <w:lang w:val="ro-RO" w:eastAsia="ru-RU"/>
        </w:rPr>
      </w:pPr>
      <w:r w:rsidRPr="00384D86">
        <w:rPr>
          <w:rFonts w:ascii="Times New Roman" w:eastAsia="Times New Roman" w:hAnsi="Times New Roman" w:cs="Times New Roman"/>
          <w:bCs/>
          <w:color w:val="444444"/>
          <w:sz w:val="24"/>
          <w:szCs w:val="24"/>
          <w:lang w:val="ro-RO" w:eastAsia="ru-RU"/>
        </w:rPr>
        <w:t>la H</w:t>
      </w:r>
      <w:r w:rsidR="00565E2F" w:rsidRPr="00384D86">
        <w:rPr>
          <w:rFonts w:ascii="Times New Roman" w:eastAsia="Times New Roman" w:hAnsi="Times New Roman" w:cs="Times New Roman"/>
          <w:bCs/>
          <w:color w:val="444444"/>
          <w:sz w:val="24"/>
          <w:szCs w:val="24"/>
          <w:lang w:val="ro-RO" w:eastAsia="ru-RU"/>
        </w:rPr>
        <w:t xml:space="preserve">otărîrea </w:t>
      </w:r>
      <w:r w:rsidRPr="00384D86">
        <w:rPr>
          <w:rFonts w:ascii="Times New Roman" w:eastAsia="Times New Roman" w:hAnsi="Times New Roman" w:cs="Times New Roman"/>
          <w:bCs/>
          <w:color w:val="444444"/>
          <w:sz w:val="24"/>
          <w:szCs w:val="24"/>
          <w:lang w:val="ro-RO" w:eastAsia="ru-RU"/>
        </w:rPr>
        <w:t>G</w:t>
      </w:r>
      <w:r w:rsidR="00565E2F" w:rsidRPr="00384D86">
        <w:rPr>
          <w:rFonts w:ascii="Times New Roman" w:eastAsia="Times New Roman" w:hAnsi="Times New Roman" w:cs="Times New Roman"/>
          <w:bCs/>
          <w:color w:val="444444"/>
          <w:sz w:val="24"/>
          <w:szCs w:val="24"/>
          <w:lang w:val="ro-RO" w:eastAsia="ru-RU"/>
        </w:rPr>
        <w:t>uvernului</w:t>
      </w:r>
      <w:r w:rsidRPr="00384D86">
        <w:rPr>
          <w:rFonts w:ascii="Times New Roman" w:eastAsia="Times New Roman" w:hAnsi="Times New Roman" w:cs="Times New Roman"/>
          <w:bCs/>
          <w:color w:val="444444"/>
          <w:sz w:val="24"/>
          <w:szCs w:val="24"/>
          <w:lang w:val="ro-RO" w:eastAsia="ru-RU"/>
        </w:rPr>
        <w:t xml:space="preserve"> nr. _______ </w:t>
      </w:r>
    </w:p>
    <w:p w:rsidR="000538DE" w:rsidRPr="00384D86" w:rsidRDefault="001D1405" w:rsidP="00384D86">
      <w:pPr>
        <w:shd w:val="clear" w:color="auto" w:fill="FFFFFF"/>
        <w:spacing w:after="0" w:line="276" w:lineRule="auto"/>
        <w:jc w:val="right"/>
        <w:textAlignment w:val="baseline"/>
        <w:rPr>
          <w:rFonts w:ascii="Times New Roman" w:eastAsia="Times New Roman" w:hAnsi="Times New Roman" w:cs="Times New Roman"/>
          <w:bCs/>
          <w:color w:val="444444"/>
          <w:sz w:val="24"/>
          <w:szCs w:val="24"/>
          <w:lang w:val="ro-RO" w:eastAsia="ru-RU"/>
        </w:rPr>
      </w:pPr>
      <w:r w:rsidRPr="00384D86">
        <w:rPr>
          <w:rFonts w:ascii="Times New Roman" w:eastAsia="Times New Roman" w:hAnsi="Times New Roman" w:cs="Times New Roman"/>
          <w:bCs/>
          <w:color w:val="444444"/>
          <w:sz w:val="24"/>
          <w:szCs w:val="24"/>
          <w:lang w:val="ro-RO" w:eastAsia="ru-RU"/>
        </w:rPr>
        <w:t>din __________2017</w:t>
      </w:r>
    </w:p>
    <w:p w:rsidR="00565E2F" w:rsidRPr="00384D86" w:rsidRDefault="001D1405" w:rsidP="00384D86">
      <w:pPr>
        <w:shd w:val="clear" w:color="auto" w:fill="FFFFFF"/>
        <w:spacing w:before="240" w:after="120" w:line="276" w:lineRule="auto"/>
        <w:jc w:val="center"/>
        <w:textAlignment w:val="baseline"/>
        <w:rPr>
          <w:rFonts w:ascii="Times New Roman" w:eastAsia="Times New Roman" w:hAnsi="Times New Roman" w:cs="Times New Roman"/>
          <w:b/>
          <w:bCs/>
          <w:color w:val="444444"/>
          <w:sz w:val="24"/>
          <w:szCs w:val="24"/>
          <w:lang w:val="ro-RO" w:eastAsia="ru-RU"/>
        </w:rPr>
      </w:pPr>
      <w:r w:rsidRPr="00384D86">
        <w:rPr>
          <w:rFonts w:ascii="Times New Roman" w:eastAsia="Times New Roman" w:hAnsi="Times New Roman" w:cs="Times New Roman"/>
          <w:b/>
          <w:bCs/>
          <w:color w:val="444444"/>
          <w:sz w:val="24"/>
          <w:szCs w:val="24"/>
          <w:lang w:val="ro-RO" w:eastAsia="ru-RU"/>
        </w:rPr>
        <w:t>L</w:t>
      </w:r>
      <w:r w:rsidR="000D6713" w:rsidRPr="00384D86">
        <w:rPr>
          <w:rFonts w:ascii="Times New Roman" w:eastAsia="Times New Roman" w:hAnsi="Times New Roman" w:cs="Times New Roman"/>
          <w:b/>
          <w:bCs/>
          <w:color w:val="444444"/>
          <w:sz w:val="24"/>
          <w:szCs w:val="24"/>
          <w:lang w:val="ro-RO" w:eastAsia="ru-RU"/>
        </w:rPr>
        <w:t>ist</w:t>
      </w:r>
      <w:r w:rsidRPr="00384D86">
        <w:rPr>
          <w:rFonts w:ascii="Times New Roman" w:eastAsia="Times New Roman" w:hAnsi="Times New Roman" w:cs="Times New Roman"/>
          <w:b/>
          <w:bCs/>
          <w:color w:val="444444"/>
          <w:sz w:val="24"/>
          <w:szCs w:val="24"/>
          <w:lang w:val="ro-RO" w:eastAsia="ru-RU"/>
        </w:rPr>
        <w:t>a</w:t>
      </w:r>
      <w:r w:rsidR="000D6713" w:rsidRPr="00384D86">
        <w:rPr>
          <w:rFonts w:ascii="Times New Roman" w:eastAsia="Times New Roman" w:hAnsi="Times New Roman" w:cs="Times New Roman"/>
          <w:b/>
          <w:bCs/>
          <w:color w:val="444444"/>
          <w:sz w:val="24"/>
          <w:szCs w:val="24"/>
          <w:lang w:val="ro-RO" w:eastAsia="ru-RU"/>
        </w:rPr>
        <w:t xml:space="preserve"> de mențiuni de sănătate permise, </w:t>
      </w:r>
    </w:p>
    <w:p w:rsidR="000D6713" w:rsidRPr="00384D86" w:rsidRDefault="000D6713" w:rsidP="00384D86">
      <w:pPr>
        <w:shd w:val="clear" w:color="auto" w:fill="FFFFFF"/>
        <w:spacing w:before="240" w:after="120" w:line="276" w:lineRule="auto"/>
        <w:jc w:val="center"/>
        <w:textAlignment w:val="baseline"/>
        <w:rPr>
          <w:rFonts w:ascii="Times New Roman" w:eastAsia="Times New Roman" w:hAnsi="Times New Roman" w:cs="Times New Roman"/>
          <w:b/>
          <w:bCs/>
          <w:color w:val="444444"/>
          <w:sz w:val="24"/>
          <w:szCs w:val="24"/>
          <w:lang w:val="ro-RO" w:eastAsia="ru-RU"/>
        </w:rPr>
      </w:pPr>
      <w:r w:rsidRPr="00384D86">
        <w:rPr>
          <w:rFonts w:ascii="Times New Roman" w:eastAsia="Times New Roman" w:hAnsi="Times New Roman" w:cs="Times New Roman"/>
          <w:b/>
          <w:bCs/>
          <w:color w:val="444444"/>
          <w:sz w:val="24"/>
          <w:szCs w:val="24"/>
          <w:lang w:val="ro-RO" w:eastAsia="ru-RU"/>
        </w:rPr>
        <w:t>înscrise pe produsele alimentare, altele decât cele care se referă la reducerea riscului de îmbolnăvire și la de</w:t>
      </w:r>
      <w:r w:rsidR="00F27EE7" w:rsidRPr="00384D86">
        <w:rPr>
          <w:rFonts w:ascii="Times New Roman" w:eastAsia="Times New Roman" w:hAnsi="Times New Roman" w:cs="Times New Roman"/>
          <w:b/>
          <w:bCs/>
          <w:color w:val="444444"/>
          <w:sz w:val="24"/>
          <w:szCs w:val="24"/>
          <w:lang w:val="ro-RO" w:eastAsia="ru-RU"/>
        </w:rPr>
        <w:t>zvoltarea și sănătatea copiilor</w:t>
      </w:r>
    </w:p>
    <w:tbl>
      <w:tblPr>
        <w:tblW w:w="5230" w:type="pct"/>
        <w:tblInd w:w="-434"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718"/>
        <w:gridCol w:w="1289"/>
        <w:gridCol w:w="1861"/>
        <w:gridCol w:w="4441"/>
        <w:gridCol w:w="1859"/>
      </w:tblGrid>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627A3C" w:rsidP="00384D86">
            <w:pPr>
              <w:spacing w:before="60" w:after="60" w:line="276" w:lineRule="auto"/>
              <w:ind w:right="195"/>
              <w:jc w:val="center"/>
              <w:textAlignment w:val="baseline"/>
              <w:rPr>
                <w:rFonts w:ascii="Times New Roman" w:eastAsia="Times New Roman" w:hAnsi="Times New Roman" w:cs="Times New Roman"/>
                <w:b/>
                <w:bCs/>
                <w:sz w:val="24"/>
                <w:szCs w:val="24"/>
                <w:lang w:val="ro-RO" w:eastAsia="ru-RU"/>
              </w:rPr>
            </w:pPr>
            <w:r w:rsidRPr="00384D86">
              <w:rPr>
                <w:rFonts w:ascii="Times New Roman" w:eastAsia="Times New Roman" w:hAnsi="Times New Roman" w:cs="Times New Roman"/>
                <w:b/>
                <w:bCs/>
                <w:sz w:val="24"/>
                <w:szCs w:val="24"/>
                <w:lang w:val="ro-RO" w:eastAsia="ru-RU"/>
              </w:rPr>
              <w:t>Nr.d/o</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ind w:right="195"/>
              <w:jc w:val="center"/>
              <w:textAlignment w:val="baseline"/>
              <w:rPr>
                <w:rFonts w:ascii="Times New Roman" w:eastAsia="Times New Roman" w:hAnsi="Times New Roman" w:cs="Times New Roman"/>
                <w:b/>
                <w:bCs/>
                <w:sz w:val="24"/>
                <w:szCs w:val="24"/>
                <w:lang w:val="ro-RO" w:eastAsia="ru-RU"/>
              </w:rPr>
            </w:pPr>
            <w:r w:rsidRPr="00384D86">
              <w:rPr>
                <w:rFonts w:ascii="Times New Roman" w:eastAsia="Times New Roman" w:hAnsi="Times New Roman" w:cs="Times New Roman"/>
                <w:b/>
                <w:bCs/>
                <w:sz w:val="24"/>
                <w:szCs w:val="24"/>
                <w:lang w:val="ro-RO" w:eastAsia="ru-RU"/>
              </w:rPr>
              <w:t>Nutrient, substanță, produs alimentar sau categorie de produse alimentare</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ind w:right="195"/>
              <w:jc w:val="center"/>
              <w:textAlignment w:val="baseline"/>
              <w:rPr>
                <w:rFonts w:ascii="Times New Roman" w:eastAsia="Times New Roman" w:hAnsi="Times New Roman" w:cs="Times New Roman"/>
                <w:b/>
                <w:bCs/>
                <w:sz w:val="24"/>
                <w:szCs w:val="24"/>
                <w:lang w:val="ro-RO" w:eastAsia="ru-RU"/>
              </w:rPr>
            </w:pPr>
            <w:r w:rsidRPr="00384D86">
              <w:rPr>
                <w:rFonts w:ascii="Times New Roman" w:eastAsia="Times New Roman" w:hAnsi="Times New Roman" w:cs="Times New Roman"/>
                <w:b/>
                <w:bCs/>
                <w:sz w:val="24"/>
                <w:szCs w:val="24"/>
                <w:lang w:val="ro-RO" w:eastAsia="ru-RU"/>
              </w:rPr>
              <w:t>Mențiune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ind w:right="195"/>
              <w:jc w:val="center"/>
              <w:textAlignment w:val="baseline"/>
              <w:rPr>
                <w:rFonts w:ascii="Times New Roman" w:eastAsia="Times New Roman" w:hAnsi="Times New Roman" w:cs="Times New Roman"/>
                <w:b/>
                <w:bCs/>
                <w:sz w:val="24"/>
                <w:szCs w:val="24"/>
                <w:lang w:val="ro-RO" w:eastAsia="ru-RU"/>
              </w:rPr>
            </w:pPr>
            <w:r w:rsidRPr="00384D86">
              <w:rPr>
                <w:rFonts w:ascii="Times New Roman" w:eastAsia="Times New Roman" w:hAnsi="Times New Roman" w:cs="Times New Roman"/>
                <w:b/>
                <w:bCs/>
                <w:sz w:val="24"/>
                <w:szCs w:val="24"/>
                <w:lang w:val="ro-RO" w:eastAsia="ru-RU"/>
              </w:rPr>
              <w:t>Condiții de utilizare a mențiunii</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ind w:right="195"/>
              <w:jc w:val="center"/>
              <w:textAlignment w:val="baseline"/>
              <w:rPr>
                <w:rFonts w:ascii="Times New Roman" w:eastAsia="Times New Roman" w:hAnsi="Times New Roman" w:cs="Times New Roman"/>
                <w:b/>
                <w:bCs/>
                <w:sz w:val="24"/>
                <w:szCs w:val="24"/>
                <w:lang w:val="ro-RO" w:eastAsia="ru-RU"/>
              </w:rPr>
            </w:pPr>
            <w:r w:rsidRPr="00384D86">
              <w:rPr>
                <w:rFonts w:ascii="Times New Roman" w:eastAsia="Times New Roman" w:hAnsi="Times New Roman" w:cs="Times New Roman"/>
                <w:b/>
                <w:bCs/>
                <w:sz w:val="24"/>
                <w:szCs w:val="24"/>
                <w:lang w:val="ro-RO" w:eastAsia="ru-RU"/>
              </w:rPr>
              <w:t>Condiții și/sau restricții de utilizare a produsului alimentar și/sau indicații sau avertizări suplimentare</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Cărbune activ</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Cărbunele activ contribuie la reducerea flatulenței după consumul de alimente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conțin 1 g de cărbune activ la o porție cuantificată. Pentru a putea fi înscrisă, mențiunea trebuie însoțită de o informare a consumatorului cu privire la faptul că efectul benefic se obține în condițiile consumului unei cantități de 1 g, cel puțin cu 30 de minute înainte de masă și de 1 g imediat după masă.</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Acid alfa-linolenic</w:t>
            </w:r>
          </w:p>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(AAL)</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AAL contribuie la menținerea concentrațiilor normale ale colesterolului din sânge</w:t>
            </w:r>
          </w:p>
        </w:tc>
        <w:tc>
          <w:tcPr>
            <w:tcW w:w="2184" w:type="pct"/>
            <w:tcBorders>
              <w:top w:val="single" w:sz="6" w:space="0" w:color="000000"/>
              <w:left w:val="single" w:sz="6" w:space="0" w:color="000000"/>
              <w:bottom w:val="single" w:sz="6" w:space="0" w:color="000000"/>
              <w:right w:val="single" w:sz="6" w:space="0" w:color="000000"/>
            </w:tcBorders>
          </w:tcPr>
          <w:p w:rsidR="00017D21"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AAL, astfel cum apare în mențiunea SURSĂ DE ACIZI GRAȘI OMEGA 3, prevăzută în anexa la </w:t>
            </w:r>
            <w:r w:rsidR="00017D21"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Consumatorul trebuie informat cu privire la faptul că efectul benefic se obține în condițiile unui consum zilnic de 2 g de AAL.</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3</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Arabinoxilan produs din endospermul bobului de grâu</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Consumul de arabinoxilan în timpul unei mese contribuie la o diminuare a creșterii nivelului de glucoză în </w:t>
            </w:r>
            <w:r w:rsidRPr="00384D86">
              <w:rPr>
                <w:rFonts w:ascii="Times New Roman" w:eastAsia="Times New Roman" w:hAnsi="Times New Roman" w:cs="Times New Roman"/>
                <w:sz w:val="24"/>
                <w:szCs w:val="24"/>
                <w:lang w:val="ro-RO" w:eastAsia="ru-RU"/>
              </w:rPr>
              <w:lastRenderedPageBreak/>
              <w:t>sânge după masa respectivă</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Mențiunea poate fi utilizată doar pentru produsele alimentare care conțin cel puțin 8 g de fibre bogate în arabinoxilan (AX) produse din endospermul bobului de grâu (cel puțin 60 % AX per greutate) la 100 g de carbohidrați disponibili la o porție cuantificată ca parte a unei mese. Pentru a </w:t>
            </w:r>
            <w:r w:rsidRPr="00384D86">
              <w:rPr>
                <w:rFonts w:ascii="Times New Roman" w:eastAsia="Times New Roman" w:hAnsi="Times New Roman" w:cs="Times New Roman"/>
                <w:sz w:val="24"/>
                <w:szCs w:val="24"/>
                <w:lang w:val="ro-RO" w:eastAsia="ru-RU"/>
              </w:rPr>
              <w:lastRenderedPageBreak/>
              <w:t>putea fi înscrisă, mențiunea trebuie însoțită de o informare a consumatorului cu privire la faptul că efectul benefic se obține în condițiile consumului, în timpul mesei, de fibre bogate în arabinoxilan (AX) produse din endospermul bobului de grâu.</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F21517"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4</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Fibre din boabe de orz</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Fibrele conținute în boabele de orz contribuie la creșterea volumului bolului fecal</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având un conținut bogat în astfel de fibre, astfel cum apare la mențiunea BOGAT ÎN FIBRE, prevăzută în anexa la </w:t>
            </w:r>
            <w:r w:rsidR="00017D21"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F21517"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5</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Beta-glucani</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Beta-glucanii contribuie la menținerea concentrațiilor normale ale colesterolului din sânge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conțin cel puțin 1 g de beta-glucani din ovăz, tărâțe de ovăz, orz, tărâțe de orz sau din amestecuri de astfel de surse la o porție cuantificată. Pentru a putea fi înscrisă, mențiunea trebuie să fie însoțită de o informare a consumatorului cu privire la faptul că efectul benefic se obține în condițiile unui consum zilnic de 3 g de beta-glucani din ovăz, tărâțe de ovăz, orz, tărâțe de orz sau din amestecuri de astfel de beta-glucani.</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F21517"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6</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Beta-glucani din ovăz și orz</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Consumul de beta-glucani din ovăz sau orz la o masă contribuie la o diminuare a creșterii nivelului de glucoză în sânge după masa respectivă</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conțin cel puțin 4 g de beta-glucani din ovăz sau orz la fiecare 30 g de carbohidrați disponibili într-o porție cuantificată, la o masă. Pentru a putea fi înscrisă, mențiunea trebuie însoțită de o informare a consumatorului cu privire la faptul că efectul benefic se obține în condițiile consumului de beta-glucani din ovăz sau orz în timpul mesei.</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F21517"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7</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Betaină</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Betaina contribuie la metabolismul normal al homocisteinei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conțin cel puțin 500 mg de betaină la o porție cuantificată. Pentru a putea fi înscrisă, mențiunea trebuie însoțită de o informare a consumatorului cu privire la faptul că efectul benefic se obține în condițiile unui consum zilnic de 1,5 g de betaină.</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Pentru a putea fi înscrisă, mențiunea trebuie însoțită de o informare a consumatorului cu privire la faptul că un consum zilnic care depășește 4 g </w:t>
            </w:r>
            <w:r w:rsidRPr="00384D86">
              <w:rPr>
                <w:rFonts w:ascii="Times New Roman" w:eastAsia="Times New Roman" w:hAnsi="Times New Roman" w:cs="Times New Roman"/>
                <w:sz w:val="24"/>
                <w:szCs w:val="24"/>
                <w:lang w:val="ro-RO" w:eastAsia="ru-RU"/>
              </w:rPr>
              <w:lastRenderedPageBreak/>
              <w:t>poate determina o creștere semnificativă a nivelului de colesterol în sânge.</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F21517"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8</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Biotină</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Biotina contribuie la metabolismul energetic normal</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biotină,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F21517"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9</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Biotină</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Biotina contribuie la funcționarea normală a sistemului nervos</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biotină,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F21517"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10</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Biotină</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Biotina contribuie la metabolismul normal al macronutrienților</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biotină,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F21517"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11</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Biotină</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Biotina contribuie la menținerea sănătății psihice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biotină, astfel cum apare în mențiunea SURSĂ DE [DENUMIREA VITAMINEI/VITAMINELOR] ȘI/SAU [DENUMIREA </w:t>
            </w:r>
            <w:r w:rsidRPr="00384D86">
              <w:rPr>
                <w:rFonts w:ascii="Times New Roman" w:eastAsia="Times New Roman" w:hAnsi="Times New Roman" w:cs="Times New Roman"/>
                <w:sz w:val="24"/>
                <w:szCs w:val="24"/>
                <w:lang w:val="ro-RO" w:eastAsia="ru-RU"/>
              </w:rPr>
              <w:lastRenderedPageBreak/>
              <w:t xml:space="preserve">MINERALULUI/MINERALELOR], prevăzută în anexa la </w:t>
            </w:r>
            <w:r w:rsidR="00017D21"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F21517"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12</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Biotină</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Biotina contribuie la menținerea sănătății părului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biotină,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F21517"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13</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Biotină</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Biotina contribuie la menținerea sănătății membranelor mucoase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biotină,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F21517"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14</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Biotină</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Biotina contribuie la menținerea sănătății pielii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biotină,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F21517"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15</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Calciu</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Calciul contribuie la coagularea normală a sângelui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calciu, astfel cum apare în mențiunea SURSĂ DE [DENUMIREA VITAMINEI/VITAMINELOR] ȘI/SAU [DENUMIREA MINERALULUI/MINERALELOR], </w:t>
            </w:r>
            <w:r w:rsidRPr="00384D86">
              <w:rPr>
                <w:rFonts w:ascii="Times New Roman" w:eastAsia="Times New Roman" w:hAnsi="Times New Roman" w:cs="Times New Roman"/>
                <w:sz w:val="24"/>
                <w:szCs w:val="24"/>
                <w:lang w:val="ro-RO" w:eastAsia="ru-RU"/>
              </w:rPr>
              <w:lastRenderedPageBreak/>
              <w:t xml:space="preserve">prevăzută în anexa la </w:t>
            </w:r>
            <w:r w:rsidR="00017D21"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F21517"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16</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Calciu</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Calciul contribuie la metabolismul energetic normal</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calciu,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F21517"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17</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Calciu</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Calciul contribuie la funcționarea normală a sistemului muscular</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calciu,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F21517"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18</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Calciu</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Calciul contribuie la o neurotransmisie normală</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calciu,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F21517"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19</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Calciu</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Calciul contribuie la funcționarea normală a enzimelor digestive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calciu,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 xml:space="preserve">Regulamentul sanitar </w:t>
            </w:r>
            <w:r w:rsidR="00017D21" w:rsidRPr="00384D86">
              <w:rPr>
                <w:rFonts w:ascii="Times New Roman" w:eastAsia="Times New Roman" w:hAnsi="Times New Roman" w:cs="Times New Roman"/>
                <w:sz w:val="24"/>
                <w:szCs w:val="24"/>
                <w:lang w:val="ro-RO" w:eastAsia="ru-RU"/>
              </w:rPr>
              <w:lastRenderedPageBreak/>
              <w:t>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F21517"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20</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Calciu</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Calciul contribuie la procesul de diviziune și de diferențiere celulară</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calciu,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F21517"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21</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Calciu</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Calciul este necesar pentru menținerea sănătății sistemului osos</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calciu,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F21517"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22</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Calciu</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Calciul este necesar pentru menținerea sănătății dinților</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calciu,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F21517"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23</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Soluții carbohidrați – electroliți</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Soluțiile carbohidrați – electroliți contribuie la menținerea rezistenței la efort în timpul exercițiilor fizice prelungite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ind w:right="195"/>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Pentru ca mențiunea să poată fi înscrisă pe acestea, soluțiile carbohidrați-electroliți trebuie să conțină 80-350 kcal/L provenind din carbohidrați, iar cel puțin 75 % din energie trebuie să provină din carbohidrați care determină un răspuns glicemic rapid, precum glucoza, polimerii de glucoză și zaharoza. În plus, aceste băuturi trebuie să conțină sodiu între 20 mmol/L (460 mg/L) </w:t>
            </w:r>
            <w:r w:rsidRPr="00384D86">
              <w:rPr>
                <w:rFonts w:ascii="Times New Roman" w:eastAsia="Times New Roman" w:hAnsi="Times New Roman" w:cs="Times New Roman"/>
                <w:sz w:val="24"/>
                <w:szCs w:val="24"/>
                <w:lang w:val="ro-RO" w:eastAsia="ru-RU"/>
              </w:rPr>
              <w:lastRenderedPageBreak/>
              <w:t>și 50 mmol/L (1 150 mg/L) și să aibă o osmolalitate între 200-330 mOsm/kg apă.</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F21517"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24</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Soluții carbohidrați – electroliți</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Soluțiile carbohidrați –electroliți cresc absorbția de apă în timpul exercițiilor fizice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ind w:right="195"/>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Pentru ca mențiunea să poată fi înscrisă pe acestea, soluțiile carbohidrați-electroliți trebuie să conțină 80-350 kcal/L provenind din carbohidrați, iar cel puțin 75 % din energie trebuie să provină din carbohidrați care determină un răspuns glicemic rapid, precum glucoza, polimerii de glucoză și zaharoza. În plus, aceste băuturi trebuie să conțină sodiu între 20 mmol/L (460 mg/L) și 50 mmol/L (1 150 mg/L) și să aibă o osmolalitate între 200-330 mOsm/kg apă.</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F21517"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25</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Chitosan</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Chitosanul contribuie la menținerea concentrațiilor normale ale colesterolului din sânge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asigură un aport zilnic de 3 g de chitosan. Pentru a putea fi înscrisă, mențiunea trebuie însoțită de o informare a consumatorului cu privire la faptul că efectul benefic se obține în condițiile unui consum zilnic de 3 g de chitosan.</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F21517"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26</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Clorură</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Clorura contribuie la digestia normală, prin producerea de acid clorhidric în stomac</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clorură,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nu poate fi utilizată pentru clorura a cărei sursă este clorura de sodiu</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F21517"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27</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Colină</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Colina contribuie la metabolismul normal al homocisteinei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conțin cel puțin 82,5 mg de colină la 100 g sau 100 ml sau la o singură porție de produs alimentar.</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F21517"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28</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Colină</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Colina contribuie la metabolismul normal al lipidelor</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conțin cel puțin 82,5 mg de colină la 100 g sau 100 ml sau la o singură porție de produs alimentar.</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F21517"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29</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Colină</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Colina contribuie la menținerea funcției normale a </w:t>
            </w:r>
            <w:r w:rsidRPr="00384D86">
              <w:rPr>
                <w:rFonts w:ascii="Times New Roman" w:eastAsia="Times New Roman" w:hAnsi="Times New Roman" w:cs="Times New Roman"/>
                <w:sz w:val="24"/>
                <w:szCs w:val="24"/>
                <w:lang w:val="ro-RO" w:eastAsia="ru-RU"/>
              </w:rPr>
              <w:lastRenderedPageBreak/>
              <w:t>ficatului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Mențiunea poate fi utilizată doar pentru produsele alimentare care conțin cel puțin 82,5 mg de colină la 100 g sau 100 ml sau la </w:t>
            </w:r>
            <w:r w:rsidRPr="00384D86">
              <w:rPr>
                <w:rFonts w:ascii="Times New Roman" w:eastAsia="Times New Roman" w:hAnsi="Times New Roman" w:cs="Times New Roman"/>
                <w:sz w:val="24"/>
                <w:szCs w:val="24"/>
                <w:lang w:val="ro-RO" w:eastAsia="ru-RU"/>
              </w:rPr>
              <w:lastRenderedPageBreak/>
              <w:t>o singură porție de produs alimentar.</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F21517"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30</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Crom</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Cromul contribuie la metabolismul normal al macronutrienților</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crom trivalent,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F21517"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31</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Crom</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Cromul contribuie la menținerea concentrațiilor normale ale glucozei din sânge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crom trivalent,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F21517"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32</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Cupru</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Cuprul contribuie la menținerea sănătății țesuturilor conjunctive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cupru,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F21517"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33</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Cupru</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Cuprul contribuie la metabolismul energetic normal</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cupru,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F21517"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34</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Cupru</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Cuprul contribuie la funcționarea normală a sistemului nervos</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cupru,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F21517"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35</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Cupru</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Cuprul contribuie la pigmentarea normală a părului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cupru,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F21517"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36</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Cupru</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Cuprul contribuie la transportul normal al fierului în corp</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cupru,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F21517"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37</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Cupru</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Cuprul contribuie la pigmentarea normală a pielii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cupru,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F21517"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38</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Cupru</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Cuprul contribuie </w:t>
            </w:r>
            <w:r w:rsidRPr="00384D86">
              <w:rPr>
                <w:rFonts w:ascii="Times New Roman" w:eastAsia="Times New Roman" w:hAnsi="Times New Roman" w:cs="Times New Roman"/>
                <w:sz w:val="24"/>
                <w:szCs w:val="24"/>
                <w:lang w:val="ro-RO" w:eastAsia="ru-RU"/>
              </w:rPr>
              <w:lastRenderedPageBreak/>
              <w:t>la funcționarea normală a sistemului imunitar</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Mențiunea poate fi utilizată doar pentru </w:t>
            </w:r>
            <w:r w:rsidRPr="00384D86">
              <w:rPr>
                <w:rFonts w:ascii="Times New Roman" w:eastAsia="Times New Roman" w:hAnsi="Times New Roman" w:cs="Times New Roman"/>
                <w:sz w:val="24"/>
                <w:szCs w:val="24"/>
                <w:lang w:val="ro-RO" w:eastAsia="ru-RU"/>
              </w:rPr>
              <w:lastRenderedPageBreak/>
              <w:t xml:space="preserve">produsele alimentare care sunt cel puțin o sursă de cupru,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F21517"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39</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Cupru</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Cuprul contribuie la protejarea constituenților celulari împotriva stresului oxidativ</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cupru, astfel cum apare în mențiunea SURSĂ DE [DENUMIREA VITAMINEI/VITAMINELOR] ȘI/SAU [DENUMIREA MINERALULUI/MINERALELOR], prevăzută în anexa la </w:t>
            </w:r>
            <w:r w:rsidR="00017D21"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F21517"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40</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Creatină</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Creatina crește performanța fizică în eforturi succesive din timpul exercițiilor fizice de scurtă durată și de mare intensitate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asigură un aport zilnic de 3 g de creatină. Pentru a putea fi înscrisă, mențiunea trebuie însoțită de o informare a consumatorului cu privire la faptul că efectul benefic se obține în condițiile unui consum zilnic de 3 g de creatină.</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destinate adulților care efectuează exerciții fizice de mare intensitate</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F21517"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41</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Acid docosahexaenoic</w:t>
            </w:r>
          </w:p>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(DHA)</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DHA contribuie la menținerea funcției normale a creierului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conțin cel puțin 40 mg de DHA la 100 g și 100 kcal. Pentru a putea fi înscrisă, mențiunea trebuie însoțită de o informare a consumatorului cu privire la faptul că efectul benefic se obține în condițiile unui consum zilnic de 250 mg de DHA.</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F21517"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42</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Acid docosahexaenoic</w:t>
            </w:r>
          </w:p>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(DHA)</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DHA contribuie la menținerea vederii normale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conțin cel puțin 40 mg de DHA la 100 g și 100 kcal. Pentru a putea fi înscrisă, mențiunea trebuie însoțită de o informare a consumatorului cu privire la faptul că efectul benefic se obține în condițiile unui consum zilnic de 250 mg de DHA.</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F21517"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43</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Acid eicosapentaenoic și acid docosahexaenoic</w:t>
            </w:r>
          </w:p>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(EPA/DHA)</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EPA și DHA contribuie la funcția normală a inimii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sunt cel puțin o sursă de EPA și DHA, astfel cum apare în mențiunea SURSĂ DE ACIZI GRAȘI OMEGA 3, prevăzută în anexa la Regulamentul (CE) nr. 1924/2006. Pentru a putea fi înscrisă, mențiunea trebuie însoțită de o informare a consumatorului cu privire la faptul că efectul benefic se obține în condițiile unui consum zilnic de 250 mg de EPA și DHA.</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44</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Fluorură</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Fluorura contribuie la menținerea mineralizării dinților</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fluorură, astfel cum apare în mențiunea SURSĂ DE [DENUMIREA VITAMINEI/VITAMINELOR] ȘI/SAU [DENUMIREA MINERALULUI/MINERALELOR], prevăzută în anexa la </w:t>
            </w:r>
            <w:r w:rsidR="00F36335"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45</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Folat</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Folatul contribuie la creșterea țesutului matern în timpul sarcinii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folat, astfel cum apare în mențiunea SURSĂ DE [DENUMIREA VITAMINEI/VITAMINELOR] ȘI/SAU [DENUMIREA MINERALULUI/MINERALELOR], prevăzută în anexa la </w:t>
            </w:r>
            <w:r w:rsidR="00F36335"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46</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Folat</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Folatul contribuie la sinteza normală a aminoacizilor</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folat, astfel cum apare în mențiunea SURSĂ DE [DENUMIREA VITAMINEI/VITAMINELOR] ȘI/SAU [DENUMIREA MINERALULUI/MINERALELOR], prevăzută în anexa la </w:t>
            </w:r>
            <w:r w:rsidR="00F36335"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47</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Folat</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Folatul contribuie </w:t>
            </w:r>
            <w:r w:rsidRPr="00384D86">
              <w:rPr>
                <w:rFonts w:ascii="Times New Roman" w:eastAsia="Times New Roman" w:hAnsi="Times New Roman" w:cs="Times New Roman"/>
                <w:sz w:val="24"/>
                <w:szCs w:val="24"/>
                <w:lang w:val="ro-RO" w:eastAsia="ru-RU"/>
              </w:rPr>
              <w:lastRenderedPageBreak/>
              <w:t>la buna funcționare a hematopoiezei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Mențiunea poate fi utilizată doar pentru </w:t>
            </w:r>
            <w:r w:rsidRPr="00384D86">
              <w:rPr>
                <w:rFonts w:ascii="Times New Roman" w:eastAsia="Times New Roman" w:hAnsi="Times New Roman" w:cs="Times New Roman"/>
                <w:sz w:val="24"/>
                <w:szCs w:val="24"/>
                <w:lang w:val="ro-RO" w:eastAsia="ru-RU"/>
              </w:rPr>
              <w:lastRenderedPageBreak/>
              <w:t xml:space="preserve">produsele alimentare care sunt cel puțin o sursă de folat, astfel cum apare în mențiunea SURSĂ DE [DENUMIREA VITAMINEI/VITAMINELOR] ȘI/SAU [DENUMIREA MINERALULUI/MINERALELOR], prevăzută în anexa la </w:t>
            </w:r>
            <w:r w:rsidR="00F36335"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48</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Folat</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Folatul contribuie la metabolismul normal al homocisteinei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folat, astfel cum apare în mențiunea SURSĂ DE [DENUMIREA VITAMINEI/VITAMINELOR] ȘI/SAU [DENUMIREA MINERALULUI/MINERALELOR], prevăzută în anexa la </w:t>
            </w:r>
            <w:r w:rsidR="00F36335"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49</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Folat</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Folatul contribuie la menținerea sănătății psihice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folat, astfel cum apare în mențiunea SURSĂ DE [DENUMIREA VITAMINEI/VITAMINELOR] ȘI/SAU [DENUMIREA MINERALULUI/MINERALELOR], prevăzută în anexa la </w:t>
            </w:r>
            <w:r w:rsidR="00F36335"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50</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Folat</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Folatul contribuie la funcționarea normală a sistemului imunitar</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folat, astfel cum apare în mențiunea SURSĂ DE [DENUMIREA VITAMINEI/VITAMINELOR] ȘI/SAU [DENUMIREA MINERALULUI/MINERALELOR], prevăzută în anexa la </w:t>
            </w:r>
            <w:r w:rsidR="00F36335"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51</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Folat</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Folatul contribuie la reducerea </w:t>
            </w:r>
            <w:r w:rsidRPr="00384D86">
              <w:rPr>
                <w:rFonts w:ascii="Times New Roman" w:eastAsia="Times New Roman" w:hAnsi="Times New Roman" w:cs="Times New Roman"/>
                <w:sz w:val="24"/>
                <w:szCs w:val="24"/>
                <w:lang w:val="ro-RO" w:eastAsia="ru-RU"/>
              </w:rPr>
              <w:lastRenderedPageBreak/>
              <w:t>oboselii și extenuării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Mențiunea poate fi utilizată doar pentru produsele alimentare care sunt cel puțin o </w:t>
            </w:r>
            <w:r w:rsidRPr="00384D86">
              <w:rPr>
                <w:rFonts w:ascii="Times New Roman" w:eastAsia="Times New Roman" w:hAnsi="Times New Roman" w:cs="Times New Roman"/>
                <w:sz w:val="24"/>
                <w:szCs w:val="24"/>
                <w:lang w:val="ro-RO" w:eastAsia="ru-RU"/>
              </w:rPr>
              <w:lastRenderedPageBreak/>
              <w:t xml:space="preserve">sursă de folat, astfel cum apare în mențiunea SURSĂ DE [DENUMIREA VITAMINEI/VITAMINELOR] ȘI/SAU [DENUMIREA MINERALULUI/MINERALELOR], prevăzută în anexa la </w:t>
            </w:r>
            <w:r w:rsidR="00F36335"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52</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Folat</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Folatul contribuie la procesul de diviziune celulară</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folat, astfel cum apare în mențiunea SURSĂ DE [DENUMIREA VITAMINEI/VITAMINELOR] ȘI/SAU [DENUMIREA MINERALULUI/MINERALELOR], prevăzută în anexa la </w:t>
            </w:r>
            <w:r w:rsidR="00F36335"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53</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Produse alimentare cu conținut scăzut sau redus de acizi grași saturați</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Reducerea consumului de grăsimi saturate contribuie la menținerea concentrațiilor normale ale colesterolului din sânge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având cel puțin un conținut scăzut de acizi grași saturați, astfel cum apare în mențiunea CONȚINUT SCĂZUT DE GRĂSIMI SATURATE sau având un conținut redus de acizi grași saturați, astfel cum apare în mențiunea CONȚINUT REDUS DE [DENUMIREA NUTRIENTULUI], prevăzută în anexa la </w:t>
            </w:r>
            <w:r w:rsidR="00F36335"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54</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Produse alimentare cu conținut scăzut sau redus de sodiu</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Reducerea consumului de sodiu contribuie la menținerea tensiunii arteriale normale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având cel puțin un conținut scăzut de sodiu/sare, astfel cum apare în mențiunea CONȚINUT SCĂZUT DE SODIU/SARE sau având un conținut redus de sodiu/sare, astfel cum apare în mențiunea CONȚINUT REDUS DE [DENUMIREA NUTRIENTULUI], prevăzută în anexa la </w:t>
            </w:r>
            <w:r w:rsidR="00F36335"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55</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Glucomanan</w:t>
            </w:r>
          </w:p>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(konjac mannan)</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Glucomananul contribuie la menținerea concentrațiilor normale ale colesterolului din sânge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asigură un aport zilnic de 4 g de glucomanan. Pentru a putea fi înscrisă, mențiunea trebuie însoțită de o informare a consumatorului cu privire la faptul că efectul benefic se obține în condițiile unui consum zilnic de 4 g de glucomanan.</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Trebuie să se prevadă un avertisment privind riscul de sufocare pentru persoanele cu dificultăți la înghițire sau în cazul ingerării substanței cu un aport inadecvat de lichid</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32"/>
              <w:gridCol w:w="1396"/>
            </w:tblGrid>
            <w:tr w:rsidR="00627A3C" w:rsidRPr="00384D86" w:rsidTr="00627A3C">
              <w:tc>
                <w:tcPr>
                  <w:tcW w:w="3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w:t>
                  </w:r>
                </w:p>
              </w:tc>
              <w:tc>
                <w:tcPr>
                  <w:tcW w:w="99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se recomandă ingerarea cu multă apă, pentru a asigura ajungerea substanței în stomac.</w:t>
                  </w:r>
                </w:p>
              </w:tc>
            </w:tr>
          </w:tbl>
          <w:p w:rsidR="00627A3C" w:rsidRPr="00384D86" w:rsidRDefault="00627A3C" w:rsidP="00384D86">
            <w:pPr>
              <w:spacing w:after="0" w:line="276" w:lineRule="auto"/>
              <w:rPr>
                <w:rFonts w:ascii="Times New Roman" w:eastAsia="Times New Roman" w:hAnsi="Times New Roman" w:cs="Times New Roman"/>
                <w:sz w:val="24"/>
                <w:szCs w:val="24"/>
                <w:lang w:val="ro-RO" w:eastAsia="ru-RU"/>
              </w:rPr>
            </w:pP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56</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Glucomananul</w:t>
            </w:r>
          </w:p>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(konjac mannan)</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În condițiile unei diete hipocalorice, glucomananul contribuie la scăderea în greutate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conțin 1 g de glucomanan la o porție cuantificată. Pentru a putea fi înscrisă, mențiunea trebuie însoțită de o informare a consumatorului cu privire la faptul că efectul benefic se obține în condițiile unui consum zilnic de 3 g de glucomanan în trei doze a câte 1 g, luate împreună cu 1-2 pahare de apă, înaintea meselor și în condițiile unei diete hipocalorice.</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Trebuie să se prevadă un avertisment privind riscul de sufocare pentru persoanele cu dificultăți la înghițire sau în cazul ingerării substanței cu un aport inadecvat de lichid</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32"/>
              <w:gridCol w:w="1396"/>
            </w:tblGrid>
            <w:tr w:rsidR="00627A3C" w:rsidRPr="00384D86" w:rsidTr="00627A3C">
              <w:tc>
                <w:tcPr>
                  <w:tcW w:w="3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w:t>
                  </w:r>
                </w:p>
              </w:tc>
              <w:tc>
                <w:tcPr>
                  <w:tcW w:w="99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se recomandă ingerarea cu multă apă, pentru a asigura ajungerea substanței în stomac.</w:t>
                  </w:r>
                </w:p>
              </w:tc>
            </w:tr>
          </w:tbl>
          <w:p w:rsidR="00627A3C" w:rsidRPr="00384D86" w:rsidRDefault="00627A3C" w:rsidP="00384D86">
            <w:pPr>
              <w:spacing w:after="0" w:line="276" w:lineRule="auto"/>
              <w:rPr>
                <w:rFonts w:ascii="Times New Roman" w:eastAsia="Times New Roman" w:hAnsi="Times New Roman" w:cs="Times New Roman"/>
                <w:sz w:val="24"/>
                <w:szCs w:val="24"/>
                <w:lang w:val="ro-RO" w:eastAsia="ru-RU"/>
              </w:rPr>
            </w:pP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57</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Gumă de Guar</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Guma de Guar contribuie la menținerea </w:t>
            </w:r>
            <w:r w:rsidRPr="00384D86">
              <w:rPr>
                <w:rFonts w:ascii="Times New Roman" w:eastAsia="Times New Roman" w:hAnsi="Times New Roman" w:cs="Times New Roman"/>
                <w:sz w:val="24"/>
                <w:szCs w:val="24"/>
                <w:lang w:val="ro-RO" w:eastAsia="ru-RU"/>
              </w:rPr>
              <w:lastRenderedPageBreak/>
              <w:t>concentrațiilor normale ale colesterolului din sânge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Mențiunea poate fi utilizată doar pentru produsele alimentare care asigură un aport zilnic de 10 g de gumă de Guar. Pentru a </w:t>
            </w:r>
            <w:r w:rsidRPr="00384D86">
              <w:rPr>
                <w:rFonts w:ascii="Times New Roman" w:eastAsia="Times New Roman" w:hAnsi="Times New Roman" w:cs="Times New Roman"/>
                <w:sz w:val="24"/>
                <w:szCs w:val="24"/>
                <w:lang w:val="ro-RO" w:eastAsia="ru-RU"/>
              </w:rPr>
              <w:lastRenderedPageBreak/>
              <w:t>putea fi înscrisă, mențiunea trebuie însoțită de o informare a consumatorului cu privire la faptul că efectul benefic se obține în condițiile unui consum zilnic de 10 g de gumă de Guar.</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Trebuie să se prevadă un avertisment </w:t>
            </w:r>
            <w:r w:rsidRPr="00384D86">
              <w:rPr>
                <w:rFonts w:ascii="Times New Roman" w:eastAsia="Times New Roman" w:hAnsi="Times New Roman" w:cs="Times New Roman"/>
                <w:sz w:val="24"/>
                <w:szCs w:val="24"/>
                <w:lang w:val="ro-RO" w:eastAsia="ru-RU"/>
              </w:rPr>
              <w:lastRenderedPageBreak/>
              <w:t>privind riscul de sufocare pentru persoanele cu dificultăți la înghițire sau în cazul ingerării substanței cu un aport inadecvat de lichid</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32"/>
              <w:gridCol w:w="1396"/>
            </w:tblGrid>
            <w:tr w:rsidR="00627A3C" w:rsidRPr="00384D86" w:rsidTr="00627A3C">
              <w:tc>
                <w:tcPr>
                  <w:tcW w:w="3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w:t>
                  </w:r>
                </w:p>
              </w:tc>
              <w:tc>
                <w:tcPr>
                  <w:tcW w:w="99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se recomandă ingerarea cu multă apă, pentru a asigura ajungerea substanței în stomac.</w:t>
                  </w:r>
                </w:p>
              </w:tc>
            </w:tr>
          </w:tbl>
          <w:p w:rsidR="00627A3C" w:rsidRPr="00384D86" w:rsidRDefault="00627A3C" w:rsidP="00384D86">
            <w:pPr>
              <w:spacing w:after="0" w:line="276" w:lineRule="auto"/>
              <w:rPr>
                <w:rFonts w:ascii="Times New Roman" w:eastAsia="Times New Roman" w:hAnsi="Times New Roman" w:cs="Times New Roman"/>
                <w:sz w:val="24"/>
                <w:szCs w:val="24"/>
                <w:lang w:val="ro-RO" w:eastAsia="ru-RU"/>
              </w:rPr>
            </w:pP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58</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Hidroxipropil metilceluloză</w:t>
            </w:r>
          </w:p>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(HPMC)</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Consumul de hidroxipropil metilceluloză în timpul mesei contribuie la o diminuare a creșterii nivelului de glucoză din sânge după masa respectivă</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conțin 4 g de HPMC la o porție cuantificată la o masă. Pentru a putea fi înscrisă, mențiunea trebuie însoțită de o informare a consumatorului cu privire la faptul că efectul benefic se obține în condițiile unui consum de 4 g de HPMC în timpul unei mese.</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Trebuie să se prevadă un avertisment privind riscul de sufocare pentru persoanele cu dificultăți la înghițire sau în cazul ingerării substanței cu un aport inadecvat de lichid</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32"/>
              <w:gridCol w:w="1396"/>
            </w:tblGrid>
            <w:tr w:rsidR="00627A3C" w:rsidRPr="00384D86" w:rsidTr="00627A3C">
              <w:tc>
                <w:tcPr>
                  <w:tcW w:w="3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w:t>
                  </w:r>
                </w:p>
              </w:tc>
              <w:tc>
                <w:tcPr>
                  <w:tcW w:w="99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se recomandă ingerarea cu multă apă, pentru a asigura ajungerea substanței în stomac.</w:t>
                  </w:r>
                </w:p>
              </w:tc>
            </w:tr>
          </w:tbl>
          <w:p w:rsidR="00627A3C" w:rsidRPr="00384D86" w:rsidRDefault="00627A3C" w:rsidP="00384D86">
            <w:pPr>
              <w:spacing w:after="0" w:line="276" w:lineRule="auto"/>
              <w:rPr>
                <w:rFonts w:ascii="Times New Roman" w:eastAsia="Times New Roman" w:hAnsi="Times New Roman" w:cs="Times New Roman"/>
                <w:sz w:val="24"/>
                <w:szCs w:val="24"/>
                <w:lang w:val="ro-RO" w:eastAsia="ru-RU"/>
              </w:rPr>
            </w:pP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59</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Hidroxipropil metilceluloză</w:t>
            </w:r>
          </w:p>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(HPMC)</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Hidroxipropil metilceluloza contribuie la menținerea concentrațiilor normale ale </w:t>
            </w:r>
            <w:r w:rsidRPr="00384D86">
              <w:rPr>
                <w:rFonts w:ascii="Times New Roman" w:eastAsia="Times New Roman" w:hAnsi="Times New Roman" w:cs="Times New Roman"/>
                <w:sz w:val="24"/>
                <w:szCs w:val="24"/>
                <w:lang w:val="ro-RO" w:eastAsia="ru-RU"/>
              </w:rPr>
              <w:lastRenderedPageBreak/>
              <w:t>colesterolului din sânge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Mențiunea poate fi utilizată doar pentru produsele alimentare care asigură un aport zilnic de 5 g de HPMC. Pentru a putea fi înscrisă, mențiunea trebuie însoțită de o informare a consumatorului cu privire la faptul că efectul benefic se obține în </w:t>
            </w:r>
            <w:r w:rsidRPr="00384D86">
              <w:rPr>
                <w:rFonts w:ascii="Times New Roman" w:eastAsia="Times New Roman" w:hAnsi="Times New Roman" w:cs="Times New Roman"/>
                <w:sz w:val="24"/>
                <w:szCs w:val="24"/>
                <w:lang w:val="ro-RO" w:eastAsia="ru-RU"/>
              </w:rPr>
              <w:lastRenderedPageBreak/>
              <w:t>condițiile unui consum zilnic de 5 g de HPMC.</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Trebuie să se prevadă un avertisment privind riscul de sufocare pentru persoanele cu </w:t>
            </w:r>
            <w:r w:rsidRPr="00384D86">
              <w:rPr>
                <w:rFonts w:ascii="Times New Roman" w:eastAsia="Times New Roman" w:hAnsi="Times New Roman" w:cs="Times New Roman"/>
                <w:sz w:val="24"/>
                <w:szCs w:val="24"/>
                <w:lang w:val="ro-RO" w:eastAsia="ru-RU"/>
              </w:rPr>
              <w:lastRenderedPageBreak/>
              <w:t>dificultăți la înghițire sau în cazul ingerării substanței cu un aport inadecvat de lichid</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32"/>
              <w:gridCol w:w="1396"/>
            </w:tblGrid>
            <w:tr w:rsidR="00627A3C" w:rsidRPr="00384D86" w:rsidTr="00627A3C">
              <w:tc>
                <w:tcPr>
                  <w:tcW w:w="3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w:t>
                  </w:r>
                </w:p>
              </w:tc>
              <w:tc>
                <w:tcPr>
                  <w:tcW w:w="99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se recomandă ingerarea cu multă apă, pentru a asigura ajungerea substanței în stomac.</w:t>
                  </w:r>
                </w:p>
              </w:tc>
            </w:tr>
          </w:tbl>
          <w:p w:rsidR="00627A3C" w:rsidRPr="00384D86" w:rsidRDefault="00627A3C" w:rsidP="00384D86">
            <w:pPr>
              <w:spacing w:after="0" w:line="276" w:lineRule="auto"/>
              <w:rPr>
                <w:rFonts w:ascii="Times New Roman" w:eastAsia="Times New Roman" w:hAnsi="Times New Roman" w:cs="Times New Roman"/>
                <w:sz w:val="24"/>
                <w:szCs w:val="24"/>
                <w:lang w:val="ro-RO" w:eastAsia="ru-RU"/>
              </w:rPr>
            </w:pP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60</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Iod</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Iodul contribuie la funcția cognitivă normală</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iod, astfel cum apare în mențiunea SURSĂ DE [DENUMIREA VITAMINEI/VITAMINELOR] ȘI/SAU [DENUMIREA MINERALULUI/MINERALELOR], prevăzută în anexa la </w:t>
            </w:r>
            <w:r w:rsidR="00F36335"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61</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Iod</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Iodul contribuie la metabolismul energetic normal</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iod, astfel cum apare în mențiunea SURSĂ DE [DENUMIREA VITAMINEI/VITAMINELOR] ȘI/SAU [DENUMIREA MINERALULUI/MINERALELOR], prevăzută în anexa la </w:t>
            </w:r>
            <w:r w:rsidR="00F36335"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62</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Iod</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Iodul contribuie la funcționarea normală a sistemului nervos</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iod, astfel cum apare în mențiunea SURSĂ DE [DENUMIREA VITAMINEI/VITAMINELOR] ȘI/SAU [DENUMIREA MINERALULUI/MINERALELOR], prevăzută în anexa la </w:t>
            </w:r>
            <w:r w:rsidR="00F36335" w:rsidRPr="00384D86">
              <w:rPr>
                <w:rFonts w:ascii="Times New Roman" w:eastAsia="Times New Roman" w:hAnsi="Times New Roman" w:cs="Times New Roman"/>
                <w:sz w:val="24"/>
                <w:szCs w:val="24"/>
                <w:lang w:val="ro-RO" w:eastAsia="ru-RU"/>
              </w:rPr>
              <w:t xml:space="preserve">Regulamentul sanitar </w:t>
            </w:r>
            <w:r w:rsidR="00F36335" w:rsidRPr="00384D86">
              <w:rPr>
                <w:rFonts w:ascii="Times New Roman" w:eastAsia="Times New Roman" w:hAnsi="Times New Roman" w:cs="Times New Roman"/>
                <w:sz w:val="24"/>
                <w:szCs w:val="24"/>
                <w:lang w:val="ro-RO" w:eastAsia="ru-RU"/>
              </w:rPr>
              <w:lastRenderedPageBreak/>
              <w:t>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63</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Iod</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Iodul contribuie la menținerea sănătății pielii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iod,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64</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Iod</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Iodul contribuie la producția normală de hormoni tiroidieni și la funcționarea normală a glandei tiroide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iod,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65</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Fier</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Fierul contribuie la funcția cognitivă normală</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fier,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66</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Fier</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Fierul contribuie la metabolismul energetic normal</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fier,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w:t>
            </w:r>
            <w:r w:rsidR="00EF64A4" w:rsidRPr="00384D86">
              <w:rPr>
                <w:rFonts w:ascii="Times New Roman" w:eastAsia="Times New Roman" w:hAnsi="Times New Roman" w:cs="Times New Roman"/>
                <w:sz w:val="24"/>
                <w:szCs w:val="24"/>
                <w:lang w:val="ro-RO" w:eastAsia="ru-RU"/>
              </w:rPr>
              <w:lastRenderedPageBreak/>
              <w:t>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67</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Fier</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Fierul contribuie la formarea normală a globulelor roșii și a hemoglobinei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fier,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68</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Fier</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Fierul contribuie la transportul normal al oxigenului în corp</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fier,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69</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Fier</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Fierul contribuie la funcționarea normală a sistemului imunitar</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fier,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70</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Fier</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Fierul contribuie la reducerea oboselii și extenuării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fier,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înscrise pe produsele alimentare, aprobat prin </w:t>
            </w:r>
            <w:r w:rsidR="00EF64A4" w:rsidRPr="00384D86">
              <w:rPr>
                <w:rFonts w:ascii="Times New Roman" w:eastAsia="Times New Roman" w:hAnsi="Times New Roman" w:cs="Times New Roman"/>
                <w:sz w:val="24"/>
                <w:szCs w:val="24"/>
                <w:lang w:val="ro-RO" w:eastAsia="ru-RU"/>
              </w:rPr>
              <w:lastRenderedPageBreak/>
              <w:t>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71</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Fier</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Fierul contribuie la procesul de diviziune celulară</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fier,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72</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Enzima lactază</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Enzima lactază îmbunătățește digestia lactozei la persoanele care au dificultăți în ceea ce privește digerarea lactozei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ind w:right="195"/>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suplimentele alimentare, cu o doză minimă de 4 500 unități FCC (Food Chemicals Codex – Codexul substanțelor chimice din produsele alimentare), cu instrucțiuni pentru persoanele vizate privind consumul la fiecare masă care conține lactoză.</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Persoanele vizate trebuie informate, de asemenea, că toleranța la lactoză este variabilă și că trebuie să solicite recomandări în ceea ce privește rolul acestei substanțe în dieta lor.</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73</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Lactuloză</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Lactuloza contribuie la accelerarea tranzitului intestinal</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conțin 10 g de lactuloză într-o singură porție cuantificată. Pentru a putea fi înscrisă, mențiunea trebuie însoțită de o informare a consumatorului cu privire la faptul că efectul benefic se obține în condițiile consumului unei doze unice de 10 g de lactuloză pe zi.</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74</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Acid linoleic</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Acidul linoleic contribuie la menținerea concentrațiilor normale ale colesterolului din sânge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conțin cel puțin 1,5 g de acid linoleic (AL) la 100 g și 100 kcal.</w:t>
            </w:r>
          </w:p>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Consumatorul trebuie informat cu privire la faptul că efectul benefic se obține în condițiile unui consum zilnic de 10 g de AL.</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75</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Culturi vii din iaurt</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Culturile vii din iaurt sau lapte fermentat facilitează digestia lactozei din produsele </w:t>
            </w:r>
            <w:r w:rsidRPr="00384D86">
              <w:rPr>
                <w:rFonts w:ascii="Times New Roman" w:eastAsia="Times New Roman" w:hAnsi="Times New Roman" w:cs="Times New Roman"/>
                <w:sz w:val="24"/>
                <w:szCs w:val="24"/>
                <w:lang w:val="ro-RO" w:eastAsia="ru-RU"/>
              </w:rPr>
              <w:lastRenderedPageBreak/>
              <w:t>alimentare la persoanele care au dificultăți în ceea ce privește digerarea lactozei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after="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Pentru ca mențiunea să poată fi înscrisă pe acestea, iaurtul sau laptele fermentat trebuie să conțină cel puțin 10</w:t>
            </w:r>
            <w:r w:rsidRPr="00384D86">
              <w:rPr>
                <w:rFonts w:ascii="Times New Roman" w:eastAsia="Times New Roman" w:hAnsi="Times New Roman" w:cs="Times New Roman"/>
                <w:sz w:val="24"/>
                <w:szCs w:val="24"/>
                <w:bdr w:val="none" w:sz="0" w:space="0" w:color="auto" w:frame="1"/>
                <w:vertAlign w:val="superscript"/>
                <w:lang w:val="ro-RO" w:eastAsia="ru-RU"/>
              </w:rPr>
              <w:t>8</w:t>
            </w:r>
            <w:r w:rsidRPr="00384D86">
              <w:rPr>
                <w:rFonts w:ascii="Times New Roman" w:eastAsia="Times New Roman" w:hAnsi="Times New Roman" w:cs="Times New Roman"/>
                <w:sz w:val="24"/>
                <w:szCs w:val="24"/>
                <w:lang w:val="ro-RO" w:eastAsia="ru-RU"/>
              </w:rPr>
              <w:t> unități formatoare de colonii de microorganisme vii (Lactobacillus delbrueckii subsp. bulgaricus și Streptococcus thermophilus) per gram.</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76</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Magneziu</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Magneziul contribuie la reducerea oboselii și extenuării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magneziu,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77</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Magneziu</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Magneziul contribuie la echilibrul electrolitic</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magneziu,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78</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Magneziu</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Magneziul contribuie la metabolismul energetic normal</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magneziu,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79</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Magneziu</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Magneziul contribuie la funcționarea normală a sistemului nervos</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magneziu, astfel cum apare în mențiunea SURSĂ DE [DENUMIREA VITAMINEI/VITAMINELOR] ȘI/SAU [DENUMIREA MINERALULUI/MINERALELOR], </w:t>
            </w:r>
            <w:r w:rsidRPr="00384D86">
              <w:rPr>
                <w:rFonts w:ascii="Times New Roman" w:eastAsia="Times New Roman" w:hAnsi="Times New Roman" w:cs="Times New Roman"/>
                <w:sz w:val="24"/>
                <w:szCs w:val="24"/>
                <w:lang w:val="ro-RO" w:eastAsia="ru-RU"/>
              </w:rPr>
              <w:lastRenderedPageBreak/>
              <w:t xml:space="preserve">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80</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Magneziu</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Magneziul contribuie la funcționarea normală a sistemului muscular</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magneziu,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81</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Magneziu</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Magneziul contribuie la sinteza normală a proteinelor</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magneziu,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82</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Magneziu</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Magneziul contribuie la menținerea sănătății psihice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magneziu,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83</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Magneziu</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Magneziul contribuie la menținerea sănătății sistemului osos</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magneziu,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w:t>
            </w:r>
            <w:r w:rsidR="00EF64A4" w:rsidRPr="00384D86">
              <w:rPr>
                <w:rFonts w:ascii="Times New Roman" w:eastAsia="Times New Roman" w:hAnsi="Times New Roman" w:cs="Times New Roman"/>
                <w:sz w:val="24"/>
                <w:szCs w:val="24"/>
                <w:lang w:val="ro-RO" w:eastAsia="ru-RU"/>
              </w:rPr>
              <w:lastRenderedPageBreak/>
              <w:t>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84</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Magneziu</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Magneziul contribuie la menținerea sănătății dinților</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magneziu,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85</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Magneziu</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Magneziul contribuie la procesul de diviziune celulară</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magneziu,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86</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Mangan</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Manganul contribuie la metabolismul energetic normal</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mangan,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87</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Mangan</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Manganul contribuie la menținerea sănătății sistemului osos</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mangan,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w:t>
            </w:r>
            <w:r w:rsidR="00EF64A4" w:rsidRPr="00384D86">
              <w:rPr>
                <w:rFonts w:ascii="Times New Roman" w:eastAsia="Times New Roman" w:hAnsi="Times New Roman" w:cs="Times New Roman"/>
                <w:sz w:val="24"/>
                <w:szCs w:val="24"/>
                <w:lang w:val="ro-RO" w:eastAsia="ru-RU"/>
              </w:rPr>
              <w:lastRenderedPageBreak/>
              <w:t>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88</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Mangan</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Manganul contribuie la formarea normală a țesuturilor conjunctive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mangan,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89</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Mangan</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Manganul contribuie la protejarea celulelor împotriva stresului oxidativ</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mangan,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90</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Înlocuitor al unei mese pentru controlul greutății</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Substituirea unei mese zilnice din cadrul unei diete hipocalorice cu un înlocuitor contribuie la menținerea greutății corporale după pierderea în greutate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Pentru ca mențiunea să poată fi înscrisă, un produs alimentar trebuie să respecte specificațiile prevăzute în Directiva 96/8/CE în ceea ce privește produsele alimentare menționate la articolul 1 alineatul (2) litera (b) din directivă. Pentru obținerea efectului menționat, în locul unei mese zilnice trebuie să se consume înlocuitori.</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91</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Înlocuitor al unei mese pentru controlul greutății</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Substituirea a două mese zilnice din cadrul unei diete hipocalorice cu înlocuitori contribuie la pierderea în greutate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Pentru ca mențiunea să poată fi înscrisă, un produs alimentar trebuie să respecte specificațiile prevăzute în Directiva 96/8/CE în ceea ce privește produsele alimentare menționate la articolul 1 alineatul (2) litera (b) din directivă. Pentru obținerea efectului menționat, în locul a două mese zilnice trebuie să se consume înlocuitori.</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92</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Carne sau pește</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Carnea sau peștele contribuie la </w:t>
            </w:r>
            <w:r w:rsidRPr="00384D86">
              <w:rPr>
                <w:rFonts w:ascii="Times New Roman" w:eastAsia="Times New Roman" w:hAnsi="Times New Roman" w:cs="Times New Roman"/>
                <w:sz w:val="24"/>
                <w:szCs w:val="24"/>
                <w:lang w:val="ro-RO" w:eastAsia="ru-RU"/>
              </w:rPr>
              <w:lastRenderedPageBreak/>
              <w:t>îmbunătățirea absorbției fierului atunci când se consumă împreună cu alte alimente care conțin fier</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Mențiunea poate fi utilizată doar pentru produsele alimentare care conțin cel puțin </w:t>
            </w:r>
            <w:r w:rsidRPr="00384D86">
              <w:rPr>
                <w:rFonts w:ascii="Times New Roman" w:eastAsia="Times New Roman" w:hAnsi="Times New Roman" w:cs="Times New Roman"/>
                <w:sz w:val="24"/>
                <w:szCs w:val="24"/>
                <w:lang w:val="ro-RO" w:eastAsia="ru-RU"/>
              </w:rPr>
              <w:lastRenderedPageBreak/>
              <w:t>50 g de carne sau pește într-o singură porție cuantificată. Pentru a putea fi înscrisă, mențiunea trebuie însoțită de o informare a consumatorului cu privire la faptul că efectul benefic se obține în condițiile unui consum de 50 g de carne sau pește împreună cu unul sau mai multe alimente care conțin fier non-heminic.</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93</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Melatonină</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Melatonina contribuie la atenuarea tulburărilor de somn</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conțin cel puțin 0,5 mg de melatonină la o porție cuantificată. Pentru a putea fi înscrisă, mențiunea trebuie însoțită de o informare a consumatorului cu privire la faptul că efectul benefic se obține în condițiile consumului unei doze minime de 0,5 mg administrate înainte de culcare în prima zi de călătorie și în următoarele câteva zile după sosirea la destinație.</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94</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Melatonină</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Melatonina contribuie la reducerea timpului necesar pentru a adormi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conțin 1 mg de melatonină la o porție cuantificată. Pentru a putea fi înscrisă, mențiunea trebuie însoțită de o informare a consumatorului cu privire la faptul că efectul benefic se obține în condițiile unui consum de 1 mg de melatonină înainte de culcare.</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95</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Molibden</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Molibdenul contribuie la metabolismul normal al aminoacizilor care conțin sulf</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molibden,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96</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Monascus purpureus</w:t>
            </w:r>
          </w:p>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(orez roșu fermentat)</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Substanța denumită „monacolin K”, care se găsește în orezul roșu fermentat, contribuie la menținerea </w:t>
            </w:r>
            <w:r w:rsidRPr="00384D86">
              <w:rPr>
                <w:rFonts w:ascii="Times New Roman" w:eastAsia="Times New Roman" w:hAnsi="Times New Roman" w:cs="Times New Roman"/>
                <w:sz w:val="24"/>
                <w:szCs w:val="24"/>
                <w:lang w:val="ro-RO" w:eastAsia="ru-RU"/>
              </w:rPr>
              <w:lastRenderedPageBreak/>
              <w:t>concentrațiilor normale ale colesterolului din sânge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Mențiunea poate fi utilizată doar pentru produsele alimentare care asigură un aport zilnic de 10 mg de monacolin K din orezul roșu fermentat. Pentru a putea fi înscrisă, mențiunea trebuie însoțită de o informare a consumatorului cu privire la faptul că efectul benefic se obține în condițiile unui consum zilnic de 10 mg de monacolin K conținute în </w:t>
            </w:r>
            <w:r w:rsidRPr="00384D86">
              <w:rPr>
                <w:rFonts w:ascii="Times New Roman" w:eastAsia="Times New Roman" w:hAnsi="Times New Roman" w:cs="Times New Roman"/>
                <w:sz w:val="24"/>
                <w:szCs w:val="24"/>
                <w:lang w:val="ro-RO" w:eastAsia="ru-RU"/>
              </w:rPr>
              <w:lastRenderedPageBreak/>
              <w:t>preparatele alimentare din orez roșu fermentat.</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97</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Acizi grași mononesaturați (MUFA) și/sau acizi grași polinesaturați (PUFA)</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Înlocuirea grăsimilor saturate cu grăsimi nesaturate din dietă contribuie la menținerea concentrațiilor normale ale colesterolului din sânge [MUFA și PUFA sunt grăsimi nesaturate]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având un conținut bogat în acizi grași nesaturați, astfel cum apare în mențiunea CONȚINUT RIDICAT DE GRĂSIMI NESATURATE,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98</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Niacină</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Niacina contribuie la metabolismul energetic normal</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niacină,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99</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Niacină</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Niacina contribuie la funcționarea normală a sistemului nervos</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niacină,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100</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Niacină</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Niacina contribuie la menținerea sănătății psihice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niacină, astfel cum apare în mențiunea SURSĂ DE [DENUMIREA VITAMINEI/VITAMINELOR] ȘI/SAU [DENUMIREA MINERALULUI/MINERALELOR], </w:t>
            </w:r>
            <w:r w:rsidRPr="00384D86">
              <w:rPr>
                <w:rFonts w:ascii="Times New Roman" w:eastAsia="Times New Roman" w:hAnsi="Times New Roman" w:cs="Times New Roman"/>
                <w:sz w:val="24"/>
                <w:szCs w:val="24"/>
                <w:lang w:val="ro-RO" w:eastAsia="ru-RU"/>
              </w:rPr>
              <w:lastRenderedPageBreak/>
              <w:t xml:space="preserve">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101</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Niacină</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Niacina contribuie la menținerea sănătății membranelor mucoase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niacină,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102</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Niacină</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Niacina contribuie la menținerea sănătății pielii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niacină,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103</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Niacină</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Niacina contribuie la reducerea oboselii și extenuării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niacină,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104</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Fibre din boabe de ovăz</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Fibrele conținute în boabele de ovăz contribuie la creșterea volumului bolului fecal</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având un conținut bogat în astfel de fibre, astfel cum apare la mențiunea BOGAT ÎN FIBRE,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105</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Acid oleic</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Înlocuirea grăsimilor saturate din alimentație cu grăsimi nesaturate contribuie la menținerea concentrațiilor normale ale colesterolului din sânge. Acidul oleic este o grăsime nesaturată.</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având un conținut bogat în acizi grași nesaturați, astfel cum apare în mențiunea CONȚINUT RIDICAT DE GRĂSIMI NESATURATE,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106</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Polifenoli din ulei de măsline</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Polifenolii din uleiul de măsline contribuie la protejarea lipidelor din sânge împotriva stresului oxidativ</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uleiul de măsline care conține cel puțin 5 mg de hidroxitirozol și derivați ai acestuia (de exemplu, compusul oleuropeină și tirozolul) la 20 g de ulei de măsline. Pentru a putea fi înscrisă, mențiunea trebuie însoțită de o informare a consumatorului cu privire la faptul că efectul benefic se obține în condițiile unui consum zilnic de 20 g de ulei de măsline.</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107</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Acid pantotenic</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Acidul pantotenic contribuie la metabolismul energetic normal</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acid pantotenic,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108</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Acid pantotenic</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Acidul pantotenic contribuie la sinteza normală și la metabolizarea hormonilor steroizi, a vitaminei D și a unor neurotransmițători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acid pantotenic,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109</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Acid pantotenic</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Acidul pantotenic contribuie la reducerea oboselii și extenuării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acid pantotenic,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110</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Acid pantotenic</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Acidul pantotenic contribuie la performanța mentală normală</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acid pantotenic,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111</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Pectine</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Pectinele contribuie la menținerea concentrațiilor normale ale colesterolului din sânge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asigură un aport zilnic de 6 g de pectine. Pentru a putea fi înscrisă, mențiunea trebuie însoțită de o informare a consumatorului cu privire la faptul că efectul benefic se obține în condițiile unui consum zilnic de 6 g de pectine.</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Trebuie să se prevadă un avertisment privind riscul de sufocare pentru persoanele cu dificultăți la înghițire sau în cazul ingerării substanței cu un aport inadecvat de lichid</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32"/>
              <w:gridCol w:w="1396"/>
            </w:tblGrid>
            <w:tr w:rsidR="00627A3C" w:rsidRPr="00384D86" w:rsidTr="00627A3C">
              <w:tc>
                <w:tcPr>
                  <w:tcW w:w="3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w:t>
                  </w:r>
                </w:p>
              </w:tc>
              <w:tc>
                <w:tcPr>
                  <w:tcW w:w="99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se recomandă ingerarea cu multă apă, pentru a asigura ajungerea substanței în stomac.</w:t>
                  </w:r>
                </w:p>
              </w:tc>
            </w:tr>
          </w:tbl>
          <w:p w:rsidR="00627A3C" w:rsidRPr="00384D86" w:rsidRDefault="00627A3C" w:rsidP="00384D86">
            <w:pPr>
              <w:spacing w:after="0" w:line="276" w:lineRule="auto"/>
              <w:rPr>
                <w:rFonts w:ascii="Times New Roman" w:eastAsia="Times New Roman" w:hAnsi="Times New Roman" w:cs="Times New Roman"/>
                <w:sz w:val="24"/>
                <w:szCs w:val="24"/>
                <w:lang w:val="ro-RO" w:eastAsia="ru-RU"/>
              </w:rPr>
            </w:pP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112</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Pectine</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Consumul de pectine în timpul </w:t>
            </w:r>
            <w:r w:rsidRPr="00384D86">
              <w:rPr>
                <w:rFonts w:ascii="Times New Roman" w:eastAsia="Times New Roman" w:hAnsi="Times New Roman" w:cs="Times New Roman"/>
                <w:sz w:val="24"/>
                <w:szCs w:val="24"/>
                <w:lang w:val="ro-RO" w:eastAsia="ru-RU"/>
              </w:rPr>
              <w:lastRenderedPageBreak/>
              <w:t>unei mese contribuie la o diminuare a creșterii nivelului de glucoză în sânge după masa respectivă</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Mențiunea poate fi utilizată doar pentru produsele alimentare care conțin 10 g de </w:t>
            </w:r>
            <w:r w:rsidRPr="00384D86">
              <w:rPr>
                <w:rFonts w:ascii="Times New Roman" w:eastAsia="Times New Roman" w:hAnsi="Times New Roman" w:cs="Times New Roman"/>
                <w:sz w:val="24"/>
                <w:szCs w:val="24"/>
                <w:lang w:val="ro-RO" w:eastAsia="ru-RU"/>
              </w:rPr>
              <w:lastRenderedPageBreak/>
              <w:t>pectine la o porție cuantificată. Pentru a putea fi înscrisă, mențiunea trebuie însoțită de o informare a consumatorului cu privire la faptul că efectul benefic se obține în condițiile unui consum de 10 g de pectine la o masă.</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Trebuie să se prevadă un </w:t>
            </w:r>
            <w:r w:rsidRPr="00384D86">
              <w:rPr>
                <w:rFonts w:ascii="Times New Roman" w:eastAsia="Times New Roman" w:hAnsi="Times New Roman" w:cs="Times New Roman"/>
                <w:sz w:val="24"/>
                <w:szCs w:val="24"/>
                <w:lang w:val="ro-RO" w:eastAsia="ru-RU"/>
              </w:rPr>
              <w:lastRenderedPageBreak/>
              <w:t>avertisment privind riscul de sufocare pentru persoanele cu dificultăți la înghițire sau în cazul ingerării substanței cu un aport inadecvat de lichid</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32"/>
              <w:gridCol w:w="1396"/>
            </w:tblGrid>
            <w:tr w:rsidR="00627A3C" w:rsidRPr="00384D86" w:rsidTr="00627A3C">
              <w:tc>
                <w:tcPr>
                  <w:tcW w:w="3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w:t>
                  </w:r>
                </w:p>
              </w:tc>
              <w:tc>
                <w:tcPr>
                  <w:tcW w:w="99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se recomandă ingerarea cu multă apă, pentru a asigura ajungerea substanței în stomac.</w:t>
                  </w:r>
                </w:p>
              </w:tc>
            </w:tr>
          </w:tbl>
          <w:p w:rsidR="00627A3C" w:rsidRPr="00384D86" w:rsidRDefault="00627A3C" w:rsidP="00384D86">
            <w:pPr>
              <w:spacing w:after="0" w:line="276" w:lineRule="auto"/>
              <w:rPr>
                <w:rFonts w:ascii="Times New Roman" w:eastAsia="Times New Roman" w:hAnsi="Times New Roman" w:cs="Times New Roman"/>
                <w:sz w:val="24"/>
                <w:szCs w:val="24"/>
                <w:lang w:val="ro-RO" w:eastAsia="ru-RU"/>
              </w:rPr>
            </w:pP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113</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Fosfor</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Fosforul contribuie la metabolismul energetic normal</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fosfor,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114</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Fosfor</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Fosforul contribuie la funcționarea normală a membranelor celulare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fosfor,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115</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Fosfor</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Fosforul contribuie la menținerea sănătății </w:t>
            </w:r>
            <w:r w:rsidRPr="00384D86">
              <w:rPr>
                <w:rFonts w:ascii="Times New Roman" w:eastAsia="Times New Roman" w:hAnsi="Times New Roman" w:cs="Times New Roman"/>
                <w:sz w:val="24"/>
                <w:szCs w:val="24"/>
                <w:lang w:val="ro-RO" w:eastAsia="ru-RU"/>
              </w:rPr>
              <w:lastRenderedPageBreak/>
              <w:t>sistemului osos</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Mențiunea poate fi utilizată doar pentru produsele alimentare care sunt cel puțin o sursă de fosfor, astfel cum apare în mențiunea SURSĂ DE [DENUMIREA </w:t>
            </w:r>
            <w:r w:rsidRPr="00384D86">
              <w:rPr>
                <w:rFonts w:ascii="Times New Roman" w:eastAsia="Times New Roman" w:hAnsi="Times New Roman" w:cs="Times New Roman"/>
                <w:sz w:val="24"/>
                <w:szCs w:val="24"/>
                <w:lang w:val="ro-RO" w:eastAsia="ru-RU"/>
              </w:rPr>
              <w:lastRenderedPageBreak/>
              <w:t xml:space="preserve">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116</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Fosfor</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Fosforul contribuie la menținerea sănătății dinților</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fosfor,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117</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Steroli vegetali și stanoli vegetali</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Sterolii/stanolii vegetali contribuie la menținerea concentrațiilor normale ale colesterolului din sânge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Pentru a putea fi înscrisă, mențiunea trebuie însoțită de o informare a consumatorului cu privire la faptul că efectul benefic se obține în condițiile unui consum zilnic de cel puțin 0,8 g de steroli/stanoli vegetali.</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118</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Potasiu</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Potasiul contribuie la funcționarea normală a sistemului nervos</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potasiu,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119</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Potasiu</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Potasiul contribuie la funcționarea normală a sistemului muscular</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potasiu,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privind mențiunile nutriționale și de sănătate </w:t>
            </w:r>
            <w:r w:rsidR="00EF64A4" w:rsidRPr="00384D86">
              <w:rPr>
                <w:rFonts w:ascii="Times New Roman" w:eastAsia="Times New Roman" w:hAnsi="Times New Roman" w:cs="Times New Roman"/>
                <w:sz w:val="24"/>
                <w:szCs w:val="24"/>
                <w:lang w:val="ro-RO" w:eastAsia="ru-RU"/>
              </w:rPr>
              <w:lastRenderedPageBreak/>
              <w:t>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120</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Potasiu</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Potasiul contribuie la menținerea tensiunii arteriale normale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potasiu,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121</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Proteine</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Proteinele contribuie la creșterea masei musculare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sunt cel puțin o sursă de proteine, astfel cum apare în mențiunea SURSĂ DE PROTEINE, prevăzută în anexa la Regulamentul (CE) nr. 1924/2006.</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122</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Proteine</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Proteinele contribuie la menținerea masei musculare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proteine, astfel cum apare în mențiunea SURSĂ DE PROTEINE,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123</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Proteine</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Proteinele contribuie la menținerea sănătății sistemului osos</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proteine, astfel cum apare în mențiunea SURSĂ DE PROTEINE,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124</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Amidon rezistent</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Înlocuirea tipurilor de amidon digerabile cu amidon rezistent la o masă contribuie la o diminuare a creșterii nivelului de glucoză în sânge după masa </w:t>
            </w:r>
            <w:r w:rsidRPr="00384D86">
              <w:rPr>
                <w:rFonts w:ascii="Times New Roman" w:eastAsia="Times New Roman" w:hAnsi="Times New Roman" w:cs="Times New Roman"/>
                <w:sz w:val="24"/>
                <w:szCs w:val="24"/>
                <w:lang w:val="ro-RO" w:eastAsia="ru-RU"/>
              </w:rPr>
              <w:lastRenderedPageBreak/>
              <w:t>respectivă.</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Mențiunea poate fi utilizată doar pentru produsele alimentare în care amidonul digerabil a fost înlocuit cu amidon rezistent, astfel încât conținutul final de amidon rezistent să reprezinte cel puțin 14 % din conținutul total de amidon.</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125</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Riboflavină</w:t>
            </w:r>
          </w:p>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B2)</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Riboflavina contribuie la metabolismul energetic normal</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riboflavină,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126</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Riboflavină</w:t>
            </w:r>
          </w:p>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B2)</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Riboflavina contribuie la funcționarea normală a sistemului nervos</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riboflavină,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127</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Riboflavină</w:t>
            </w:r>
          </w:p>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B2)</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Riboflavina contribuie la menținerea sănătății membranelor mucoase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riboflavină,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128</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Riboflavină</w:t>
            </w:r>
          </w:p>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B2)</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Riboflavina contribuie la menținerea globulelor roșii normale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riboflavină,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129</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Riboflavină</w:t>
            </w:r>
          </w:p>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B2)</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Riboflavina contribuie la menținerea sănătății pielii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riboflavină,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130</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Riboflavină</w:t>
            </w:r>
          </w:p>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B2)</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Riboflavina contribuie la menținerea vederii normale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riboflavină,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131</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Riboflavină</w:t>
            </w:r>
          </w:p>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B2)</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Riboflavina contribuie la metabolismul normal al fierului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riboflavină,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132</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Riboflavină</w:t>
            </w:r>
          </w:p>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B2)</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Riboflavina contribuie la protejarea celulelor împotriva stresului oxidativ</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riboflavină,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133</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Riboflavina </w:t>
            </w:r>
            <w:r w:rsidRPr="00384D86">
              <w:rPr>
                <w:rFonts w:ascii="Times New Roman" w:eastAsia="Times New Roman" w:hAnsi="Times New Roman" w:cs="Times New Roman"/>
                <w:sz w:val="24"/>
                <w:szCs w:val="24"/>
                <w:lang w:val="ro-RO" w:eastAsia="ru-RU"/>
              </w:rPr>
              <w:lastRenderedPageBreak/>
              <w:t>contribuie la reducerea oboselii și extenuării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Mențiunea poate fi utilizată doar pentru </w:t>
            </w:r>
            <w:r w:rsidRPr="00384D86">
              <w:rPr>
                <w:rFonts w:ascii="Times New Roman" w:eastAsia="Times New Roman" w:hAnsi="Times New Roman" w:cs="Times New Roman"/>
                <w:sz w:val="24"/>
                <w:szCs w:val="24"/>
                <w:lang w:val="ro-RO" w:eastAsia="ru-RU"/>
              </w:rPr>
              <w:lastRenderedPageBreak/>
              <w:t xml:space="preserve">produsele alimentare care sunt cel puțin o sursă de riboflavină,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134</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Fibre din secară</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Fibrele din secară contribuie la funcționarea normală a intestinului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având un conținut bogat în astfel de fibre, astfel cum apare la mențiunea BOGAT ÎN FIBRE, prevăzută în anexa la Regulamentul (CE) nr. 1924/2006.</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135</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Seleniu</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Seleniul contribuie la spermatogeneza normală</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seleniu,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136</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Seleniu</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Seleniul contribuie la menținerea sănătății părului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seleniu,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137</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Seleniu</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Seleniul contribuie la menținerea sănătății unghiilor</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seleniu,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 xml:space="preserve">Regulamentul sanitar </w:t>
            </w:r>
            <w:r w:rsidR="00EF64A4" w:rsidRPr="00384D86">
              <w:rPr>
                <w:rFonts w:ascii="Times New Roman" w:eastAsia="Times New Roman" w:hAnsi="Times New Roman" w:cs="Times New Roman"/>
                <w:sz w:val="24"/>
                <w:szCs w:val="24"/>
                <w:lang w:val="ro-RO" w:eastAsia="ru-RU"/>
              </w:rPr>
              <w:lastRenderedPageBreak/>
              <w:t>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138</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Seleniu</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Seleniul contribuie la funcționarea normală a sistemului imunitar</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seleniu,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139</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Seleniu</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Seleniul contribuie la funcționarea normală a glandei tiroide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sunt cel puțin o sursă de seleniu, astfel cum apare în mențiunea SURSĂ DE [DENUMIREA VITAMINEI/VITAMINELOR] ȘI/SAU [DENUMIREA MINERALULUI/MINERALELOR], prevăzută în anexa la Regulamentul (CE) nr. 1924/2006.</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140</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Seleniu</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Seleniul contribuie la protejarea celulelor împotriva stresului oxidativ</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seleniu,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141</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Înlocuitori ai zahărului, precum îndulcitorii concentrați;</w:t>
            </w:r>
          </w:p>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 xml:space="preserve">xilitol, sorbitol, manitol, maltitol, lactitol, </w:t>
            </w:r>
            <w:r w:rsidRPr="00384D86">
              <w:rPr>
                <w:rFonts w:ascii="Times New Roman" w:eastAsia="Times New Roman" w:hAnsi="Times New Roman" w:cs="Times New Roman"/>
                <w:b/>
                <w:sz w:val="24"/>
                <w:szCs w:val="24"/>
                <w:lang w:val="ro-RO" w:eastAsia="ru-RU"/>
              </w:rPr>
              <w:lastRenderedPageBreak/>
              <w:t xml:space="preserve">izomalt, eritritol, sucraloză și polidextroză; </w:t>
            </w:r>
            <w:r w:rsidR="008E4909" w:rsidRPr="00384D86">
              <w:rPr>
                <w:rFonts w:ascii="Times New Roman" w:eastAsia="Times New Roman" w:hAnsi="Times New Roman" w:cs="Times New Roman"/>
                <w:b/>
                <w:sz w:val="24"/>
                <w:szCs w:val="24"/>
                <w:lang w:val="ro-RO" w:eastAsia="ru-RU"/>
              </w:rPr>
              <w:t>alte zaharuri</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after="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Consumul de alimente/băuturi care conțin &lt;denumirea înlocuitorului de zahăr&gt; în loc de zahăr</w:t>
            </w:r>
            <w:hyperlink r:id="rId7" w:anchor="ntr1-L_2012136RO.01000401-E0001" w:history="1"/>
            <w:r w:rsidR="008E4909" w:rsidRPr="00384D86">
              <w:rPr>
                <w:rFonts w:ascii="Times New Roman" w:eastAsia="Times New Roman" w:hAnsi="Times New Roman" w:cs="Times New Roman"/>
                <w:color w:val="800080"/>
                <w:sz w:val="24"/>
                <w:szCs w:val="24"/>
                <w:bdr w:val="none" w:sz="0" w:space="0" w:color="auto" w:frame="1"/>
                <w:lang w:val="ro-RO" w:eastAsia="ru-RU"/>
              </w:rPr>
              <w:t xml:space="preserve"> </w:t>
            </w:r>
            <w:r w:rsidRPr="00384D86">
              <w:rPr>
                <w:rFonts w:ascii="Times New Roman" w:eastAsia="Times New Roman" w:hAnsi="Times New Roman" w:cs="Times New Roman"/>
                <w:sz w:val="24"/>
                <w:szCs w:val="24"/>
                <w:lang w:val="ro-RO" w:eastAsia="ru-RU"/>
              </w:rPr>
              <w:t xml:space="preserve">determină diminuarea a creșterii nivelului de glucoză în sânge după </w:t>
            </w:r>
            <w:r w:rsidRPr="00384D86">
              <w:rPr>
                <w:rFonts w:ascii="Times New Roman" w:eastAsia="Times New Roman" w:hAnsi="Times New Roman" w:cs="Times New Roman"/>
                <w:sz w:val="24"/>
                <w:szCs w:val="24"/>
                <w:lang w:val="ro-RO" w:eastAsia="ru-RU"/>
              </w:rPr>
              <w:lastRenderedPageBreak/>
              <w:t>consum, comparativ cu alimentele/băuturile care conțin zahăr</w:t>
            </w:r>
          </w:p>
        </w:tc>
        <w:tc>
          <w:tcPr>
            <w:tcW w:w="2184" w:type="pct"/>
            <w:tcBorders>
              <w:top w:val="single" w:sz="6" w:space="0" w:color="000000"/>
              <w:left w:val="single" w:sz="6" w:space="0" w:color="000000"/>
              <w:bottom w:val="single" w:sz="6" w:space="0" w:color="000000"/>
              <w:right w:val="single" w:sz="6" w:space="0" w:color="000000"/>
            </w:tcBorders>
          </w:tcPr>
          <w:p w:rsidR="00EF64A4"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Pentru a putea fi înscrisă mențiunea, zaharurile din produsele alimentare și băuturi ar trebui să fie înlocuite cu înlocuitori ai zahărului, de exemplu cu îndulcitori concentrați, xilitol, sorbitol, manitol, maltitol, lactitol, izomalt, eritritol, sucraloză sau polidextroză sau cu o combinație a acestora, astfel încât alimentele sau băuturile să conțină cantități de zaharuri reduse cel puțin cu cantitatea specificată prin mențiunea CONȚINUT REDUS DE [DENUMIREA </w:t>
            </w:r>
            <w:r w:rsidRPr="00384D86">
              <w:rPr>
                <w:rFonts w:ascii="Times New Roman" w:eastAsia="Times New Roman" w:hAnsi="Times New Roman" w:cs="Times New Roman"/>
                <w:sz w:val="24"/>
                <w:szCs w:val="24"/>
                <w:lang w:val="ro-RO" w:eastAsia="ru-RU"/>
              </w:rPr>
              <w:lastRenderedPageBreak/>
              <w:t xml:space="preserve">NUTRIENTULUI],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D-tagatoza și izomaltuloza ar trebui să substituie cantități echivalente de alte zaharuri în aceeași proporție ca cea prevăzută în mențiunea CONȚINUT REDUS DE [DENUMIREA NUTRIENTULUI],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142</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Înlocuitori ai zahărului, precum îndulcitorii concentrați;</w:t>
            </w:r>
          </w:p>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 xml:space="preserve">xilitol, sorbitol, manitol, maltitol, lactitol, izomalt, eritritol, sucraloză și polidextroză; </w:t>
            </w:r>
            <w:r w:rsidR="008E4909" w:rsidRPr="00384D86">
              <w:rPr>
                <w:rFonts w:ascii="Times New Roman" w:eastAsia="Times New Roman" w:hAnsi="Times New Roman" w:cs="Times New Roman"/>
                <w:b/>
                <w:sz w:val="24"/>
                <w:szCs w:val="24"/>
                <w:lang w:val="ro-RO" w:eastAsia="ru-RU"/>
              </w:rPr>
              <w:t>alte zaharuri</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after="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Consumul de alimente/băuturi care conțin &lt;denumirea înlocuitorului de zahăr&gt; în loc de zahăr</w:t>
            </w:r>
            <w:r w:rsidR="008E4909" w:rsidRPr="00384D86">
              <w:rPr>
                <w:rFonts w:ascii="Times New Roman" w:eastAsia="Times New Roman" w:hAnsi="Times New Roman" w:cs="Times New Roman"/>
                <w:sz w:val="24"/>
                <w:szCs w:val="24"/>
                <w:lang w:val="ro-RO" w:eastAsia="ru-RU"/>
              </w:rPr>
              <w:t xml:space="preserve"> </w:t>
            </w:r>
            <w:r w:rsidRPr="00384D86">
              <w:rPr>
                <w:rFonts w:ascii="Times New Roman" w:eastAsia="Times New Roman" w:hAnsi="Times New Roman" w:cs="Times New Roman"/>
                <w:sz w:val="24"/>
                <w:szCs w:val="24"/>
                <w:lang w:val="ro-RO" w:eastAsia="ru-RU"/>
              </w:rPr>
              <w:t>contribuie la menținerea mineralizării dinților</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Pentru a putea fi înscrisă mențiunea, zaharurile din produsele alimentare și băuturi ar trebui să fie înlocuite (ceea ce reduce pH-ul plăcii la un nivel sub 5,7) cu înlocuitori ai zahărului, de exemplu cu îndulcitori concentrați, xilitol, sorbitol, manitol, maltitol, lactitol, izomalt, eritritol, D-tagatoză, izomaltuloză, sucraloză sau polidextroză sau cu o combinație a acestora, în cantități care, la consumarea unor astfel de alimente sau băuturi, să nu determine o scădere sub 5,7 a pH-ului plăcii în timpul consumului și pe o durată de până la 30 de minute după consum</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143</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Gumă de mestecat fără zahăr</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Guma de mestecat fără zahăr contribuie la menținerea mineralizării dinților</w:t>
            </w:r>
          </w:p>
        </w:tc>
        <w:tc>
          <w:tcPr>
            <w:tcW w:w="2184" w:type="pct"/>
            <w:tcBorders>
              <w:top w:val="single" w:sz="6" w:space="0" w:color="000000"/>
              <w:left w:val="single" w:sz="6" w:space="0" w:color="000000"/>
              <w:bottom w:val="single" w:sz="6" w:space="0" w:color="000000"/>
              <w:right w:val="single" w:sz="6" w:space="0" w:color="000000"/>
            </w:tcBorders>
          </w:tcPr>
          <w:p w:rsidR="00EF64A4"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guma de mestecat care este conformă cu condițiile de utilizare pentru mențiunea nutrițională FĂRĂ ZAHĂR, astfel cum sunt enumerate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Pentru a putea fi înscrisă, mențiunea trebuie însoțită de o informare a consumatorului cu privire la faptul că efectul benefic se obține mestecând, timp de cel puțin 20 de minute, după consumul de mâncare sau băutură.</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144</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 xml:space="preserve">Gumă de </w:t>
            </w:r>
            <w:r w:rsidRPr="00384D86">
              <w:rPr>
                <w:rFonts w:ascii="Times New Roman" w:eastAsia="Times New Roman" w:hAnsi="Times New Roman" w:cs="Times New Roman"/>
                <w:b/>
                <w:sz w:val="24"/>
                <w:szCs w:val="24"/>
                <w:lang w:val="ro-RO" w:eastAsia="ru-RU"/>
              </w:rPr>
              <w:lastRenderedPageBreak/>
              <w:t>mestecat fără zahăr</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Guma de mestecat </w:t>
            </w:r>
            <w:r w:rsidRPr="00384D86">
              <w:rPr>
                <w:rFonts w:ascii="Times New Roman" w:eastAsia="Times New Roman" w:hAnsi="Times New Roman" w:cs="Times New Roman"/>
                <w:sz w:val="24"/>
                <w:szCs w:val="24"/>
                <w:lang w:val="ro-RO" w:eastAsia="ru-RU"/>
              </w:rPr>
              <w:lastRenderedPageBreak/>
              <w:t>fără zahăr contribuie la neutralizarea acizilor din placa dentară</w:t>
            </w:r>
          </w:p>
        </w:tc>
        <w:tc>
          <w:tcPr>
            <w:tcW w:w="2184" w:type="pct"/>
            <w:tcBorders>
              <w:top w:val="single" w:sz="6" w:space="0" w:color="000000"/>
              <w:left w:val="single" w:sz="6" w:space="0" w:color="000000"/>
              <w:bottom w:val="single" w:sz="6" w:space="0" w:color="000000"/>
              <w:right w:val="single" w:sz="6" w:space="0" w:color="000000"/>
            </w:tcBorders>
          </w:tcPr>
          <w:p w:rsidR="00EF64A4"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Mențiunea poate fi utilizată doar pentru guma </w:t>
            </w:r>
            <w:r w:rsidRPr="00384D86">
              <w:rPr>
                <w:rFonts w:ascii="Times New Roman" w:eastAsia="Times New Roman" w:hAnsi="Times New Roman" w:cs="Times New Roman"/>
                <w:sz w:val="24"/>
                <w:szCs w:val="24"/>
                <w:lang w:val="ro-RO" w:eastAsia="ru-RU"/>
              </w:rPr>
              <w:lastRenderedPageBreak/>
              <w:t xml:space="preserve">de mestecat care este conformă cu condițiile de utilizare pentru mențiunea nutrițională FĂRĂ ZAHĂR, astfel cum sunt enumerate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Pentru a putea fi înscrisă, mențiunea trebuie însoțită de o informare a consumatorului cu privire la faptul că efectul benefic se obține mestecând, timp de cel puțin 20 de minute, după consumul de mâncare sau băutură.</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145</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Gumă de mestecat fără zahăr</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Guma de mestecat fără zahăr contribuie la reducerea uscăciunii gurii</w:t>
            </w:r>
          </w:p>
        </w:tc>
        <w:tc>
          <w:tcPr>
            <w:tcW w:w="2184" w:type="pct"/>
            <w:tcBorders>
              <w:top w:val="single" w:sz="6" w:space="0" w:color="000000"/>
              <w:left w:val="single" w:sz="6" w:space="0" w:color="000000"/>
              <w:bottom w:val="single" w:sz="6" w:space="0" w:color="000000"/>
              <w:right w:val="single" w:sz="6" w:space="0" w:color="000000"/>
            </w:tcBorders>
          </w:tcPr>
          <w:p w:rsidR="00EF64A4"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guma de mestecat care este conformă cu condițiile de utilizare pentru mențiunea nutrițională FĂRĂ ZAHĂR, astfel cum sunt enumerate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Pentru a putea fi înscrisă, mențiunea trebuie însoțită de o informare a consumatorului cu privire la faptul că efectul benefic se obține în condițiile unei utilizări a gumei de mestecat de fiecare dată când apare senzația de uscăciune a gurii.</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146</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Gumă de mestecat fără zahăr cu carbamidă</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Guma de mestecat fără zahăr cu carbamidă neutralizează acizii din placa dentară cu o mai mare eficiență decât gumele de mestecat fără zahăr care nu conțin carbamidă</w:t>
            </w:r>
          </w:p>
        </w:tc>
        <w:tc>
          <w:tcPr>
            <w:tcW w:w="2184" w:type="pct"/>
            <w:tcBorders>
              <w:top w:val="single" w:sz="6" w:space="0" w:color="000000"/>
              <w:left w:val="single" w:sz="6" w:space="0" w:color="000000"/>
              <w:bottom w:val="single" w:sz="6" w:space="0" w:color="000000"/>
              <w:right w:val="single" w:sz="6" w:space="0" w:color="000000"/>
            </w:tcBorders>
          </w:tcPr>
          <w:p w:rsidR="00EF64A4"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guma de mestecat care este conformă cu condițiile de utilizare pentru mențiunea nutrițională FĂRĂ ZAHĂR, astfel cum sunt enumerate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Fiecare bucată de gumă de mestecat fără zahăr trebuie să conțină cel puțin 20 mg de carbamidă. Pentru a putea fi înscrisă, mențiunea trebuie însoțită de o informare a consumatorului cu privire la faptul că guma ar trebui mestecată timp de cel puțin 20 de minute după consumul de mâncare sau băuturi.</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147</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Tiamină</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Tiamina contribuie la metabolismul energetic normal</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tiamină, astfel cum apare în </w:t>
            </w:r>
            <w:r w:rsidRPr="00384D86">
              <w:rPr>
                <w:rFonts w:ascii="Times New Roman" w:eastAsia="Times New Roman" w:hAnsi="Times New Roman" w:cs="Times New Roman"/>
                <w:sz w:val="24"/>
                <w:szCs w:val="24"/>
                <w:lang w:val="ro-RO" w:eastAsia="ru-RU"/>
              </w:rPr>
              <w:lastRenderedPageBreak/>
              <w:t xml:space="preserve">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148</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Tiamină</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Tiamina contribuie la funcționarea normală a sistemului nervos</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tiamină,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149</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Tiamină</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Tiamina contribuie la menținerea sănătății psihice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tiamină,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150</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Tiamină</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Tiamina contribuie la funcționarea normală a inimii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tiamină,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152</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A</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A contribuie la metabolismul normal al fierului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A, astfel cum apare în mențiunea SURSĂ DE [DENUMIREA </w:t>
            </w:r>
            <w:r w:rsidRPr="00384D86">
              <w:rPr>
                <w:rFonts w:ascii="Times New Roman" w:eastAsia="Times New Roman" w:hAnsi="Times New Roman" w:cs="Times New Roman"/>
                <w:sz w:val="24"/>
                <w:szCs w:val="24"/>
                <w:lang w:val="ro-RO" w:eastAsia="ru-RU"/>
              </w:rPr>
              <w:lastRenderedPageBreak/>
              <w:t xml:space="preserve">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153</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A</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A contribuie la menținerea sănătății membranelor mucoase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A,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154</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A</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A contribuie la menținerea sănătății pielii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A,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155</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A</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A contribuie la menținerea vederii normale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A,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156</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A</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Vitamina A contribuie la funcționarea normală a sistemului </w:t>
            </w:r>
            <w:r w:rsidRPr="00384D86">
              <w:rPr>
                <w:rFonts w:ascii="Times New Roman" w:eastAsia="Times New Roman" w:hAnsi="Times New Roman" w:cs="Times New Roman"/>
                <w:sz w:val="24"/>
                <w:szCs w:val="24"/>
                <w:lang w:val="ro-RO" w:eastAsia="ru-RU"/>
              </w:rPr>
              <w:lastRenderedPageBreak/>
              <w:t>imunitar</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Mențiunea poate fi utilizată doar pentru produsele alimentare care sunt cel puțin o sursă de vitamina A, astfel cum apare în mențiunea SURSĂ DE [DENUMIREA VITAMINEI/VITAMINELOR] ȘI/SAU </w:t>
            </w:r>
            <w:r w:rsidRPr="00384D86">
              <w:rPr>
                <w:rFonts w:ascii="Times New Roman" w:eastAsia="Times New Roman" w:hAnsi="Times New Roman" w:cs="Times New Roman"/>
                <w:sz w:val="24"/>
                <w:szCs w:val="24"/>
                <w:lang w:val="ro-RO" w:eastAsia="ru-RU"/>
              </w:rPr>
              <w:lastRenderedPageBreak/>
              <w:t xml:space="preserve">[DENUMIREA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157</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A</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A contribuie la procesul de diferențiere celulară</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A,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158</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B12</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B12 contribuie la metabolismul energetic normal</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B12,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159</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B12</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B12 contribuie la funcționarea normală a sistemului nervos</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B12, astfel cum apare în mențiunea SURSĂ DE [DENUMIREA VITAMINEI/VITAMINELOR] ȘI/SAU [DENUMIREA 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160</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B12</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B12 contribuie la metabolismul normal al homocisteinei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B12, astfel cum apare în mențiunea SURSĂ DE [DENUMIREA VITAMINEI/VITAMINELOR] ȘI/SAU [DENUMIREA </w:t>
            </w:r>
            <w:r w:rsidRPr="00384D86">
              <w:rPr>
                <w:rFonts w:ascii="Times New Roman" w:eastAsia="Times New Roman" w:hAnsi="Times New Roman" w:cs="Times New Roman"/>
                <w:sz w:val="24"/>
                <w:szCs w:val="24"/>
                <w:lang w:val="ro-RO" w:eastAsia="ru-RU"/>
              </w:rPr>
              <w:lastRenderedPageBreak/>
              <w:t xml:space="preserve">MINERALULUI/MINERALELOR], prevăzută în anexa la </w:t>
            </w:r>
            <w:r w:rsidR="00EF64A4"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161</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B12</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B12 contribuie la menținerea sănătății psihice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B12,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162</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B12</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B12 contribuie la formarea normală a globulelor roșii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B12,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163</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B12</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B12 contribuie la funcționarea normală a sistemului imunitar</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B12,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164</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B12</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B12 contribuie la reducerea oboselii și extenuării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B12, astfel cum apare în mențiunea SURSĂ DE [DENUMIREA VITAMINEI/VITAMINELOR] ȘI/SAU [DENUMIREA MINERALULUI/MINERALELOR], </w:t>
            </w:r>
            <w:r w:rsidRPr="00384D86">
              <w:rPr>
                <w:rFonts w:ascii="Times New Roman" w:eastAsia="Times New Roman" w:hAnsi="Times New Roman" w:cs="Times New Roman"/>
                <w:sz w:val="24"/>
                <w:szCs w:val="24"/>
                <w:lang w:val="ro-RO" w:eastAsia="ru-RU"/>
              </w:rPr>
              <w:lastRenderedPageBreak/>
              <w:t xml:space="preserve">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165</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B12</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B12 contribuie la procesul de diviziune celulară</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B12,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166</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B6</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B6 contribuie la sinteza normală a cisteinei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B6,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167</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B6</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B6 contribuie la metabolismul energetic normal</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B6,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168</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B6</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B6 contribuie la funcționarea normală a sistemului nervos</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B6,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w:t>
            </w:r>
            <w:r w:rsidR="00A964B9" w:rsidRPr="00384D86">
              <w:rPr>
                <w:rFonts w:ascii="Times New Roman" w:eastAsia="Times New Roman" w:hAnsi="Times New Roman" w:cs="Times New Roman"/>
                <w:sz w:val="24"/>
                <w:szCs w:val="24"/>
                <w:lang w:val="ro-RO" w:eastAsia="ru-RU"/>
              </w:rPr>
              <w:lastRenderedPageBreak/>
              <w:t>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169</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B6</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B6 contribuie la metabolismul normal al homocisteinei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B6,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170</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B6</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B6 contribuie la metabolismul normal al proteinelor și al glicogenilor</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B6,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171</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B6</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B6 contribuie la menținerea sănătății psihice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B6,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172</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B6</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B6 contribuie la formarea normală a globulelor roșii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B6,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 xml:space="preserve">Regulamentul sanitar privind mențiunile nutriționale și de sănătate </w:t>
            </w:r>
            <w:r w:rsidR="00A964B9" w:rsidRPr="00384D86">
              <w:rPr>
                <w:rFonts w:ascii="Times New Roman" w:eastAsia="Times New Roman" w:hAnsi="Times New Roman" w:cs="Times New Roman"/>
                <w:sz w:val="24"/>
                <w:szCs w:val="24"/>
                <w:lang w:val="ro-RO" w:eastAsia="ru-RU"/>
              </w:rPr>
              <w:lastRenderedPageBreak/>
              <w:t>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173</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B6</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B6 contribuie la funcționarea normală a sistemului imunitar</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B6,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174</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B6</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B6 contribuie la reducerea oboselii și extenuării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B6,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175</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B6</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B6 contribuie la reglarea activității hormonale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B6,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1A0FF6"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176</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C</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C contribuie la menținerea funcționării normale a sistemului imunitar în timpul exercițiilor fizice intense și după acestea</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asigură un aport zilnic de 200 mg de vitamina C. Pentru a putea fi înscrisă, mențiunea trebuie însoțită de o informare a consumatorului cu privire la faptul că efectul benefic se obține în condițiile unui consum zilnic de 200 mg, în plus față de aportul zilnic recomandat de vitamina C.</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0538DE"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177</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C</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C contribuie la formarea normală a colagenului pentru funcționarea normală a vaselor de sânge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0538DE"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178</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C</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C contribuie la formarea normală a colagenului pentru funcționarea normală a sistemului osos</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0538DE"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179</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C</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C contribuie la formarea normală a colagenului pentru funcționarea normală a ligamentelor</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0538DE"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180</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C</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C contribuie la formarea normală a colagenului pentru funcționarea normală a gingiilor</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0538DE"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181</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C</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Vitamina C </w:t>
            </w:r>
            <w:r w:rsidRPr="00384D86">
              <w:rPr>
                <w:rFonts w:ascii="Times New Roman" w:eastAsia="Times New Roman" w:hAnsi="Times New Roman" w:cs="Times New Roman"/>
                <w:sz w:val="24"/>
                <w:szCs w:val="24"/>
                <w:lang w:val="ro-RO" w:eastAsia="ru-RU"/>
              </w:rPr>
              <w:lastRenderedPageBreak/>
              <w:t>contribuie la formarea normală a colagenului pentru funcționarea normală a pielii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Mențiunea poate fi utilizată doar pentru </w:t>
            </w:r>
            <w:r w:rsidRPr="00384D86">
              <w:rPr>
                <w:rFonts w:ascii="Times New Roman" w:eastAsia="Times New Roman" w:hAnsi="Times New Roman" w:cs="Times New Roman"/>
                <w:sz w:val="24"/>
                <w:szCs w:val="24"/>
                <w:lang w:val="ro-RO" w:eastAsia="ru-RU"/>
              </w:rPr>
              <w:lastRenderedPageBreak/>
              <w:t xml:space="preserve">produsele alimentare care sunt cel puțin o sursă de vitamina 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0538DE"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182</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C</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C contribuie la formarea normală a colagenului pentru funcționarea normală a dinților</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0538DE"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183</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C</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C contribuie la metabolismul energetic normal</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0538DE"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184</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C</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C contribuie la funcționarea normală a sistemului nervos</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0538DE"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185</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C</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Vitamina C contribuie la </w:t>
            </w:r>
            <w:r w:rsidRPr="00384D86">
              <w:rPr>
                <w:rFonts w:ascii="Times New Roman" w:eastAsia="Times New Roman" w:hAnsi="Times New Roman" w:cs="Times New Roman"/>
                <w:sz w:val="24"/>
                <w:szCs w:val="24"/>
                <w:lang w:val="ro-RO" w:eastAsia="ru-RU"/>
              </w:rPr>
              <w:lastRenderedPageBreak/>
              <w:t>menținerea sănătății psihice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Mențiunea poate fi utilizată doar pentru produsele alimentare care sunt cel puțin o </w:t>
            </w:r>
            <w:r w:rsidRPr="00384D86">
              <w:rPr>
                <w:rFonts w:ascii="Times New Roman" w:eastAsia="Times New Roman" w:hAnsi="Times New Roman" w:cs="Times New Roman"/>
                <w:sz w:val="24"/>
                <w:szCs w:val="24"/>
                <w:lang w:val="ro-RO" w:eastAsia="ru-RU"/>
              </w:rPr>
              <w:lastRenderedPageBreak/>
              <w:t xml:space="preserve">sursă de vitamina 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0538DE"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186</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C</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C contribuie la funcționarea normală a sistemului imunitar</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0538DE"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187</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C</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C contribuie la protejarea celulelor împotriva stresului oxidativ</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0538DE"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188</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C</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C contribuie la reducerea oboselii și extenuării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0538DE"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189</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C</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Vitamina C contribuie la regenerarea formei </w:t>
            </w:r>
            <w:r w:rsidRPr="00384D86">
              <w:rPr>
                <w:rFonts w:ascii="Times New Roman" w:eastAsia="Times New Roman" w:hAnsi="Times New Roman" w:cs="Times New Roman"/>
                <w:sz w:val="24"/>
                <w:szCs w:val="24"/>
                <w:lang w:val="ro-RO" w:eastAsia="ru-RU"/>
              </w:rPr>
              <w:lastRenderedPageBreak/>
              <w:t>reduse a vitaminei 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Mențiunea poate fi utilizată doar pentru produsele alimentare care sunt cel puțin o sursă de vitamina C, astfel cum apare în </w:t>
            </w:r>
            <w:r w:rsidRPr="00384D86">
              <w:rPr>
                <w:rFonts w:ascii="Times New Roman" w:eastAsia="Times New Roman" w:hAnsi="Times New Roman" w:cs="Times New Roman"/>
                <w:sz w:val="24"/>
                <w:szCs w:val="24"/>
                <w:lang w:val="ro-RO" w:eastAsia="ru-RU"/>
              </w:rPr>
              <w:lastRenderedPageBreak/>
              <w:t xml:space="preserve">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0538DE"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190</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C</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C crește absorbția fierului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0538DE"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191</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D</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D contribuie la absorbția/utilizarea normală a calciului și fosforului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D,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0538DE"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192</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D</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D contribuie la menținerea concentrațiilor normale de calciu în sânge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D,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0538DE"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193</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D</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Vitamina D contribuie la menținerea sănătății </w:t>
            </w:r>
            <w:r w:rsidRPr="00384D86">
              <w:rPr>
                <w:rFonts w:ascii="Times New Roman" w:eastAsia="Times New Roman" w:hAnsi="Times New Roman" w:cs="Times New Roman"/>
                <w:sz w:val="24"/>
                <w:szCs w:val="24"/>
                <w:lang w:val="ro-RO" w:eastAsia="ru-RU"/>
              </w:rPr>
              <w:lastRenderedPageBreak/>
              <w:t>sistemului osos</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Mențiunea poate fi utilizată doar pentru produsele alimentare care sunt cel puțin o sursă de vitamina D, astfel cum apare în mențiunea SURSĂ DE [DENUMIREA </w:t>
            </w:r>
            <w:r w:rsidRPr="00384D86">
              <w:rPr>
                <w:rFonts w:ascii="Times New Roman" w:eastAsia="Times New Roman" w:hAnsi="Times New Roman" w:cs="Times New Roman"/>
                <w:sz w:val="24"/>
                <w:szCs w:val="24"/>
                <w:lang w:val="ro-RO" w:eastAsia="ru-RU"/>
              </w:rPr>
              <w:lastRenderedPageBreak/>
              <w:t>VITAMINEI/VITAMINELOR] ȘI/SAU [DENUMIREA MINERALULUI/MINERALELOR], prevăzută în anexa la Regulamentul (CE) nr. 1924/2006.</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0538DE"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194</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D</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D contribuie la menținerea funcției normale a sistemului muscular</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D,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0538DE"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195</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D</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D contribuie la menținerea sănătății dinților</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D,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0538DE"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196</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D</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C contribuie la funcționarea normală a sistemului imunitar</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D,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0538DE"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197</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D</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D participă la procesul de diviziune celulară</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D, astfel cum apare în mențiunea SURSĂ DE [DENUMIREA VITAMINEI/VITAMINELOR] ȘI/SAU [DENUMIREA MINERALULUI/MINERALELOR], </w:t>
            </w:r>
            <w:r w:rsidRPr="00384D86">
              <w:rPr>
                <w:rFonts w:ascii="Times New Roman" w:eastAsia="Times New Roman" w:hAnsi="Times New Roman" w:cs="Times New Roman"/>
                <w:sz w:val="24"/>
                <w:szCs w:val="24"/>
                <w:lang w:val="ro-RO" w:eastAsia="ru-RU"/>
              </w:rPr>
              <w:lastRenderedPageBreak/>
              <w:t>prevăzută în anexa la Regulamentul (CE) nr. 1924/2006.</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0538DE"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198</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E</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E contribuie la protejarea celulelor împotriva stresului oxidativ</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E,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0538DE"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199</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K</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K contribuie la coagularea normală a sângelui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K,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0538DE"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200</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Vitamina K</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Vitamina K contribuie la menținerea sănătății sistemului osos</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vitamina K,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0538DE"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201</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Nuci</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Nucile contribuie la îmbunătățirea elasticității vaselor de sânge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care asigură un aport zilnic de 30 g de nuci. Pentru a putea fi înscrisă, mențiunea trebuie însoțită de o informare a consumatorului cu privire la faptul că efectul benefic se obține în condițiile unui consum zilnic de 30 g de nuci.</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0538DE"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202</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Apă</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Apa contribuie la menținerea </w:t>
            </w:r>
            <w:r w:rsidRPr="00384D86">
              <w:rPr>
                <w:rFonts w:ascii="Times New Roman" w:eastAsia="Times New Roman" w:hAnsi="Times New Roman" w:cs="Times New Roman"/>
                <w:sz w:val="24"/>
                <w:szCs w:val="24"/>
                <w:lang w:val="ro-RO" w:eastAsia="ru-RU"/>
              </w:rPr>
              <w:lastRenderedPageBreak/>
              <w:t>funcțiilor fizice și cognitive normale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Pentru a putea fi înscrisă, mențiunea trebuie însoțită de o informare a consumatorului cu </w:t>
            </w:r>
            <w:r w:rsidRPr="00384D86">
              <w:rPr>
                <w:rFonts w:ascii="Times New Roman" w:eastAsia="Times New Roman" w:hAnsi="Times New Roman" w:cs="Times New Roman"/>
                <w:sz w:val="24"/>
                <w:szCs w:val="24"/>
                <w:lang w:val="ro-RO" w:eastAsia="ru-RU"/>
              </w:rPr>
              <w:lastRenderedPageBreak/>
              <w:t>privire la faptul că, pentru a se obține efectul menționat, ar trebui să se consume cel puțin 2 litri de apă pe zi, din toate sursele.</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Mențiunea poate fi utilizată doar </w:t>
            </w:r>
            <w:r w:rsidRPr="00384D86">
              <w:rPr>
                <w:rFonts w:ascii="Times New Roman" w:eastAsia="Times New Roman" w:hAnsi="Times New Roman" w:cs="Times New Roman"/>
                <w:sz w:val="24"/>
                <w:szCs w:val="24"/>
                <w:lang w:val="ro-RO" w:eastAsia="ru-RU"/>
              </w:rPr>
              <w:lastRenderedPageBreak/>
              <w:t>pentru apa care îndeplinește cerințele Directivelor 2009/54/CE și/sau 98/83/CE</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0538DE"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203</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Apă</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Apa contribuie la menținerea reglării normale a temperaturii corpului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Pentru a putea fi înscrisă, mențiunea trebuie însoțită de o informare a consumatorului cu privire la faptul că, pentru a se obține efectul menționat, ar trebui să se consume cel puțin 2 litri de apă pe zi, din toate sursele.</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apa care îndeplinește cerințele Directivelor 2009/54/CE și/sau 98/83/CE</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0538DE"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204</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Fibre din tărâțele de grâu</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Fibrele conținute în tărâțele de grâu contribuie la accelerarea tranzitului intestinal</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Mențiunea poate fi utilizată doar pentru produsele alimentare având un conținut bogat în astfel de fibre, astfel cum apare la mențiunea BOGAT ÎN FIBRE, prevăzută în anexa la Regulamentul (CE) nr. 1924/2006. Pentru a putea fi înscrisă, mențiunea trebuie însoțită de o informare a consumatorului cu privire la faptul că efectul menționat se obține în condițiile unui consum zilnic de cel puțin 10 g de fibre din tărâțe de grâu.</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0538DE"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205</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Fibre din tărâțele de grâu</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Fibrele conținute în tărâțele de grâu contribuie la creșterea volumului bolului fecal</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având un conținut bogat în astfel de fibre, astfel cum apare la mențiunea BOGAT ÎN FIBRE,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0538DE"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206</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Zincul contribuie la metabolismul acido-bazic normal</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zinc,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0538DE"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207</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Zincul contribuie </w:t>
            </w:r>
            <w:r w:rsidRPr="00384D86">
              <w:rPr>
                <w:rFonts w:ascii="Times New Roman" w:eastAsia="Times New Roman" w:hAnsi="Times New Roman" w:cs="Times New Roman"/>
                <w:sz w:val="24"/>
                <w:szCs w:val="24"/>
                <w:lang w:val="ro-RO" w:eastAsia="ru-RU"/>
              </w:rPr>
              <w:lastRenderedPageBreak/>
              <w:t>la metabolismul normal al carbohidraților</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Mențiunea poate fi utilizată doar pentru </w:t>
            </w:r>
            <w:r w:rsidRPr="00384D86">
              <w:rPr>
                <w:rFonts w:ascii="Times New Roman" w:eastAsia="Times New Roman" w:hAnsi="Times New Roman" w:cs="Times New Roman"/>
                <w:sz w:val="24"/>
                <w:szCs w:val="24"/>
                <w:lang w:val="ro-RO" w:eastAsia="ru-RU"/>
              </w:rPr>
              <w:lastRenderedPageBreak/>
              <w:t xml:space="preserve">produsele alimentare care sunt cel puțin o sursă de zinc,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0538DE"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208</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Zincul contribuie la funcția cognitivă normală</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zinc,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0538DE"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209</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Zincul contribuie la sinteza normală de ADN</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zinc,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0538DE"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210</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Zincul contribuie la menținerea fertilității și reproducerii normale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zinc,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0538DE"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211</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Zincul contribuie la metabolismul </w:t>
            </w:r>
            <w:r w:rsidRPr="00384D86">
              <w:rPr>
                <w:rFonts w:ascii="Times New Roman" w:eastAsia="Times New Roman" w:hAnsi="Times New Roman" w:cs="Times New Roman"/>
                <w:sz w:val="24"/>
                <w:szCs w:val="24"/>
                <w:lang w:val="ro-RO" w:eastAsia="ru-RU"/>
              </w:rPr>
              <w:lastRenderedPageBreak/>
              <w:t>normal al macronutrienților</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Mențiunea poate fi utilizată doar pentru produsele alimentare care sunt cel puțin o </w:t>
            </w:r>
            <w:r w:rsidRPr="00384D86">
              <w:rPr>
                <w:rFonts w:ascii="Times New Roman" w:eastAsia="Times New Roman" w:hAnsi="Times New Roman" w:cs="Times New Roman"/>
                <w:sz w:val="24"/>
                <w:szCs w:val="24"/>
                <w:lang w:val="ro-RO" w:eastAsia="ru-RU"/>
              </w:rPr>
              <w:lastRenderedPageBreak/>
              <w:t xml:space="preserve">sursă de zinc,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0538DE"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212</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Zincul contribuie la metabolismul normal al acizilor grași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zinc,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0538DE"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213</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Zincul contribuie la metabolismul normal al vitaminei A</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zinc,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0538DE"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214</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Zincul contribuie la sinteza normală a proteinelor</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zinc,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0538DE"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215</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Zincul contribuie la menținerea sănătății </w:t>
            </w:r>
            <w:r w:rsidRPr="00384D86">
              <w:rPr>
                <w:rFonts w:ascii="Times New Roman" w:eastAsia="Times New Roman" w:hAnsi="Times New Roman" w:cs="Times New Roman"/>
                <w:sz w:val="24"/>
                <w:szCs w:val="24"/>
                <w:lang w:val="ro-RO" w:eastAsia="ru-RU"/>
              </w:rPr>
              <w:lastRenderedPageBreak/>
              <w:t>sistemului osos</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Mențiunea poate fi utilizată doar pentru produsele alimentare care sunt cel puțin o sursă de zinc, astfel cum apare în mențiunea </w:t>
            </w:r>
            <w:r w:rsidRPr="00384D86">
              <w:rPr>
                <w:rFonts w:ascii="Times New Roman" w:eastAsia="Times New Roman" w:hAnsi="Times New Roman" w:cs="Times New Roman"/>
                <w:sz w:val="24"/>
                <w:szCs w:val="24"/>
                <w:lang w:val="ro-RO" w:eastAsia="ru-RU"/>
              </w:rPr>
              <w:lastRenderedPageBreak/>
              <w:t xml:space="preserve">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0538DE"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216</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Zincul contribuie la menținerea sănătății părului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zinc,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0538DE"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217</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Zincul contribuie la menținerea sănătății unghiilor</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zinc,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0538DE"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218</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Zincul contribuie la menținerea sănătății pielii</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zinc,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0538DE"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219</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Zincul contribuie la menținerea concentrațiilor normale de </w:t>
            </w:r>
            <w:r w:rsidRPr="00384D86">
              <w:rPr>
                <w:rFonts w:ascii="Times New Roman" w:eastAsia="Times New Roman" w:hAnsi="Times New Roman" w:cs="Times New Roman"/>
                <w:sz w:val="24"/>
                <w:szCs w:val="24"/>
                <w:lang w:val="ro-RO" w:eastAsia="ru-RU"/>
              </w:rPr>
              <w:lastRenderedPageBreak/>
              <w:t>testosteron din sânge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xml:space="preserve">Mențiunea poate fi utilizată doar pentru produsele alimentare care sunt cel puțin o sursă de zinc, astfel cum apare în mențiunea SURSĂ DE [DENUMIREA </w:t>
            </w:r>
            <w:r w:rsidRPr="00384D86">
              <w:rPr>
                <w:rFonts w:ascii="Times New Roman" w:eastAsia="Times New Roman" w:hAnsi="Times New Roman" w:cs="Times New Roman"/>
                <w:sz w:val="24"/>
                <w:szCs w:val="24"/>
                <w:lang w:val="ro-RO" w:eastAsia="ru-RU"/>
              </w:rPr>
              <w:lastRenderedPageBreak/>
              <w:t xml:space="preserve">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0538DE"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220</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Zincul contribuie la menținerea vederii normale</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zinc,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0538DE"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221</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Zincul contribuie la funcționarea normală a sistemului imunitar</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zinc,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0538DE"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222</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Zincul contribuie la protejarea celulelor împotriva stresului oxidativ</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zinc, astfel cum apare în mențiunea SURSĂ DE [DENUMIREA VITAMINEI/VITAMINELOR] ȘI/SAU [DENUMIREA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w:t>
            </w:r>
          </w:p>
        </w:tc>
      </w:tr>
      <w:tr w:rsidR="00627A3C"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627A3C" w:rsidRPr="00384D86" w:rsidRDefault="000538DE"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223</w:t>
            </w:r>
          </w:p>
        </w:tc>
        <w:tc>
          <w:tcPr>
            <w:tcW w:w="63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b/>
                <w:sz w:val="24"/>
                <w:szCs w:val="24"/>
                <w:lang w:val="ro-RO" w:eastAsia="ru-RU"/>
              </w:rPr>
            </w:pPr>
            <w:r w:rsidRPr="00384D86">
              <w:rPr>
                <w:rFonts w:ascii="Times New Roman" w:eastAsia="Times New Roman" w:hAnsi="Times New Roman" w:cs="Times New Roman"/>
                <w:b/>
                <w:sz w:val="24"/>
                <w:szCs w:val="24"/>
                <w:lang w:val="ro-RO" w:eastAsia="ru-RU"/>
              </w:rPr>
              <w:t>Zinc</w:t>
            </w:r>
          </w:p>
        </w:tc>
        <w:tc>
          <w:tcPr>
            <w:tcW w:w="915"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Zincul contribuie la procesul de diviziune celulară</w:t>
            </w:r>
          </w:p>
        </w:tc>
        <w:tc>
          <w:tcPr>
            <w:tcW w:w="218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t xml:space="preserve">Mențiunea poate fi utilizată doar pentru produsele alimentare care sunt cel puțin o sursă de zinc, astfel cum apare în mențiunea SURSĂ DE [DENUMIREA VITAMINEI/VITAMINELOR] ȘI/SAU </w:t>
            </w:r>
            <w:r w:rsidRPr="00384D86">
              <w:rPr>
                <w:rFonts w:ascii="Times New Roman" w:eastAsia="Times New Roman" w:hAnsi="Times New Roman" w:cs="Times New Roman"/>
                <w:sz w:val="24"/>
                <w:szCs w:val="24"/>
                <w:lang w:val="ro-RO" w:eastAsia="ru-RU"/>
              </w:rPr>
              <w:lastRenderedPageBreak/>
              <w:t xml:space="preserve">[DENUMIREA MINERALULUI/MINERALELOR], prevăzută în anexa la </w:t>
            </w:r>
            <w:r w:rsidR="00A964B9" w:rsidRPr="00384D86">
              <w:rPr>
                <w:rFonts w:ascii="Times New Roman" w:eastAsia="Times New Roman" w:hAnsi="Times New Roman" w:cs="Times New Roman"/>
                <w:sz w:val="24"/>
                <w:szCs w:val="24"/>
                <w:lang w:val="ro-RO" w:eastAsia="ru-RU"/>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tcPr>
          <w:p w:rsidR="00627A3C" w:rsidRPr="00384D86" w:rsidRDefault="00627A3C" w:rsidP="00384D86">
            <w:pPr>
              <w:spacing w:before="120" w:after="0" w:line="276" w:lineRule="auto"/>
              <w:jc w:val="both"/>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 </w:t>
            </w:r>
          </w:p>
        </w:tc>
      </w:tr>
      <w:tr w:rsidR="00D909BA"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D909BA" w:rsidRPr="00384D86" w:rsidRDefault="00D909BA" w:rsidP="00384D86">
            <w:pPr>
              <w:spacing w:before="60" w:after="60" w:line="276" w:lineRule="auto"/>
              <w:textAlignment w:val="baseline"/>
              <w:rPr>
                <w:rFonts w:ascii="Times New Roman" w:eastAsia="Times New Roman" w:hAnsi="Times New Roman" w:cs="Times New Roman"/>
                <w:sz w:val="24"/>
                <w:szCs w:val="24"/>
                <w:lang w:val="ro-RO" w:eastAsia="ru-RU"/>
              </w:rPr>
            </w:pPr>
            <w:r w:rsidRPr="00384D86">
              <w:rPr>
                <w:rFonts w:ascii="Times New Roman" w:eastAsia="Times New Roman" w:hAnsi="Times New Roman" w:cs="Times New Roman"/>
                <w:sz w:val="24"/>
                <w:szCs w:val="24"/>
                <w:lang w:val="ro-RO" w:eastAsia="ru-RU"/>
              </w:rPr>
              <w:lastRenderedPageBreak/>
              <w:t>224</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Pr>
          <w:p w:rsidR="00D909BA" w:rsidRPr="00384D86" w:rsidRDefault="00D909BA" w:rsidP="00384D86">
            <w:pPr>
              <w:pStyle w:val="tbl-txt"/>
              <w:spacing w:before="60" w:beforeAutospacing="0" w:after="60" w:afterAutospacing="0" w:line="276" w:lineRule="auto"/>
              <w:textAlignment w:val="baseline"/>
              <w:rPr>
                <w:b/>
                <w:color w:val="444444"/>
                <w:lang w:val="ro-RO"/>
              </w:rPr>
            </w:pPr>
            <w:r w:rsidRPr="00384D86">
              <w:rPr>
                <w:b/>
                <w:color w:val="444444"/>
                <w:lang w:val="ro-RO"/>
              </w:rPr>
              <w:t>Glucide</w:t>
            </w:r>
          </w:p>
        </w:tc>
        <w:tc>
          <w:tcPr>
            <w:tcW w:w="915" w:type="pct"/>
            <w:tcBorders>
              <w:top w:val="single" w:sz="6" w:space="0" w:color="000000"/>
              <w:left w:val="single" w:sz="6" w:space="0" w:color="000000"/>
              <w:bottom w:val="single" w:sz="6" w:space="0" w:color="000000"/>
              <w:right w:val="single" w:sz="6" w:space="0" w:color="000000"/>
            </w:tcBorders>
            <w:shd w:val="clear" w:color="auto" w:fill="FFFFFF"/>
          </w:tcPr>
          <w:p w:rsidR="00D909BA" w:rsidRPr="00384D86" w:rsidRDefault="00D909BA" w:rsidP="00384D86">
            <w:pPr>
              <w:pStyle w:val="tbl-txt"/>
              <w:spacing w:before="60" w:beforeAutospacing="0" w:after="60" w:afterAutospacing="0" w:line="276" w:lineRule="auto"/>
              <w:textAlignment w:val="baseline"/>
              <w:rPr>
                <w:color w:val="444444"/>
                <w:lang w:val="ro-RO"/>
              </w:rPr>
            </w:pPr>
            <w:r w:rsidRPr="00384D86">
              <w:rPr>
                <w:color w:val="444444"/>
                <w:lang w:val="ro-RO"/>
              </w:rPr>
              <w:t>Glucidele contribuie la recuperarea funcționării normale a mușchilor (contracție) după un exercițiu fizic foarte intens și/sau de lungă durată, care conduce la oboseală musculară și la epuizarea depozitelor de glicogen din mușchiul scheletic.</w:t>
            </w:r>
          </w:p>
        </w:tc>
        <w:tc>
          <w:tcPr>
            <w:tcW w:w="2184" w:type="pct"/>
            <w:tcBorders>
              <w:top w:val="single" w:sz="6" w:space="0" w:color="000000"/>
              <w:left w:val="single" w:sz="6" w:space="0" w:color="000000"/>
              <w:bottom w:val="single" w:sz="6" w:space="0" w:color="000000"/>
              <w:right w:val="single" w:sz="6" w:space="0" w:color="000000"/>
            </w:tcBorders>
            <w:shd w:val="clear" w:color="auto" w:fill="FFFFFF"/>
          </w:tcPr>
          <w:p w:rsidR="00D909BA" w:rsidRPr="00384D86" w:rsidRDefault="00D909BA" w:rsidP="00384D86">
            <w:pPr>
              <w:pStyle w:val="tbl-txt"/>
              <w:spacing w:before="60" w:beforeAutospacing="0" w:after="60" w:afterAutospacing="0" w:line="276" w:lineRule="auto"/>
              <w:textAlignment w:val="baseline"/>
              <w:rPr>
                <w:color w:val="444444"/>
                <w:lang w:val="ro-RO"/>
              </w:rPr>
            </w:pPr>
            <w:r w:rsidRPr="00384D86">
              <w:rPr>
                <w:color w:val="444444"/>
                <w:lang w:val="ro-RO"/>
              </w:rPr>
              <w:t>Mențiunea poate fi utilizată doar pentru produsele alimentare care furnizează glucide care sunt metabolizate de oameni (cu excepția poliolilor).</w:t>
            </w:r>
          </w:p>
          <w:p w:rsidR="00D909BA" w:rsidRPr="00384D86" w:rsidRDefault="00D909BA" w:rsidP="00384D86">
            <w:pPr>
              <w:pStyle w:val="tbl-txt"/>
              <w:spacing w:before="60" w:beforeAutospacing="0" w:after="60" w:afterAutospacing="0" w:line="276" w:lineRule="auto"/>
              <w:textAlignment w:val="baseline"/>
              <w:rPr>
                <w:color w:val="444444"/>
                <w:lang w:val="ro-RO"/>
              </w:rPr>
            </w:pPr>
            <w:r w:rsidRPr="00384D86">
              <w:rPr>
                <w:color w:val="444444"/>
                <w:lang w:val="ro-RO"/>
              </w:rPr>
              <w:t>Trebuie însoțită de o informare a consumatorului cu privire la faptul că efectul benefic se obține în condițiile consumului de glucide, din toate sursele, la o doză totală de 4 g per kg de greutate corporală, în doze administrate în primele patru ore și nu mai târziu de șase ore, în urma unui exercițiu fizic foarte intens și/sau de lungă durată, care conduce la oboseală musculară și la epuizarea depozitelor de glicogen din mușchiul scheletic.</w:t>
            </w:r>
          </w:p>
        </w:tc>
        <w:tc>
          <w:tcPr>
            <w:tcW w:w="914" w:type="pct"/>
            <w:tcBorders>
              <w:top w:val="single" w:sz="6" w:space="0" w:color="000000"/>
              <w:left w:val="single" w:sz="6" w:space="0" w:color="000000"/>
              <w:bottom w:val="single" w:sz="6" w:space="0" w:color="000000"/>
              <w:right w:val="single" w:sz="6" w:space="0" w:color="000000"/>
            </w:tcBorders>
            <w:shd w:val="clear" w:color="auto" w:fill="FFFFFF"/>
          </w:tcPr>
          <w:p w:rsidR="00D909BA" w:rsidRPr="00384D86" w:rsidRDefault="00D909BA" w:rsidP="00384D86">
            <w:pPr>
              <w:pStyle w:val="tbl-txt"/>
              <w:spacing w:before="60" w:beforeAutospacing="0" w:after="60" w:afterAutospacing="0" w:line="276" w:lineRule="auto"/>
              <w:textAlignment w:val="baseline"/>
              <w:rPr>
                <w:color w:val="444444"/>
                <w:lang w:val="ro-RO"/>
              </w:rPr>
            </w:pPr>
            <w:r w:rsidRPr="00384D86">
              <w:rPr>
                <w:color w:val="444444"/>
                <w:lang w:val="ro-RO"/>
              </w:rPr>
              <w:t>Mențiunea poate fi utilizată doar pentru produsele alimentare destinate adulților care au efectuat un exercițiu fizic foarte intens și/sau de lungă durată, care conduce la oboseală musculară și la epuizarea depozitelor de glicogen din mușchiul scheletic.</w:t>
            </w:r>
          </w:p>
        </w:tc>
      </w:tr>
      <w:tr w:rsidR="00D909BA"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D909BA" w:rsidRPr="00384D86" w:rsidRDefault="00D909BA" w:rsidP="00384D86">
            <w:pPr>
              <w:spacing w:before="60" w:after="60" w:line="276" w:lineRule="auto"/>
              <w:textAlignment w:val="baseline"/>
              <w:rPr>
                <w:rFonts w:ascii="Times New Roman" w:eastAsia="Times New Roman" w:hAnsi="Times New Roman" w:cs="Times New Roman"/>
                <w:color w:val="000000" w:themeColor="text1"/>
                <w:sz w:val="24"/>
                <w:szCs w:val="24"/>
                <w:lang w:val="ro-RO" w:eastAsia="ru-RU"/>
              </w:rPr>
            </w:pPr>
            <w:r w:rsidRPr="00384D86">
              <w:rPr>
                <w:rFonts w:ascii="Times New Roman" w:eastAsia="Times New Roman" w:hAnsi="Times New Roman" w:cs="Times New Roman"/>
                <w:color w:val="000000" w:themeColor="text1"/>
                <w:sz w:val="24"/>
                <w:szCs w:val="24"/>
                <w:lang w:val="ro-RO" w:eastAsia="ru-RU"/>
              </w:rPr>
              <w:t>225</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Pr>
          <w:p w:rsidR="00D909BA" w:rsidRPr="00384D86" w:rsidRDefault="00D909BA" w:rsidP="00384D86">
            <w:pPr>
              <w:pStyle w:val="tbl-txt"/>
              <w:spacing w:before="60" w:beforeAutospacing="0" w:after="60" w:afterAutospacing="0" w:line="276" w:lineRule="auto"/>
              <w:textAlignment w:val="baseline"/>
              <w:rPr>
                <w:b/>
                <w:color w:val="000000" w:themeColor="text1"/>
                <w:lang w:val="ro-RO"/>
              </w:rPr>
            </w:pPr>
            <w:r w:rsidRPr="00384D86">
              <w:rPr>
                <w:b/>
                <w:color w:val="000000" w:themeColor="text1"/>
                <w:lang w:val="ro-RO"/>
              </w:rPr>
              <w:t>Băutură nealcoolică acidă reformulată care conține: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15"/>
              <w:gridCol w:w="1043"/>
            </w:tblGrid>
            <w:tr w:rsidR="00D909BA" w:rsidRPr="00384D86" w:rsidTr="00D909BA">
              <w:tc>
                <w:tcPr>
                  <w:tcW w:w="21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909BA" w:rsidRPr="00384D86" w:rsidRDefault="00D909BA" w:rsidP="00384D86">
                  <w:pPr>
                    <w:pStyle w:val="2"/>
                    <w:spacing w:before="120" w:beforeAutospacing="0" w:after="0" w:afterAutospacing="0" w:line="276" w:lineRule="auto"/>
                    <w:jc w:val="both"/>
                    <w:textAlignment w:val="baseline"/>
                    <w:rPr>
                      <w:b/>
                      <w:color w:val="000000" w:themeColor="text1"/>
                      <w:lang w:val="ro-RO"/>
                    </w:rPr>
                  </w:pPr>
                  <w:r w:rsidRPr="00384D86">
                    <w:rPr>
                      <w:b/>
                      <w:color w:val="000000" w:themeColor="text1"/>
                      <w:lang w:val="ro-RO"/>
                    </w:rPr>
                    <w:t>—</w:t>
                  </w:r>
                </w:p>
              </w:tc>
              <w:tc>
                <w:tcPr>
                  <w:tcW w:w="103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909BA" w:rsidRPr="00384D86" w:rsidRDefault="00D909BA" w:rsidP="00384D86">
                  <w:pPr>
                    <w:pStyle w:val="2"/>
                    <w:spacing w:before="120" w:beforeAutospacing="0" w:after="0" w:afterAutospacing="0" w:line="276" w:lineRule="auto"/>
                    <w:jc w:val="both"/>
                    <w:textAlignment w:val="baseline"/>
                    <w:rPr>
                      <w:b/>
                      <w:color w:val="000000" w:themeColor="text1"/>
                      <w:lang w:val="ro-RO"/>
                    </w:rPr>
                  </w:pPr>
                  <w:r w:rsidRPr="00384D86">
                    <w:rPr>
                      <w:b/>
                      <w:color w:val="000000" w:themeColor="text1"/>
                      <w:lang w:val="ro-RO"/>
                    </w:rPr>
                    <w:t>mai puțin de 1 g de carbohidrați fermentabili per 100 ml (zaharuri și alți carbohidrați, cu excepția poliolilor);</w:t>
                  </w:r>
                </w:p>
              </w:tc>
            </w:tr>
            <w:tr w:rsidR="00D909BA" w:rsidRPr="00384D86" w:rsidTr="00D909BA">
              <w:tc>
                <w:tcPr>
                  <w:tcW w:w="21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909BA" w:rsidRPr="00384D86" w:rsidRDefault="00D909BA" w:rsidP="00384D86">
                  <w:pPr>
                    <w:pStyle w:val="2"/>
                    <w:spacing w:before="120" w:beforeAutospacing="0" w:after="0" w:afterAutospacing="0" w:line="276" w:lineRule="auto"/>
                    <w:jc w:val="both"/>
                    <w:textAlignment w:val="baseline"/>
                    <w:rPr>
                      <w:b/>
                      <w:color w:val="000000" w:themeColor="text1"/>
                      <w:lang w:val="ro-RO"/>
                    </w:rPr>
                  </w:pPr>
                  <w:r w:rsidRPr="00384D86">
                    <w:rPr>
                      <w:b/>
                      <w:color w:val="000000" w:themeColor="text1"/>
                      <w:lang w:val="ro-RO"/>
                    </w:rPr>
                    <w:t>—</w:t>
                  </w:r>
                </w:p>
              </w:tc>
              <w:tc>
                <w:tcPr>
                  <w:tcW w:w="103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909BA" w:rsidRPr="00384D86" w:rsidRDefault="00D909BA" w:rsidP="00384D86">
                  <w:pPr>
                    <w:pStyle w:val="2"/>
                    <w:spacing w:before="120" w:beforeAutospacing="0" w:after="0" w:afterAutospacing="0" w:line="276" w:lineRule="auto"/>
                    <w:jc w:val="both"/>
                    <w:textAlignment w:val="baseline"/>
                    <w:rPr>
                      <w:b/>
                      <w:color w:val="000000" w:themeColor="text1"/>
                      <w:lang w:val="ro-RO"/>
                    </w:rPr>
                  </w:pPr>
                  <w:r w:rsidRPr="00384D86">
                    <w:rPr>
                      <w:b/>
                      <w:color w:val="000000" w:themeColor="text1"/>
                      <w:lang w:val="ro-RO"/>
                    </w:rPr>
                    <w:t xml:space="preserve">calciu în </w:t>
                  </w:r>
                  <w:r w:rsidRPr="00384D86">
                    <w:rPr>
                      <w:b/>
                      <w:color w:val="000000" w:themeColor="text1"/>
                      <w:lang w:val="ro-RO"/>
                    </w:rPr>
                    <w:lastRenderedPageBreak/>
                    <w:t>intervalul 0,3-0,8 mol per mol de acidifiant;</w:t>
                  </w:r>
                </w:p>
              </w:tc>
            </w:tr>
            <w:tr w:rsidR="00D909BA" w:rsidRPr="00384D86" w:rsidTr="00D909BA">
              <w:tc>
                <w:tcPr>
                  <w:tcW w:w="21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909BA" w:rsidRPr="00384D86" w:rsidRDefault="00D909BA" w:rsidP="00384D86">
                  <w:pPr>
                    <w:pStyle w:val="2"/>
                    <w:spacing w:before="120" w:beforeAutospacing="0" w:after="0" w:afterAutospacing="0" w:line="276" w:lineRule="auto"/>
                    <w:jc w:val="both"/>
                    <w:textAlignment w:val="baseline"/>
                    <w:rPr>
                      <w:b/>
                      <w:color w:val="000000" w:themeColor="text1"/>
                      <w:lang w:val="ro-RO"/>
                    </w:rPr>
                  </w:pPr>
                  <w:r w:rsidRPr="00384D86">
                    <w:rPr>
                      <w:b/>
                      <w:color w:val="000000" w:themeColor="text1"/>
                      <w:lang w:val="ro-RO"/>
                    </w:rPr>
                    <w:lastRenderedPageBreak/>
                    <w:t>—</w:t>
                  </w:r>
                </w:p>
              </w:tc>
              <w:tc>
                <w:tcPr>
                  <w:tcW w:w="103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909BA" w:rsidRPr="00384D86" w:rsidRDefault="00D909BA" w:rsidP="00384D86">
                  <w:pPr>
                    <w:pStyle w:val="2"/>
                    <w:spacing w:before="120" w:beforeAutospacing="0" w:after="0" w:afterAutospacing="0" w:line="276" w:lineRule="auto"/>
                    <w:jc w:val="both"/>
                    <w:textAlignment w:val="baseline"/>
                    <w:rPr>
                      <w:b/>
                      <w:color w:val="000000" w:themeColor="text1"/>
                      <w:lang w:val="ro-RO"/>
                    </w:rPr>
                  </w:pPr>
                  <w:r w:rsidRPr="00384D86">
                    <w:rPr>
                      <w:b/>
                      <w:color w:val="000000" w:themeColor="text1"/>
                      <w:lang w:val="ro-RO"/>
                    </w:rPr>
                    <w:t>pH în intervalul 3,7-4,0.</w:t>
                  </w:r>
                </w:p>
              </w:tc>
            </w:tr>
          </w:tbl>
          <w:p w:rsidR="00D909BA" w:rsidRPr="00384D86" w:rsidRDefault="00D909BA" w:rsidP="00384D86">
            <w:pPr>
              <w:spacing w:line="276" w:lineRule="auto"/>
              <w:rPr>
                <w:rFonts w:ascii="Times New Roman" w:hAnsi="Times New Roman" w:cs="Times New Roman"/>
                <w:b/>
                <w:color w:val="000000" w:themeColor="text1"/>
                <w:sz w:val="24"/>
                <w:szCs w:val="24"/>
                <w:lang w:val="ro-RO"/>
              </w:rPr>
            </w:pPr>
          </w:p>
        </w:tc>
        <w:tc>
          <w:tcPr>
            <w:tcW w:w="915" w:type="pct"/>
            <w:tcBorders>
              <w:top w:val="single" w:sz="6" w:space="0" w:color="000000"/>
              <w:left w:val="single" w:sz="6" w:space="0" w:color="000000"/>
              <w:bottom w:val="single" w:sz="6" w:space="0" w:color="000000"/>
              <w:right w:val="single" w:sz="6" w:space="0" w:color="000000"/>
            </w:tcBorders>
            <w:shd w:val="clear" w:color="auto" w:fill="FFFFFF"/>
          </w:tcPr>
          <w:p w:rsidR="00D909BA" w:rsidRPr="00384D86" w:rsidRDefault="00D909BA" w:rsidP="00384D86">
            <w:pPr>
              <w:pStyle w:val="tbl-txt"/>
              <w:spacing w:before="0" w:beforeAutospacing="0" w:after="0" w:afterAutospacing="0" w:line="276" w:lineRule="auto"/>
              <w:textAlignment w:val="baseline"/>
              <w:rPr>
                <w:color w:val="000000" w:themeColor="text1"/>
                <w:lang w:val="ro-RO"/>
              </w:rPr>
            </w:pPr>
            <w:r w:rsidRPr="00384D86">
              <w:rPr>
                <w:color w:val="000000" w:themeColor="text1"/>
                <w:lang w:val="ro-RO"/>
              </w:rPr>
              <w:lastRenderedPageBreak/>
              <w:t>Înlocuirea băuturilor acide cu conținut de zahăr precum băuturile răcoritoare (de obicei 8-12 g zaharuri/100 ml) cu băuturi reformulate contribuie la menținerea mineralizării dinților</w:t>
            </w:r>
          </w:p>
        </w:tc>
        <w:tc>
          <w:tcPr>
            <w:tcW w:w="2184" w:type="pct"/>
            <w:tcBorders>
              <w:top w:val="single" w:sz="6" w:space="0" w:color="000000"/>
              <w:left w:val="single" w:sz="6" w:space="0" w:color="000000"/>
              <w:bottom w:val="single" w:sz="6" w:space="0" w:color="000000"/>
              <w:right w:val="single" w:sz="6" w:space="0" w:color="000000"/>
            </w:tcBorders>
            <w:shd w:val="clear" w:color="auto" w:fill="FFFFFF"/>
          </w:tcPr>
          <w:p w:rsidR="00D909BA" w:rsidRPr="00384D86" w:rsidRDefault="00D909BA" w:rsidP="00384D86">
            <w:pPr>
              <w:pStyle w:val="tbl-txt"/>
              <w:spacing w:before="60" w:beforeAutospacing="0" w:after="60" w:afterAutospacing="0" w:line="276" w:lineRule="auto"/>
              <w:textAlignment w:val="baseline"/>
              <w:rPr>
                <w:color w:val="000000" w:themeColor="text1"/>
                <w:lang w:val="ro-RO"/>
              </w:rPr>
            </w:pPr>
            <w:r w:rsidRPr="00384D86">
              <w:rPr>
                <w:color w:val="000000" w:themeColor="text1"/>
                <w:lang w:val="ro-RO"/>
              </w:rPr>
              <w:t>Pentru ca mențiunea să poată fi utilizată, băuturile acide reformulate trebuie să fie conforme cu descrierea produsului alimentar care face obiectul mențiunii.</w:t>
            </w:r>
          </w:p>
        </w:tc>
        <w:tc>
          <w:tcPr>
            <w:tcW w:w="914" w:type="pct"/>
            <w:tcBorders>
              <w:top w:val="single" w:sz="6" w:space="0" w:color="000000"/>
              <w:left w:val="single" w:sz="6" w:space="0" w:color="000000"/>
              <w:bottom w:val="single" w:sz="6" w:space="0" w:color="000000"/>
              <w:right w:val="single" w:sz="6" w:space="0" w:color="000000"/>
            </w:tcBorders>
            <w:shd w:val="clear" w:color="auto" w:fill="FFFFFF"/>
          </w:tcPr>
          <w:p w:rsidR="00D909BA" w:rsidRPr="00384D86" w:rsidRDefault="00D909BA" w:rsidP="00384D86">
            <w:pPr>
              <w:pStyle w:val="tbl-txt"/>
              <w:spacing w:before="60" w:beforeAutospacing="0" w:after="60" w:afterAutospacing="0" w:line="276" w:lineRule="auto"/>
              <w:textAlignment w:val="baseline"/>
              <w:rPr>
                <w:color w:val="000000" w:themeColor="text1"/>
                <w:lang w:val="ro-RO"/>
              </w:rPr>
            </w:pPr>
          </w:p>
        </w:tc>
      </w:tr>
      <w:tr w:rsidR="00D909BA"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D909BA" w:rsidRPr="00384D86" w:rsidRDefault="00D909BA" w:rsidP="00384D86">
            <w:pPr>
              <w:spacing w:before="60" w:after="60" w:line="276" w:lineRule="auto"/>
              <w:textAlignment w:val="baseline"/>
              <w:rPr>
                <w:rFonts w:ascii="Times New Roman" w:eastAsia="Times New Roman" w:hAnsi="Times New Roman" w:cs="Times New Roman"/>
                <w:color w:val="000000" w:themeColor="text1"/>
                <w:sz w:val="24"/>
                <w:szCs w:val="24"/>
                <w:lang w:val="ro-RO" w:eastAsia="ru-RU"/>
              </w:rPr>
            </w:pPr>
            <w:r w:rsidRPr="00384D86">
              <w:rPr>
                <w:rFonts w:ascii="Times New Roman" w:eastAsia="Times New Roman" w:hAnsi="Times New Roman" w:cs="Times New Roman"/>
                <w:color w:val="000000" w:themeColor="text1"/>
                <w:sz w:val="24"/>
                <w:szCs w:val="24"/>
                <w:lang w:val="ro-RO" w:eastAsia="ru-RU"/>
              </w:rPr>
              <w:lastRenderedPageBreak/>
              <w:t>226</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Pr>
          <w:p w:rsidR="00D909BA" w:rsidRPr="00384D86" w:rsidRDefault="00D909BA" w:rsidP="00384D86">
            <w:pPr>
              <w:pStyle w:val="tbl-txt"/>
              <w:spacing w:before="60" w:beforeAutospacing="0" w:after="60" w:afterAutospacing="0" w:line="276" w:lineRule="auto"/>
              <w:textAlignment w:val="baseline"/>
              <w:rPr>
                <w:b/>
                <w:color w:val="000000" w:themeColor="text1"/>
                <w:lang w:val="ro-RO"/>
              </w:rPr>
            </w:pPr>
            <w:r w:rsidRPr="00384D86">
              <w:rPr>
                <w:b/>
                <w:color w:val="000000" w:themeColor="text1"/>
                <w:lang w:val="ro-RO"/>
              </w:rPr>
              <w:t>Amidon lent digerabil</w:t>
            </w:r>
          </w:p>
        </w:tc>
        <w:tc>
          <w:tcPr>
            <w:tcW w:w="915" w:type="pct"/>
            <w:tcBorders>
              <w:top w:val="single" w:sz="6" w:space="0" w:color="000000"/>
              <w:left w:val="single" w:sz="6" w:space="0" w:color="000000"/>
              <w:bottom w:val="single" w:sz="6" w:space="0" w:color="000000"/>
              <w:right w:val="single" w:sz="6" w:space="0" w:color="000000"/>
            </w:tcBorders>
            <w:shd w:val="clear" w:color="auto" w:fill="FFFFFF"/>
          </w:tcPr>
          <w:p w:rsidR="00D909BA" w:rsidRPr="00384D86" w:rsidRDefault="00D909BA" w:rsidP="00384D86">
            <w:pPr>
              <w:pStyle w:val="tbl-txt"/>
              <w:spacing w:before="0" w:beforeAutospacing="0" w:after="0" w:afterAutospacing="0" w:line="276" w:lineRule="auto"/>
              <w:textAlignment w:val="baseline"/>
              <w:rPr>
                <w:color w:val="000000" w:themeColor="text1"/>
                <w:lang w:val="ro-RO"/>
              </w:rPr>
            </w:pPr>
            <w:r w:rsidRPr="00384D86">
              <w:rPr>
                <w:color w:val="000000" w:themeColor="text1"/>
                <w:lang w:val="ro-RO"/>
              </w:rPr>
              <w:t>Consumul de produse bogate în amidon lent digerabil (SDS) determină o creștere mai redusă a concentrației de glucoză din sânge după mese decât consumul de produse cu conținut redus de SDS</w:t>
            </w:r>
          </w:p>
        </w:tc>
        <w:tc>
          <w:tcPr>
            <w:tcW w:w="2184" w:type="pct"/>
            <w:tcBorders>
              <w:top w:val="single" w:sz="6" w:space="0" w:color="000000"/>
              <w:left w:val="single" w:sz="6" w:space="0" w:color="000000"/>
              <w:bottom w:val="single" w:sz="6" w:space="0" w:color="000000"/>
              <w:right w:val="single" w:sz="6" w:space="0" w:color="000000"/>
            </w:tcBorders>
            <w:shd w:val="clear" w:color="auto" w:fill="FFFFFF"/>
          </w:tcPr>
          <w:p w:rsidR="00D909BA" w:rsidRPr="00384D86" w:rsidRDefault="00D909BA" w:rsidP="00384D86">
            <w:pPr>
              <w:pStyle w:val="tbl-txt"/>
              <w:spacing w:before="60" w:beforeAutospacing="0" w:after="60" w:afterAutospacing="0" w:line="276" w:lineRule="auto"/>
              <w:textAlignment w:val="baseline"/>
              <w:rPr>
                <w:color w:val="000000" w:themeColor="text1"/>
                <w:lang w:val="ro-RO"/>
              </w:rPr>
            </w:pPr>
            <w:r w:rsidRPr="00384D86">
              <w:rPr>
                <w:color w:val="000000" w:themeColor="text1"/>
                <w:lang w:val="ro-RO"/>
              </w:rPr>
              <w:t>Mențiunea poate fi utilizată doar pentru alimentele în cazul cărora carbohidrații digerabili asigură cel puțin 60 % din aportul energetic total, iar cel puțin 55 % din acești carbohidrați reprezintă amidon digerabil, din care cel puțin 40 % reprezintă SDS.</w:t>
            </w:r>
          </w:p>
        </w:tc>
        <w:tc>
          <w:tcPr>
            <w:tcW w:w="914" w:type="pct"/>
            <w:tcBorders>
              <w:top w:val="single" w:sz="6" w:space="0" w:color="000000"/>
              <w:left w:val="single" w:sz="6" w:space="0" w:color="000000"/>
              <w:bottom w:val="single" w:sz="6" w:space="0" w:color="000000"/>
              <w:right w:val="single" w:sz="6" w:space="0" w:color="000000"/>
            </w:tcBorders>
            <w:shd w:val="clear" w:color="auto" w:fill="FFFFFF"/>
          </w:tcPr>
          <w:p w:rsidR="00D909BA" w:rsidRPr="00384D86" w:rsidRDefault="00D909BA" w:rsidP="00384D86">
            <w:pPr>
              <w:pStyle w:val="tbl-txt"/>
              <w:spacing w:before="60" w:beforeAutospacing="0" w:after="60" w:afterAutospacing="0" w:line="276" w:lineRule="auto"/>
              <w:textAlignment w:val="baseline"/>
              <w:rPr>
                <w:color w:val="000000" w:themeColor="text1"/>
                <w:lang w:val="ro-RO"/>
              </w:rPr>
            </w:pPr>
          </w:p>
        </w:tc>
      </w:tr>
      <w:tr w:rsidR="00D909BA"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D909BA" w:rsidRPr="00384D86" w:rsidRDefault="00D909BA" w:rsidP="00384D86">
            <w:pPr>
              <w:spacing w:before="60" w:after="60" w:line="276" w:lineRule="auto"/>
              <w:textAlignment w:val="baseline"/>
              <w:rPr>
                <w:rFonts w:ascii="Times New Roman" w:eastAsia="Times New Roman" w:hAnsi="Times New Roman" w:cs="Times New Roman"/>
                <w:color w:val="000000" w:themeColor="text1"/>
                <w:sz w:val="24"/>
                <w:szCs w:val="24"/>
                <w:lang w:val="ro-RO" w:eastAsia="ru-RU"/>
              </w:rPr>
            </w:pPr>
            <w:r w:rsidRPr="00384D86">
              <w:rPr>
                <w:rFonts w:ascii="Times New Roman" w:eastAsia="Times New Roman" w:hAnsi="Times New Roman" w:cs="Times New Roman"/>
                <w:color w:val="000000" w:themeColor="text1"/>
                <w:sz w:val="24"/>
                <w:szCs w:val="24"/>
                <w:lang w:val="ro-RO" w:eastAsia="ru-RU"/>
              </w:rPr>
              <w:t>227</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Pr>
          <w:p w:rsidR="00D909BA" w:rsidRPr="00384D86" w:rsidRDefault="00D909BA" w:rsidP="00384D86">
            <w:pPr>
              <w:pStyle w:val="tbl-txt"/>
              <w:spacing w:before="60" w:beforeAutospacing="0" w:after="60" w:afterAutospacing="0" w:line="276" w:lineRule="auto"/>
              <w:textAlignment w:val="baseline"/>
              <w:rPr>
                <w:b/>
                <w:color w:val="000000" w:themeColor="text1"/>
                <w:lang w:val="ro-RO"/>
              </w:rPr>
            </w:pPr>
            <w:r w:rsidRPr="00384D86">
              <w:rPr>
                <w:b/>
                <w:color w:val="000000" w:themeColor="text1"/>
                <w:lang w:val="ro-RO"/>
              </w:rPr>
              <w:t>Flavanoli din cacao</w:t>
            </w:r>
          </w:p>
        </w:tc>
        <w:tc>
          <w:tcPr>
            <w:tcW w:w="915" w:type="pct"/>
            <w:tcBorders>
              <w:top w:val="single" w:sz="6" w:space="0" w:color="000000"/>
              <w:left w:val="single" w:sz="6" w:space="0" w:color="000000"/>
              <w:bottom w:val="single" w:sz="6" w:space="0" w:color="000000"/>
              <w:right w:val="single" w:sz="6" w:space="0" w:color="000000"/>
            </w:tcBorders>
            <w:shd w:val="clear" w:color="auto" w:fill="FFFFFF"/>
          </w:tcPr>
          <w:p w:rsidR="00D909BA" w:rsidRPr="00384D86" w:rsidRDefault="00D909BA" w:rsidP="00384D86">
            <w:pPr>
              <w:pStyle w:val="tbl-txt"/>
              <w:spacing w:before="0" w:beforeAutospacing="0" w:after="0" w:afterAutospacing="0" w:line="276" w:lineRule="auto"/>
              <w:textAlignment w:val="baseline"/>
              <w:rPr>
                <w:color w:val="000000" w:themeColor="text1"/>
                <w:lang w:val="ro-RO"/>
              </w:rPr>
            </w:pPr>
            <w:r w:rsidRPr="00384D86">
              <w:rPr>
                <w:color w:val="000000" w:themeColor="text1"/>
                <w:lang w:val="ro-RO"/>
              </w:rPr>
              <w:t>Flavanolii din cacao ajută la menținerea elasticității vaselor de sânge, contribuind la menținerea unui flux sanguin normal</w:t>
            </w:r>
            <w:r w:rsidRPr="00384D86">
              <w:rPr>
                <w:color w:val="000000" w:themeColor="text1"/>
                <w:bdr w:val="none" w:sz="0" w:space="0" w:color="auto" w:frame="1"/>
                <w:lang w:val="ro-RO"/>
              </w:rPr>
              <w:t> </w:t>
            </w:r>
          </w:p>
        </w:tc>
        <w:tc>
          <w:tcPr>
            <w:tcW w:w="2184" w:type="pct"/>
            <w:tcBorders>
              <w:top w:val="single" w:sz="6" w:space="0" w:color="000000"/>
              <w:left w:val="single" w:sz="6" w:space="0" w:color="000000"/>
              <w:bottom w:val="single" w:sz="6" w:space="0" w:color="000000"/>
              <w:right w:val="single" w:sz="6" w:space="0" w:color="000000"/>
            </w:tcBorders>
            <w:shd w:val="clear" w:color="auto" w:fill="FFFFFF"/>
          </w:tcPr>
          <w:p w:rsidR="00D909BA" w:rsidRPr="00384D86" w:rsidRDefault="00D909BA" w:rsidP="00384D86">
            <w:pPr>
              <w:pStyle w:val="tbl-txt"/>
              <w:spacing w:before="60" w:beforeAutospacing="0" w:after="60" w:afterAutospacing="0" w:line="276" w:lineRule="auto"/>
              <w:textAlignment w:val="baseline"/>
              <w:rPr>
                <w:color w:val="000000" w:themeColor="text1"/>
                <w:lang w:val="ro-RO"/>
              </w:rPr>
            </w:pPr>
            <w:r w:rsidRPr="00384D86">
              <w:rPr>
                <w:color w:val="000000" w:themeColor="text1"/>
                <w:lang w:val="ro-RO"/>
              </w:rPr>
              <w:t>Consumatorul este informat cu privire la faptul că efectul benefic se obține în condițiile unui consum zilnic de 200 mg de flavanoli din cacao.</w:t>
            </w:r>
          </w:p>
          <w:p w:rsidR="00D909BA" w:rsidRPr="00384D86" w:rsidRDefault="00D909BA" w:rsidP="00384D86">
            <w:pPr>
              <w:pStyle w:val="tbl-txt"/>
              <w:spacing w:before="60" w:beforeAutospacing="0" w:after="60" w:afterAutospacing="0" w:line="276" w:lineRule="auto"/>
              <w:textAlignment w:val="baseline"/>
              <w:rPr>
                <w:color w:val="000000" w:themeColor="text1"/>
                <w:lang w:val="ro-RO"/>
              </w:rPr>
            </w:pPr>
            <w:r w:rsidRPr="00384D86">
              <w:rPr>
                <w:color w:val="000000" w:themeColor="text1"/>
                <w:lang w:val="ro-RO"/>
              </w:rPr>
              <w:t>Mențiunea poate fi utilizată numai pentru băuturile care conțin cacao (pudră de cacao) sau pentru ciocolata neagră care presupun un aport zilnic de minimum 200 mg de flavanoli din cacao cu un grad de polimerizare în intervalul 1-10.</w:t>
            </w:r>
          </w:p>
        </w:tc>
        <w:tc>
          <w:tcPr>
            <w:tcW w:w="914" w:type="pct"/>
            <w:tcBorders>
              <w:top w:val="single" w:sz="6" w:space="0" w:color="000000"/>
              <w:left w:val="single" w:sz="6" w:space="0" w:color="000000"/>
              <w:bottom w:val="single" w:sz="6" w:space="0" w:color="000000"/>
              <w:right w:val="single" w:sz="6" w:space="0" w:color="000000"/>
            </w:tcBorders>
            <w:shd w:val="clear" w:color="auto" w:fill="FFFFFF"/>
          </w:tcPr>
          <w:p w:rsidR="00D909BA" w:rsidRPr="00384D86" w:rsidRDefault="00D909BA" w:rsidP="00384D86">
            <w:pPr>
              <w:pStyle w:val="tbl-txt"/>
              <w:spacing w:before="60" w:beforeAutospacing="0" w:after="60" w:afterAutospacing="0" w:line="276" w:lineRule="auto"/>
              <w:textAlignment w:val="baseline"/>
              <w:rPr>
                <w:color w:val="000000" w:themeColor="text1"/>
                <w:lang w:val="ro-RO"/>
              </w:rPr>
            </w:pPr>
          </w:p>
        </w:tc>
      </w:tr>
      <w:tr w:rsidR="00D909BA" w:rsidRPr="00384D86" w:rsidTr="00D909BA">
        <w:tc>
          <w:tcPr>
            <w:tcW w:w="3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D909BA" w:rsidRPr="00384D86" w:rsidRDefault="00D909BA" w:rsidP="00384D86">
            <w:pPr>
              <w:spacing w:before="60" w:after="60" w:line="276" w:lineRule="auto"/>
              <w:textAlignment w:val="baseline"/>
              <w:rPr>
                <w:rFonts w:ascii="Times New Roman" w:eastAsia="Times New Roman" w:hAnsi="Times New Roman" w:cs="Times New Roman"/>
                <w:color w:val="000000" w:themeColor="text1"/>
                <w:sz w:val="24"/>
                <w:szCs w:val="24"/>
                <w:lang w:val="ro-RO" w:eastAsia="ru-RU"/>
              </w:rPr>
            </w:pPr>
            <w:r w:rsidRPr="00384D86">
              <w:rPr>
                <w:rFonts w:ascii="Times New Roman" w:eastAsia="Times New Roman" w:hAnsi="Times New Roman" w:cs="Times New Roman"/>
                <w:color w:val="000000" w:themeColor="text1"/>
                <w:sz w:val="24"/>
                <w:szCs w:val="24"/>
                <w:lang w:val="ro-RO" w:eastAsia="ru-RU"/>
              </w:rPr>
              <w:t>228</w:t>
            </w:r>
          </w:p>
        </w:tc>
        <w:tc>
          <w:tcPr>
            <w:tcW w:w="634" w:type="pct"/>
            <w:tcBorders>
              <w:top w:val="single" w:sz="6" w:space="0" w:color="000000"/>
              <w:left w:val="single" w:sz="6" w:space="0" w:color="000000"/>
              <w:bottom w:val="single" w:sz="6" w:space="0" w:color="000000"/>
              <w:right w:val="single" w:sz="6" w:space="0" w:color="000000"/>
            </w:tcBorders>
            <w:shd w:val="clear" w:color="auto" w:fill="FFFFFF"/>
          </w:tcPr>
          <w:p w:rsidR="00D909BA" w:rsidRPr="00384D86" w:rsidRDefault="00D909BA" w:rsidP="00384D86">
            <w:pPr>
              <w:pStyle w:val="tbl-txt"/>
              <w:spacing w:before="60" w:beforeAutospacing="0" w:after="60" w:afterAutospacing="0" w:line="276" w:lineRule="auto"/>
              <w:textAlignment w:val="baseline"/>
              <w:rPr>
                <w:b/>
                <w:color w:val="444444"/>
                <w:lang w:val="ro-RO"/>
              </w:rPr>
            </w:pPr>
            <w:r w:rsidRPr="00384D86">
              <w:rPr>
                <w:b/>
                <w:color w:val="444444"/>
                <w:lang w:val="ro-RO"/>
              </w:rPr>
              <w:t>Fibrele din sfecla de zahăr</w:t>
            </w:r>
          </w:p>
        </w:tc>
        <w:tc>
          <w:tcPr>
            <w:tcW w:w="915" w:type="pct"/>
            <w:tcBorders>
              <w:top w:val="single" w:sz="6" w:space="0" w:color="000000"/>
              <w:left w:val="single" w:sz="6" w:space="0" w:color="000000"/>
              <w:bottom w:val="single" w:sz="6" w:space="0" w:color="000000"/>
              <w:right w:val="single" w:sz="6" w:space="0" w:color="000000"/>
            </w:tcBorders>
            <w:shd w:val="clear" w:color="auto" w:fill="FFFFFF"/>
          </w:tcPr>
          <w:p w:rsidR="00D909BA" w:rsidRPr="00384D86" w:rsidRDefault="00D909BA" w:rsidP="00384D86">
            <w:pPr>
              <w:pStyle w:val="tbl-txt"/>
              <w:spacing w:before="60" w:beforeAutospacing="0" w:after="60" w:afterAutospacing="0" w:line="276" w:lineRule="auto"/>
              <w:textAlignment w:val="baseline"/>
              <w:rPr>
                <w:color w:val="444444"/>
                <w:lang w:val="ro-RO"/>
              </w:rPr>
            </w:pPr>
            <w:r w:rsidRPr="00384D86">
              <w:rPr>
                <w:color w:val="444444"/>
                <w:lang w:val="ro-RO"/>
              </w:rPr>
              <w:t>Fibrele din sfecla de zahăr contribuie la creșterea volumului bolului fecal</w:t>
            </w:r>
          </w:p>
        </w:tc>
        <w:tc>
          <w:tcPr>
            <w:tcW w:w="2184" w:type="pct"/>
            <w:tcBorders>
              <w:top w:val="single" w:sz="6" w:space="0" w:color="000000"/>
              <w:left w:val="single" w:sz="6" w:space="0" w:color="000000"/>
              <w:bottom w:val="single" w:sz="6" w:space="0" w:color="000000"/>
              <w:right w:val="single" w:sz="6" w:space="0" w:color="000000"/>
            </w:tcBorders>
            <w:shd w:val="clear" w:color="auto" w:fill="FFFFFF"/>
          </w:tcPr>
          <w:p w:rsidR="00D909BA" w:rsidRPr="00384D86" w:rsidRDefault="00D909BA" w:rsidP="00384D86">
            <w:pPr>
              <w:pStyle w:val="tbl-txt"/>
              <w:spacing w:before="60" w:beforeAutospacing="0" w:after="60" w:afterAutospacing="0" w:line="276" w:lineRule="auto"/>
              <w:textAlignment w:val="baseline"/>
              <w:rPr>
                <w:color w:val="444444"/>
                <w:lang w:val="ro-RO"/>
              </w:rPr>
            </w:pPr>
            <w:r w:rsidRPr="00384D86">
              <w:rPr>
                <w:color w:val="444444"/>
                <w:lang w:val="ro-RO"/>
              </w:rPr>
              <w:t xml:space="preserve">Mențiunea poate fi utilizată doar pentru produsele alimentare având un conținut bogat în astfel de fibre, astfel cum apare la mențiunea BOGAT ÎN FIBRE, prevăzută în anexa la </w:t>
            </w:r>
            <w:r w:rsidRPr="00384D86">
              <w:rPr>
                <w:lang w:val="ro-RO"/>
              </w:rPr>
              <w:t>Regulamentul sanitar privind mențiunile nutriționale și de sănătate înscrise pe produsele alimentare, aprobat prin Hotărîrea Guvernului nr. 196 din 25.03.2011.</w:t>
            </w:r>
          </w:p>
        </w:tc>
        <w:tc>
          <w:tcPr>
            <w:tcW w:w="914" w:type="pct"/>
            <w:tcBorders>
              <w:top w:val="single" w:sz="6" w:space="0" w:color="000000"/>
              <w:left w:val="single" w:sz="6" w:space="0" w:color="000000"/>
              <w:bottom w:val="single" w:sz="6" w:space="0" w:color="000000"/>
              <w:right w:val="single" w:sz="6" w:space="0" w:color="000000"/>
            </w:tcBorders>
            <w:shd w:val="clear" w:color="auto" w:fill="FFFFFF"/>
          </w:tcPr>
          <w:p w:rsidR="00D909BA" w:rsidRPr="00384D86" w:rsidRDefault="00D909BA" w:rsidP="00384D86">
            <w:pPr>
              <w:pStyle w:val="tbl-txt"/>
              <w:spacing w:before="60" w:beforeAutospacing="0" w:after="60" w:afterAutospacing="0" w:line="276" w:lineRule="auto"/>
              <w:textAlignment w:val="baseline"/>
              <w:rPr>
                <w:color w:val="000000" w:themeColor="text1"/>
                <w:lang w:val="ro-RO"/>
              </w:rPr>
            </w:pPr>
          </w:p>
        </w:tc>
      </w:tr>
    </w:tbl>
    <w:p w:rsidR="00C95F91" w:rsidRPr="00384D86" w:rsidRDefault="00C95F91" w:rsidP="00384D86">
      <w:pPr>
        <w:shd w:val="clear" w:color="auto" w:fill="FFFFFF"/>
        <w:spacing w:before="240" w:after="60" w:line="276" w:lineRule="auto"/>
        <w:textAlignment w:val="baseline"/>
        <w:rPr>
          <w:rFonts w:ascii="Times New Roman" w:eastAsia="Times New Roman" w:hAnsi="Times New Roman" w:cs="Times New Roman"/>
          <w:color w:val="000000" w:themeColor="text1"/>
          <w:sz w:val="24"/>
          <w:szCs w:val="24"/>
          <w:lang w:val="ro-RO" w:eastAsia="ru-RU"/>
        </w:rPr>
      </w:pPr>
    </w:p>
    <w:sectPr w:rsidR="00C95F91" w:rsidRPr="00384D86" w:rsidSect="008A7EEF">
      <w:pgSz w:w="11906" w:h="16838"/>
      <w:pgMar w:top="851"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E06B6"/>
    <w:multiLevelType w:val="hybridMultilevel"/>
    <w:tmpl w:val="254405EE"/>
    <w:lvl w:ilvl="0" w:tplc="5680D7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975159"/>
    <w:multiLevelType w:val="hybridMultilevel"/>
    <w:tmpl w:val="EAB82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1B160FC"/>
    <w:multiLevelType w:val="hybridMultilevel"/>
    <w:tmpl w:val="2C6449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7F255DF"/>
    <w:multiLevelType w:val="hybridMultilevel"/>
    <w:tmpl w:val="7F74051E"/>
    <w:lvl w:ilvl="0" w:tplc="07B40970">
      <w:start w:val="1"/>
      <w:numFmt w:val="decimal"/>
      <w:lvlText w:val="%1."/>
      <w:lvlJc w:val="left"/>
      <w:pPr>
        <w:ind w:left="720" w:hanging="360"/>
      </w:pPr>
      <w:rPr>
        <w:rFonts w:eastAsia="Calibri"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713"/>
    <w:rsid w:val="00017D21"/>
    <w:rsid w:val="000267B7"/>
    <w:rsid w:val="000538DE"/>
    <w:rsid w:val="000D6713"/>
    <w:rsid w:val="00137288"/>
    <w:rsid w:val="001A0FF6"/>
    <w:rsid w:val="001D1405"/>
    <w:rsid w:val="002C6F40"/>
    <w:rsid w:val="00313751"/>
    <w:rsid w:val="00384D86"/>
    <w:rsid w:val="003D6EA6"/>
    <w:rsid w:val="00565E2F"/>
    <w:rsid w:val="00627A3C"/>
    <w:rsid w:val="00712D21"/>
    <w:rsid w:val="00842999"/>
    <w:rsid w:val="0086669D"/>
    <w:rsid w:val="008970D5"/>
    <w:rsid w:val="008A7EEF"/>
    <w:rsid w:val="008E4909"/>
    <w:rsid w:val="00A964B9"/>
    <w:rsid w:val="00AE342D"/>
    <w:rsid w:val="00AF7934"/>
    <w:rsid w:val="00C95F91"/>
    <w:rsid w:val="00CB7451"/>
    <w:rsid w:val="00D05277"/>
    <w:rsid w:val="00D27372"/>
    <w:rsid w:val="00D909BA"/>
    <w:rsid w:val="00E76694"/>
    <w:rsid w:val="00EF64A4"/>
    <w:rsid w:val="00F004E6"/>
    <w:rsid w:val="00F21517"/>
    <w:rsid w:val="00F27EE7"/>
    <w:rsid w:val="00F36335"/>
    <w:rsid w:val="00FF4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D6713"/>
  </w:style>
  <w:style w:type="paragraph" w:customStyle="1" w:styleId="doc-ti">
    <w:name w:val="doc-ti"/>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D6713"/>
    <w:rPr>
      <w:color w:val="0000FF"/>
      <w:u w:val="single"/>
    </w:rPr>
  </w:style>
  <w:style w:type="character" w:styleId="a4">
    <w:name w:val="FollowedHyperlink"/>
    <w:basedOn w:val="a0"/>
    <w:uiPriority w:val="99"/>
    <w:semiHidden/>
    <w:unhideWhenUsed/>
    <w:rsid w:val="000D6713"/>
    <w:rPr>
      <w:color w:val="800080"/>
      <w:u w:val="single"/>
    </w:rPr>
  </w:style>
  <w:style w:type="character" w:customStyle="1" w:styleId="super">
    <w:name w:val="super"/>
    <w:basedOn w:val="a0"/>
    <w:rsid w:val="000D6713"/>
  </w:style>
  <w:style w:type="paragraph" w:customStyle="1" w:styleId="ti-art">
    <w:name w:val="ti-art"/>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art">
    <w:name w:val="sti-art"/>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talic">
    <w:name w:val="italic"/>
    <w:basedOn w:val="a0"/>
    <w:rsid w:val="000D6713"/>
  </w:style>
  <w:style w:type="paragraph" w:customStyle="1" w:styleId="signatory">
    <w:name w:val="signatory"/>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bl">
    <w:name w:val="ti-tbl"/>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0D6713"/>
  </w:style>
  <w:style w:type="paragraph" w:customStyle="1" w:styleId="tbl-hdr">
    <w:name w:val="tbl-hdr"/>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l-txt">
    <w:name w:val="tbl-txt"/>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l-num">
    <w:name w:val="tbl-num"/>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27A3C"/>
    <w:pPr>
      <w:ind w:left="720"/>
      <w:contextualSpacing/>
    </w:pPr>
  </w:style>
  <w:style w:type="paragraph" w:styleId="a6">
    <w:name w:val="Balloon Text"/>
    <w:basedOn w:val="a"/>
    <w:link w:val="a7"/>
    <w:uiPriority w:val="99"/>
    <w:semiHidden/>
    <w:unhideWhenUsed/>
    <w:rsid w:val="000538D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538DE"/>
    <w:rPr>
      <w:rFonts w:ascii="Segoe UI" w:hAnsi="Segoe UI" w:cs="Segoe UI"/>
      <w:sz w:val="18"/>
      <w:szCs w:val="18"/>
    </w:rPr>
  </w:style>
  <w:style w:type="character" w:styleId="a8">
    <w:name w:val="Strong"/>
    <w:basedOn w:val="a0"/>
    <w:uiPriority w:val="22"/>
    <w:qFormat/>
    <w:rsid w:val="0086669D"/>
    <w:rPr>
      <w:b/>
      <w:bCs/>
    </w:rPr>
  </w:style>
  <w:style w:type="paragraph" w:customStyle="1" w:styleId="2">
    <w:name w:val="Обычный2"/>
    <w:basedOn w:val="a"/>
    <w:rsid w:val="00D909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D6713"/>
  </w:style>
  <w:style w:type="paragraph" w:customStyle="1" w:styleId="doc-ti">
    <w:name w:val="doc-ti"/>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D6713"/>
    <w:rPr>
      <w:color w:val="0000FF"/>
      <w:u w:val="single"/>
    </w:rPr>
  </w:style>
  <w:style w:type="character" w:styleId="a4">
    <w:name w:val="FollowedHyperlink"/>
    <w:basedOn w:val="a0"/>
    <w:uiPriority w:val="99"/>
    <w:semiHidden/>
    <w:unhideWhenUsed/>
    <w:rsid w:val="000D6713"/>
    <w:rPr>
      <w:color w:val="800080"/>
      <w:u w:val="single"/>
    </w:rPr>
  </w:style>
  <w:style w:type="character" w:customStyle="1" w:styleId="super">
    <w:name w:val="super"/>
    <w:basedOn w:val="a0"/>
    <w:rsid w:val="000D6713"/>
  </w:style>
  <w:style w:type="paragraph" w:customStyle="1" w:styleId="ti-art">
    <w:name w:val="ti-art"/>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art">
    <w:name w:val="sti-art"/>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talic">
    <w:name w:val="italic"/>
    <w:basedOn w:val="a0"/>
    <w:rsid w:val="000D6713"/>
  </w:style>
  <w:style w:type="paragraph" w:customStyle="1" w:styleId="signatory">
    <w:name w:val="signatory"/>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bl">
    <w:name w:val="ti-tbl"/>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0D6713"/>
  </w:style>
  <w:style w:type="paragraph" w:customStyle="1" w:styleId="tbl-hdr">
    <w:name w:val="tbl-hdr"/>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l-txt">
    <w:name w:val="tbl-txt"/>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l-num">
    <w:name w:val="tbl-num"/>
    <w:basedOn w:val="a"/>
    <w:rsid w:val="000D6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27A3C"/>
    <w:pPr>
      <w:ind w:left="720"/>
      <w:contextualSpacing/>
    </w:pPr>
  </w:style>
  <w:style w:type="paragraph" w:styleId="a6">
    <w:name w:val="Balloon Text"/>
    <w:basedOn w:val="a"/>
    <w:link w:val="a7"/>
    <w:uiPriority w:val="99"/>
    <w:semiHidden/>
    <w:unhideWhenUsed/>
    <w:rsid w:val="000538D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538DE"/>
    <w:rPr>
      <w:rFonts w:ascii="Segoe UI" w:hAnsi="Segoe UI" w:cs="Segoe UI"/>
      <w:sz w:val="18"/>
      <w:szCs w:val="18"/>
    </w:rPr>
  </w:style>
  <w:style w:type="character" w:styleId="a8">
    <w:name w:val="Strong"/>
    <w:basedOn w:val="a0"/>
    <w:uiPriority w:val="22"/>
    <w:qFormat/>
    <w:rsid w:val="0086669D"/>
    <w:rPr>
      <w:b/>
      <w:bCs/>
    </w:rPr>
  </w:style>
  <w:style w:type="paragraph" w:customStyle="1" w:styleId="2">
    <w:name w:val="Обычный2"/>
    <w:basedOn w:val="a"/>
    <w:rsid w:val="00D909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722">
      <w:bodyDiv w:val="1"/>
      <w:marLeft w:val="0"/>
      <w:marRight w:val="0"/>
      <w:marTop w:val="0"/>
      <w:marBottom w:val="0"/>
      <w:divBdr>
        <w:top w:val="none" w:sz="0" w:space="0" w:color="auto"/>
        <w:left w:val="none" w:sz="0" w:space="0" w:color="auto"/>
        <w:bottom w:val="none" w:sz="0" w:space="0" w:color="auto"/>
        <w:right w:val="none" w:sz="0" w:space="0" w:color="auto"/>
      </w:divBdr>
    </w:div>
    <w:div w:id="1100368170">
      <w:bodyDiv w:val="1"/>
      <w:marLeft w:val="0"/>
      <w:marRight w:val="0"/>
      <w:marTop w:val="0"/>
      <w:marBottom w:val="0"/>
      <w:divBdr>
        <w:top w:val="none" w:sz="0" w:space="0" w:color="auto"/>
        <w:left w:val="none" w:sz="0" w:space="0" w:color="auto"/>
        <w:bottom w:val="none" w:sz="0" w:space="0" w:color="auto"/>
        <w:right w:val="none" w:sz="0" w:space="0" w:color="auto"/>
      </w:divBdr>
      <w:divsChild>
        <w:div w:id="1828085421">
          <w:marLeft w:val="810"/>
          <w:marRight w:val="810"/>
          <w:marTop w:val="360"/>
          <w:marBottom w:val="0"/>
          <w:divBdr>
            <w:top w:val="none" w:sz="0" w:space="0" w:color="auto"/>
            <w:left w:val="none" w:sz="0" w:space="0" w:color="auto"/>
            <w:bottom w:val="none" w:sz="0" w:space="0" w:color="auto"/>
            <w:right w:val="none" w:sz="0" w:space="0" w:color="auto"/>
          </w:divBdr>
          <w:divsChild>
            <w:div w:id="1396245464">
              <w:marLeft w:val="4005"/>
              <w:marRight w:val="810"/>
              <w:marTop w:val="0"/>
              <w:marBottom w:val="0"/>
              <w:divBdr>
                <w:top w:val="none" w:sz="0" w:space="0" w:color="auto"/>
                <w:left w:val="none" w:sz="0" w:space="0" w:color="auto"/>
                <w:bottom w:val="none" w:sz="0" w:space="0" w:color="auto"/>
                <w:right w:val="none" w:sz="0" w:space="0" w:color="auto"/>
              </w:divBdr>
            </w:div>
          </w:divsChild>
        </w:div>
        <w:div w:id="1390805814">
          <w:marLeft w:val="0"/>
          <w:marRight w:val="0"/>
          <w:marTop w:val="0"/>
          <w:marBottom w:val="0"/>
          <w:divBdr>
            <w:top w:val="none" w:sz="0" w:space="0" w:color="auto"/>
            <w:left w:val="none" w:sz="0" w:space="0" w:color="auto"/>
            <w:bottom w:val="none" w:sz="0" w:space="0" w:color="auto"/>
            <w:right w:val="none" w:sz="0" w:space="0" w:color="auto"/>
          </w:divBdr>
        </w:div>
      </w:divsChild>
    </w:div>
    <w:div w:id="1776367957">
      <w:bodyDiv w:val="1"/>
      <w:marLeft w:val="0"/>
      <w:marRight w:val="0"/>
      <w:marTop w:val="0"/>
      <w:marBottom w:val="0"/>
      <w:divBdr>
        <w:top w:val="none" w:sz="0" w:space="0" w:color="auto"/>
        <w:left w:val="none" w:sz="0" w:space="0" w:color="auto"/>
        <w:bottom w:val="none" w:sz="0" w:space="0" w:color="auto"/>
        <w:right w:val="none" w:sz="0" w:space="0" w:color="auto"/>
      </w:divBdr>
    </w:div>
    <w:div w:id="207913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ur-lex.europa.eu/legal-content/RO/TXT/?uri=CELEX:32012R04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729A7-43B4-4B1C-A8F9-74DA8D449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17324</Words>
  <Characters>98749</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2017-07-07T09:40:00Z</dcterms:created>
  <dcterms:modified xsi:type="dcterms:W3CDTF">2017-07-07T09:40:00Z</dcterms:modified>
</cp:coreProperties>
</file>