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09D" w:rsidRPr="00046584" w:rsidRDefault="004F309D" w:rsidP="004935CB">
      <w:pPr>
        <w:pStyle w:val="BodyText"/>
        <w:jc w:val="center"/>
        <w:rPr>
          <w:b/>
          <w:sz w:val="28"/>
          <w:szCs w:val="28"/>
        </w:rPr>
      </w:pPr>
    </w:p>
    <w:p w:rsidR="004F309D" w:rsidRPr="00046584" w:rsidRDefault="004F309D" w:rsidP="004935CB">
      <w:pPr>
        <w:pStyle w:val="BodyText"/>
        <w:jc w:val="center"/>
        <w:rPr>
          <w:b/>
          <w:sz w:val="28"/>
          <w:szCs w:val="28"/>
        </w:rPr>
      </w:pPr>
    </w:p>
    <w:p w:rsidR="004F309D" w:rsidRDefault="004F309D" w:rsidP="004935CB">
      <w:pPr>
        <w:pStyle w:val="BodyText"/>
        <w:jc w:val="center"/>
        <w:rPr>
          <w:b/>
          <w:sz w:val="28"/>
          <w:szCs w:val="28"/>
          <w:lang w:val="en-US"/>
        </w:rPr>
      </w:pPr>
    </w:p>
    <w:p w:rsidR="004F309D" w:rsidRDefault="004F309D" w:rsidP="004935CB">
      <w:pPr>
        <w:pStyle w:val="BodyText"/>
        <w:jc w:val="center"/>
        <w:rPr>
          <w:b/>
          <w:sz w:val="28"/>
          <w:szCs w:val="28"/>
          <w:lang w:val="en-US"/>
        </w:rPr>
      </w:pPr>
      <w:r w:rsidRPr="004439DC">
        <w:rPr>
          <w:b/>
          <w:sz w:val="28"/>
          <w:szCs w:val="28"/>
          <w:lang w:val="en-US"/>
        </w:rPr>
        <w:t>NOTA INFORMATIVĂ</w:t>
      </w:r>
    </w:p>
    <w:p w:rsidR="004F309D" w:rsidRPr="003142DA" w:rsidRDefault="004F309D" w:rsidP="003142DA">
      <w:pPr>
        <w:pStyle w:val="BodyText"/>
        <w:jc w:val="center"/>
        <w:rPr>
          <w:i/>
          <w:sz w:val="28"/>
          <w:szCs w:val="28"/>
          <w:lang w:val="en-US"/>
        </w:rPr>
      </w:pPr>
      <w:r w:rsidRPr="003142DA">
        <w:rPr>
          <w:i/>
          <w:sz w:val="28"/>
          <w:szCs w:val="28"/>
          <w:lang w:val="en-US"/>
        </w:rPr>
        <w:t xml:space="preserve">la proiectul hotărîrii Guvernului </w:t>
      </w:r>
    </w:p>
    <w:p w:rsidR="004F309D" w:rsidRPr="003142DA" w:rsidRDefault="004F309D" w:rsidP="003142DA">
      <w:pPr>
        <w:pStyle w:val="BodyText"/>
        <w:jc w:val="center"/>
        <w:rPr>
          <w:i/>
          <w:sz w:val="28"/>
          <w:szCs w:val="28"/>
          <w:lang w:val="en-US"/>
        </w:rPr>
      </w:pPr>
      <w:r w:rsidRPr="003142DA">
        <w:rPr>
          <w:i/>
          <w:sz w:val="28"/>
          <w:szCs w:val="28"/>
          <w:lang w:val="en-US"/>
        </w:rPr>
        <w:t>privind modificarea anexei la Hotărîrea Guvernului nr. 78 din 15 februarie 2017</w:t>
      </w:r>
    </w:p>
    <w:p w:rsidR="004F309D" w:rsidRPr="004439DC" w:rsidRDefault="004F309D" w:rsidP="003142DA">
      <w:pPr>
        <w:pStyle w:val="BodyText"/>
        <w:rPr>
          <w:b/>
          <w:sz w:val="28"/>
          <w:szCs w:val="28"/>
          <w:lang w:val="en-US"/>
        </w:rPr>
      </w:pPr>
    </w:p>
    <w:p w:rsidR="004F309D" w:rsidRPr="00046584" w:rsidRDefault="004F309D" w:rsidP="000543EB">
      <w:pPr>
        <w:ind w:firstLine="709"/>
        <w:rPr>
          <w:szCs w:val="28"/>
        </w:rPr>
      </w:pPr>
      <w:r>
        <w:rPr>
          <w:szCs w:val="28"/>
          <w:lang w:val="en-US"/>
        </w:rPr>
        <w:t xml:space="preserve">În ședința Guvernului din 15 februarie </w:t>
      </w:r>
      <w:smartTag w:uri="urn:schemas-microsoft-com:office:smarttags" w:element="metricconverter">
        <w:smartTagPr>
          <w:attr w:name="ProductID" w:val="2017, a"/>
        </w:smartTagPr>
        <w:r>
          <w:rPr>
            <w:szCs w:val="28"/>
            <w:lang w:val="en-US"/>
          </w:rPr>
          <w:t>2017, a</w:t>
        </w:r>
      </w:smartTag>
      <w:r>
        <w:rPr>
          <w:szCs w:val="28"/>
          <w:lang w:val="en-US"/>
        </w:rPr>
        <w:t xml:space="preserve"> fost aprobată Hotărîrea nr. 78 cu privire la alocarea mijloacelor financiare, elaborată </w:t>
      </w:r>
      <w:r w:rsidRPr="00046584">
        <w:rPr>
          <w:szCs w:val="28"/>
        </w:rPr>
        <w:t>întru executarea deciziei Comisiei pentru Situații Excepționale a Republicii Moldova din 16 decembrie 2016 (Procesul verbal nr. 31-12-13-360).</w:t>
      </w:r>
    </w:p>
    <w:p w:rsidR="004F309D" w:rsidRPr="000543EB" w:rsidRDefault="004F309D" w:rsidP="000543EB">
      <w:pPr>
        <w:ind w:firstLine="709"/>
        <w:rPr>
          <w:sz w:val="24"/>
          <w:szCs w:val="24"/>
        </w:rPr>
      </w:pPr>
      <w:r w:rsidRPr="00046584">
        <w:rPr>
          <w:szCs w:val="28"/>
        </w:rPr>
        <w:t xml:space="preserve">În cadrul ședinței din 16 decembrie 2016, Comisia pentru Situații Excepționale a Republicii Moldova a acceptat alocarea mijloacelor financiare pentru lichidarea consecințelor situațiilor excepționale, </w:t>
      </w:r>
      <w:r>
        <w:rPr>
          <w:szCs w:val="28"/>
        </w:rPr>
        <w:t xml:space="preserve">iar prin Hotărîrea Guvernului nr. 78 din 15 februarie 2017, acestea au fost alocate după cum urmează: </w:t>
      </w:r>
    </w:p>
    <w:tbl>
      <w:tblPr>
        <w:tblW w:w="4941" w:type="pct"/>
        <w:tblCellMar>
          <w:top w:w="15" w:type="dxa"/>
          <w:left w:w="15" w:type="dxa"/>
          <w:bottom w:w="15" w:type="dxa"/>
          <w:right w:w="15" w:type="dxa"/>
        </w:tblCellMar>
        <w:tblLook w:val="0000"/>
      </w:tblPr>
      <w:tblGrid>
        <w:gridCol w:w="385"/>
        <w:gridCol w:w="2190"/>
        <w:gridCol w:w="5721"/>
        <w:gridCol w:w="1319"/>
      </w:tblGrid>
      <w:tr w:rsidR="004F309D" w:rsidTr="000543EB">
        <w:tc>
          <w:tcPr>
            <w:tcW w:w="2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center"/>
              <w:rPr>
                <w:b/>
                <w:bCs/>
                <w:sz w:val="20"/>
              </w:rPr>
            </w:pPr>
            <w:r>
              <w:rPr>
                <w:b/>
                <w:bCs/>
                <w:sz w:val="20"/>
              </w:rPr>
              <w:t>Nr. crt.</w:t>
            </w:r>
          </w:p>
        </w:tc>
        <w:tc>
          <w:tcPr>
            <w:tcW w:w="1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center"/>
              <w:rPr>
                <w:b/>
                <w:bCs/>
                <w:sz w:val="20"/>
              </w:rPr>
            </w:pPr>
            <w:r>
              <w:rPr>
                <w:b/>
                <w:bCs/>
                <w:sz w:val="20"/>
              </w:rPr>
              <w:t>Autorităţile publice</w:t>
            </w:r>
          </w:p>
        </w:tc>
        <w:tc>
          <w:tcPr>
            <w:tcW w:w="2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center"/>
              <w:rPr>
                <w:b/>
                <w:bCs/>
                <w:sz w:val="20"/>
              </w:rPr>
            </w:pPr>
            <w:r>
              <w:rPr>
                <w:b/>
                <w:bCs/>
                <w:sz w:val="20"/>
              </w:rPr>
              <w:t>Destinaţia alocaţiilor</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center"/>
              <w:rPr>
                <w:b/>
                <w:bCs/>
                <w:sz w:val="20"/>
              </w:rPr>
            </w:pPr>
            <w:r>
              <w:rPr>
                <w:b/>
                <w:bCs/>
                <w:sz w:val="20"/>
              </w:rPr>
              <w:t>Suma, mii lei</w:t>
            </w:r>
          </w:p>
        </w:tc>
      </w:tr>
      <w:tr w:rsidR="004F309D" w:rsidTr="000543E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center"/>
              <w:rPr>
                <w:sz w:val="20"/>
              </w:rPr>
            </w:pPr>
            <w:r>
              <w:rPr>
                <w:sz w:val="20"/>
              </w:rPr>
              <w:t>1.</w:t>
            </w:r>
          </w:p>
        </w:tc>
        <w:tc>
          <w:tcPr>
            <w:tcW w:w="1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Pr="003628A2" w:rsidRDefault="004F309D" w:rsidP="005E03D4">
            <w:pPr>
              <w:rPr>
                <w:sz w:val="20"/>
                <w:lang w:val="en-US"/>
              </w:rPr>
            </w:pPr>
            <w:r w:rsidRPr="003628A2">
              <w:rPr>
                <w:sz w:val="20"/>
                <w:lang w:val="en-US"/>
              </w:rPr>
              <w:t>Ministerul Afacerilor Interne (Serviciul Protecţiei Civile şi Situaţiilor Excepţionale)</w:t>
            </w:r>
          </w:p>
        </w:tc>
        <w:tc>
          <w:tcPr>
            <w:tcW w:w="2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Pr="003628A2" w:rsidRDefault="004F309D" w:rsidP="005E03D4">
            <w:pPr>
              <w:rPr>
                <w:sz w:val="20"/>
                <w:lang w:val="en-US"/>
              </w:rPr>
            </w:pPr>
            <w:r w:rsidRPr="003628A2">
              <w:rPr>
                <w:sz w:val="20"/>
                <w:lang w:val="en-US"/>
              </w:rPr>
              <w:t>Recuperarea cheltuielilor suportate la lichidarea consecinţelor situaţiilor excepţionale în raioanele din sudul Republicii Moldova, cauzate de ninsorile şi viscolul puternic din perioada 17-20 ianuarie 2016 şi de ploile torenţiale, însoţite de vînt puternic şi grindină, din perioada 18-19 iunie 2016</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right"/>
              <w:rPr>
                <w:sz w:val="20"/>
              </w:rPr>
            </w:pPr>
            <w:r>
              <w:rPr>
                <w:sz w:val="20"/>
              </w:rPr>
              <w:t>615,6</w:t>
            </w:r>
          </w:p>
        </w:tc>
      </w:tr>
      <w:tr w:rsidR="004F309D" w:rsidTr="000543E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center"/>
              <w:rPr>
                <w:sz w:val="20"/>
              </w:rPr>
            </w:pPr>
            <w:r>
              <w:rPr>
                <w:sz w:val="20"/>
              </w:rPr>
              <w:t>2.</w:t>
            </w:r>
          </w:p>
        </w:tc>
        <w:tc>
          <w:tcPr>
            <w:tcW w:w="1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Pr="003628A2" w:rsidRDefault="004F309D" w:rsidP="005E03D4">
            <w:pPr>
              <w:rPr>
                <w:sz w:val="20"/>
                <w:lang w:val="en-US"/>
              </w:rPr>
            </w:pPr>
            <w:r w:rsidRPr="003628A2">
              <w:rPr>
                <w:sz w:val="20"/>
                <w:lang w:val="en-US"/>
              </w:rPr>
              <w:t>Ministerul Transporturilor şi Infrastructurii Drumurilor</w:t>
            </w:r>
          </w:p>
        </w:tc>
        <w:tc>
          <w:tcPr>
            <w:tcW w:w="2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Pr="003628A2" w:rsidRDefault="004F309D" w:rsidP="005E03D4">
            <w:pPr>
              <w:rPr>
                <w:sz w:val="20"/>
                <w:lang w:val="en-US"/>
              </w:rPr>
            </w:pPr>
            <w:r w:rsidRPr="003628A2">
              <w:rPr>
                <w:sz w:val="20"/>
                <w:lang w:val="en-US"/>
              </w:rPr>
              <w:t>Recuperarea cheltuielilor suportate la lucrările de deblocare a drumurilor locale pentru intervenţiile de urgenţă din perioada 17-19 ianuarie 2016</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right"/>
              <w:rPr>
                <w:sz w:val="20"/>
              </w:rPr>
            </w:pPr>
            <w:r>
              <w:rPr>
                <w:sz w:val="20"/>
              </w:rPr>
              <w:t>77,7</w:t>
            </w:r>
          </w:p>
        </w:tc>
      </w:tr>
      <w:tr w:rsidR="004F309D" w:rsidTr="000543E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center"/>
              <w:rPr>
                <w:sz w:val="20"/>
              </w:rPr>
            </w:pPr>
            <w:r>
              <w:rPr>
                <w:sz w:val="20"/>
              </w:rPr>
              <w:t>3.</w:t>
            </w:r>
          </w:p>
        </w:tc>
        <w:tc>
          <w:tcPr>
            <w:tcW w:w="1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rPr>
                <w:sz w:val="20"/>
              </w:rPr>
            </w:pPr>
            <w:r>
              <w:rPr>
                <w:sz w:val="20"/>
              </w:rPr>
              <w:t>Agenţia Rezerve Materiale</w:t>
            </w:r>
          </w:p>
        </w:tc>
        <w:tc>
          <w:tcPr>
            <w:tcW w:w="2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Pr="003628A2" w:rsidRDefault="004F309D" w:rsidP="005E03D4">
            <w:pPr>
              <w:rPr>
                <w:sz w:val="20"/>
                <w:lang w:val="en-US"/>
              </w:rPr>
            </w:pPr>
            <w:r w:rsidRPr="003628A2">
              <w:rPr>
                <w:sz w:val="20"/>
                <w:lang w:val="en-US"/>
              </w:rPr>
              <w:t>Costul bunurilor materiale eliberate din rezervele materiale de stat pentru lichidarea consecinţelor ploilor abundente cu grindină şi vijelie din iunie 2016</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right"/>
              <w:rPr>
                <w:sz w:val="20"/>
              </w:rPr>
            </w:pPr>
            <w:r>
              <w:rPr>
                <w:sz w:val="20"/>
              </w:rPr>
              <w:t>9070,4</w:t>
            </w:r>
          </w:p>
        </w:tc>
      </w:tr>
      <w:tr w:rsidR="004F309D" w:rsidTr="000543E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center"/>
              <w:rPr>
                <w:sz w:val="20"/>
              </w:rPr>
            </w:pPr>
            <w:r>
              <w:rPr>
                <w:sz w:val="20"/>
              </w:rPr>
              <w:t>4.</w:t>
            </w:r>
          </w:p>
        </w:tc>
        <w:tc>
          <w:tcPr>
            <w:tcW w:w="1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rPr>
                <w:sz w:val="20"/>
              </w:rPr>
            </w:pPr>
            <w:r>
              <w:rPr>
                <w:sz w:val="20"/>
              </w:rPr>
              <w:t>Consiliul raional Edineţ</w:t>
            </w:r>
          </w:p>
        </w:tc>
        <w:tc>
          <w:tcPr>
            <w:tcW w:w="2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Pr="003628A2" w:rsidRDefault="004F309D" w:rsidP="005E03D4">
            <w:pPr>
              <w:rPr>
                <w:sz w:val="20"/>
                <w:lang w:val="en-US"/>
              </w:rPr>
            </w:pPr>
            <w:r w:rsidRPr="003628A2">
              <w:rPr>
                <w:sz w:val="20"/>
                <w:lang w:val="en-US"/>
              </w:rPr>
              <w:t>Proiectarea şi reconstrucţia podului de acces spre intravilanul satului Trinca, deteriorat în urma ploilor abundente din vara anului 2014</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right"/>
              <w:rPr>
                <w:sz w:val="20"/>
              </w:rPr>
            </w:pPr>
            <w:r>
              <w:rPr>
                <w:sz w:val="20"/>
              </w:rPr>
              <w:t>3905,0</w:t>
            </w:r>
          </w:p>
        </w:tc>
      </w:tr>
      <w:tr w:rsidR="004F309D" w:rsidTr="000543E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center"/>
              <w:rPr>
                <w:sz w:val="20"/>
              </w:rPr>
            </w:pPr>
            <w:r>
              <w:rPr>
                <w:sz w:val="20"/>
              </w:rPr>
              <w:t>5.</w:t>
            </w:r>
          </w:p>
        </w:tc>
        <w:tc>
          <w:tcPr>
            <w:tcW w:w="1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rPr>
                <w:sz w:val="20"/>
              </w:rPr>
            </w:pPr>
            <w:r>
              <w:rPr>
                <w:sz w:val="20"/>
              </w:rPr>
              <w:t>Consiliul raional Floreşti</w:t>
            </w:r>
          </w:p>
        </w:tc>
        <w:tc>
          <w:tcPr>
            <w:tcW w:w="2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Pr="003628A2" w:rsidRDefault="004F309D" w:rsidP="005E03D4">
            <w:pPr>
              <w:rPr>
                <w:sz w:val="20"/>
                <w:lang w:val="en-US"/>
              </w:rPr>
            </w:pPr>
            <w:r w:rsidRPr="003628A2">
              <w:rPr>
                <w:sz w:val="20"/>
                <w:lang w:val="en-US"/>
              </w:rPr>
              <w:t>Lichidarea consecinţelor situaţiei excepţionale cauzate de ploile torenţiale, însoţite de vînt puternic, din perioada 31 mai - 1 iunie 2016</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right"/>
              <w:rPr>
                <w:sz w:val="20"/>
              </w:rPr>
            </w:pPr>
            <w:r>
              <w:rPr>
                <w:sz w:val="20"/>
              </w:rPr>
              <w:t>224,9</w:t>
            </w:r>
          </w:p>
        </w:tc>
      </w:tr>
      <w:tr w:rsidR="004F309D" w:rsidTr="000543E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center"/>
              <w:rPr>
                <w:sz w:val="20"/>
              </w:rPr>
            </w:pPr>
            <w:r>
              <w:rPr>
                <w:sz w:val="20"/>
              </w:rPr>
              <w:t>6.</w:t>
            </w:r>
          </w:p>
        </w:tc>
        <w:tc>
          <w:tcPr>
            <w:tcW w:w="1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rPr>
                <w:sz w:val="20"/>
              </w:rPr>
            </w:pPr>
            <w:r>
              <w:rPr>
                <w:sz w:val="20"/>
              </w:rPr>
              <w:t>Consiliul raional Leova</w:t>
            </w:r>
          </w:p>
        </w:tc>
        <w:tc>
          <w:tcPr>
            <w:tcW w:w="2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Pr="003628A2" w:rsidRDefault="004F309D" w:rsidP="005E03D4">
            <w:pPr>
              <w:rPr>
                <w:sz w:val="20"/>
                <w:lang w:val="en-US"/>
              </w:rPr>
            </w:pPr>
            <w:r w:rsidRPr="003628A2">
              <w:rPr>
                <w:sz w:val="20"/>
                <w:lang w:val="en-US"/>
              </w:rPr>
              <w:t>Restabilirea drumului local şi a podului din satul Cociulia Nouă, comuna Băiuş, afectate de ploile torenţiale din perioada 31 mai - 3 iunie 2016</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right"/>
              <w:rPr>
                <w:sz w:val="20"/>
              </w:rPr>
            </w:pPr>
            <w:r>
              <w:rPr>
                <w:sz w:val="20"/>
              </w:rPr>
              <w:t>530,4</w:t>
            </w:r>
          </w:p>
        </w:tc>
      </w:tr>
      <w:tr w:rsidR="004F309D" w:rsidTr="000543E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center"/>
              <w:rPr>
                <w:sz w:val="20"/>
              </w:rPr>
            </w:pPr>
            <w:r>
              <w:rPr>
                <w:sz w:val="20"/>
              </w:rPr>
              <w:t>7.</w:t>
            </w:r>
          </w:p>
        </w:tc>
        <w:tc>
          <w:tcPr>
            <w:tcW w:w="1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rPr>
                <w:sz w:val="20"/>
              </w:rPr>
            </w:pPr>
            <w:r>
              <w:rPr>
                <w:sz w:val="20"/>
              </w:rPr>
              <w:t>Consiliul raional Soroca</w:t>
            </w:r>
          </w:p>
        </w:tc>
        <w:tc>
          <w:tcPr>
            <w:tcW w:w="2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Pr="003628A2" w:rsidRDefault="004F309D" w:rsidP="005E03D4">
            <w:pPr>
              <w:rPr>
                <w:sz w:val="20"/>
                <w:lang w:val="en-US"/>
              </w:rPr>
            </w:pPr>
            <w:r w:rsidRPr="003628A2">
              <w:rPr>
                <w:sz w:val="20"/>
                <w:lang w:val="en-US"/>
              </w:rPr>
              <w:t>Procurarea locuinţei pentru familia cet. Pînzari Natalia, satul Schineni, a cărei casă a fost deteriorată în urma incendiului din 18 ianuarie 2016</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right"/>
              <w:rPr>
                <w:sz w:val="20"/>
              </w:rPr>
            </w:pPr>
            <w:r>
              <w:rPr>
                <w:sz w:val="20"/>
              </w:rPr>
              <w:t>40,0</w:t>
            </w:r>
          </w:p>
        </w:tc>
      </w:tr>
      <w:tr w:rsidR="004F309D" w:rsidTr="000543EB">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center"/>
              <w:rPr>
                <w:sz w:val="20"/>
              </w:rPr>
            </w:pPr>
            <w:r>
              <w:rPr>
                <w:sz w:val="20"/>
              </w:rPr>
              <w:t>8.</w:t>
            </w:r>
          </w:p>
        </w:tc>
        <w:tc>
          <w:tcPr>
            <w:tcW w:w="11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rPr>
                <w:sz w:val="20"/>
              </w:rPr>
            </w:pPr>
            <w:r>
              <w:rPr>
                <w:sz w:val="20"/>
              </w:rPr>
              <w:t>Consiliul raional Ungheni</w:t>
            </w:r>
          </w:p>
        </w:tc>
        <w:tc>
          <w:tcPr>
            <w:tcW w:w="2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Pr="003628A2" w:rsidRDefault="004F309D" w:rsidP="005E03D4">
            <w:pPr>
              <w:rPr>
                <w:sz w:val="20"/>
                <w:lang w:val="en-US"/>
              </w:rPr>
            </w:pPr>
            <w:r w:rsidRPr="003628A2">
              <w:rPr>
                <w:sz w:val="20"/>
                <w:lang w:val="en-US"/>
              </w:rPr>
              <w:t>Reparaţia acoperişului grădiniţei-creşă „Andrieş” din satul Rădenii Vechi, care a fost deteriorat de vîntul puternic din 12 octombrie 2016</w:t>
            </w: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right"/>
              <w:rPr>
                <w:sz w:val="20"/>
              </w:rPr>
            </w:pPr>
            <w:r>
              <w:rPr>
                <w:sz w:val="20"/>
              </w:rPr>
              <w:t>42,8</w:t>
            </w:r>
          </w:p>
        </w:tc>
      </w:tr>
      <w:tr w:rsidR="004F309D" w:rsidTr="000543EB">
        <w:tc>
          <w:tcPr>
            <w:tcW w:w="1339" w:type="pct"/>
            <w:gridSpan w:val="2"/>
            <w:tcBorders>
              <w:top w:val="single" w:sz="6" w:space="0" w:color="000000"/>
              <w:left w:val="single" w:sz="6" w:space="0" w:color="000000"/>
              <w:bottom w:val="single" w:sz="6" w:space="0" w:color="000000"/>
              <w:right w:val="single" w:sz="6" w:space="0" w:color="000000"/>
            </w:tcBorders>
          </w:tcPr>
          <w:p w:rsidR="004F309D" w:rsidRDefault="004F309D" w:rsidP="005E03D4">
            <w:pPr>
              <w:pStyle w:val="NormalWeb"/>
              <w:rPr>
                <w:sz w:val="20"/>
                <w:szCs w:val="20"/>
              </w:rPr>
            </w:pPr>
            <w:r>
              <w:rPr>
                <w:b/>
                <w:bCs/>
                <w:sz w:val="20"/>
                <w:szCs w:val="20"/>
              </w:rPr>
              <w:t>TOTAL:</w:t>
            </w:r>
          </w:p>
        </w:tc>
        <w:tc>
          <w:tcPr>
            <w:tcW w:w="29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rPr>
                <w:sz w:val="20"/>
              </w:rPr>
            </w:pPr>
          </w:p>
        </w:tc>
        <w:tc>
          <w:tcPr>
            <w:tcW w:w="6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F309D" w:rsidRDefault="004F309D" w:rsidP="005E03D4">
            <w:pPr>
              <w:jc w:val="right"/>
              <w:rPr>
                <w:sz w:val="20"/>
              </w:rPr>
            </w:pPr>
            <w:r>
              <w:rPr>
                <w:b/>
                <w:bCs/>
                <w:sz w:val="20"/>
              </w:rPr>
              <w:t>14506,8</w:t>
            </w:r>
          </w:p>
        </w:tc>
      </w:tr>
    </w:tbl>
    <w:p w:rsidR="004F309D" w:rsidRDefault="004F309D" w:rsidP="000543EB">
      <w:pPr>
        <w:autoSpaceDE w:val="0"/>
        <w:autoSpaceDN w:val="0"/>
        <w:adjustRightInd w:val="0"/>
        <w:ind w:firstLine="709"/>
        <w:rPr>
          <w:szCs w:val="28"/>
        </w:rPr>
      </w:pPr>
      <w:r>
        <w:rPr>
          <w:szCs w:val="28"/>
        </w:rPr>
        <w:t xml:space="preserve">După publicarea Hotărîrii în Monitorul Oficial al Republicii Moldova, Ministerul Finanțelor a fost sesizat despre imposibilitatea efectuării transferurilor mijloacelor financiare către consiliile raionale, întrucît contractele de antrepriză au fost încheiate de către primăriile consiliilor menționate în anexă. </w:t>
      </w:r>
    </w:p>
    <w:p w:rsidR="004F309D" w:rsidRDefault="004F309D" w:rsidP="0002548B">
      <w:pPr>
        <w:autoSpaceDE w:val="0"/>
        <w:autoSpaceDN w:val="0"/>
        <w:adjustRightInd w:val="0"/>
        <w:ind w:firstLine="709"/>
        <w:rPr>
          <w:szCs w:val="28"/>
        </w:rPr>
      </w:pPr>
      <w:r w:rsidRPr="0002548B">
        <w:rPr>
          <w:szCs w:val="28"/>
        </w:rPr>
        <w:t xml:space="preserve">Astfel, în conformitate cu prevederile Legii nr. 435 din 28 decembrie 2006 privind descentralizarea administrativă, notăm că </w:t>
      </w:r>
      <w:r w:rsidRPr="0002548B">
        <w:rPr>
          <w:szCs w:val="28"/>
          <w:lang w:val="en-US"/>
        </w:rPr>
        <w:t xml:space="preserve">unul dintre principiile descentralizării administrative are la bază </w:t>
      </w:r>
      <w:r w:rsidRPr="0002548B">
        <w:rPr>
          <w:color w:val="000000"/>
          <w:szCs w:val="28"/>
          <w:lang w:val="en-US"/>
        </w:rPr>
        <w:t>principiul autonomiei locale, care presupune garantarea dreptului şi capacităţii efective a autorităţilor publice locale de a reglementa şi gestiona, conform legii, sub propria lor responsabilitate şi în interesul populaţiei locale, o parte importantă din treburile publice</w:t>
      </w:r>
      <w:r w:rsidRPr="0002548B">
        <w:rPr>
          <w:szCs w:val="28"/>
        </w:rPr>
        <w:t xml:space="preserve">, fapt pentru care alocarea mijloacelor financiare către consiliile raionale face imposibilă implementarea Hotărîrii Guvernului nr. 78 din 15 februarie 2017 ,,Cu privire la alocarea mijloacelor financiare”. </w:t>
      </w:r>
    </w:p>
    <w:p w:rsidR="004F309D" w:rsidRDefault="004F309D" w:rsidP="000543EB">
      <w:pPr>
        <w:autoSpaceDE w:val="0"/>
        <w:autoSpaceDN w:val="0"/>
        <w:adjustRightInd w:val="0"/>
        <w:ind w:firstLine="709"/>
        <w:rPr>
          <w:szCs w:val="28"/>
        </w:rPr>
      </w:pPr>
      <w:r>
        <w:rPr>
          <w:szCs w:val="28"/>
        </w:rPr>
        <w:t xml:space="preserve">Urmare celor expuse și la solicitarea Ministerului Finanțelor, a fost elaborat proiectul hotărîrii Guvernului cu privire la amendarea anexei Hotărîrii Guvernului nr. 78 din 15 februarie 2017, în partea ce ține de compartimentul ,,Autoritățile publice”. </w:t>
      </w:r>
    </w:p>
    <w:p w:rsidR="004F309D" w:rsidRDefault="004F309D" w:rsidP="00984AE0">
      <w:pPr>
        <w:autoSpaceDE w:val="0"/>
        <w:autoSpaceDN w:val="0"/>
        <w:adjustRightInd w:val="0"/>
        <w:ind w:firstLine="709"/>
        <w:rPr>
          <w:szCs w:val="28"/>
        </w:rPr>
      </w:pPr>
      <w:r>
        <w:rPr>
          <w:szCs w:val="28"/>
        </w:rPr>
        <w:t xml:space="preserve">Respectiv, punctele 4 – 8, compartimentul ,,Autoritățile publice” din anexă se modifică și vor avea următorul cuprins: </w:t>
      </w:r>
    </w:p>
    <w:p w:rsidR="004F309D" w:rsidRDefault="004F309D" w:rsidP="000543EB">
      <w:pPr>
        <w:autoSpaceDE w:val="0"/>
        <w:autoSpaceDN w:val="0"/>
        <w:adjustRightInd w:val="0"/>
        <w:ind w:firstLine="709"/>
        <w:rPr>
          <w:szCs w:val="28"/>
        </w:rPr>
      </w:pPr>
      <w:r>
        <w:rPr>
          <w:szCs w:val="28"/>
        </w:rPr>
        <w:t>,,</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13"/>
      </w:tblGrid>
      <w:tr w:rsidR="004F309D" w:rsidRPr="00B55637" w:rsidTr="005E03D4">
        <w:tc>
          <w:tcPr>
            <w:tcW w:w="675" w:type="dxa"/>
            <w:vAlign w:val="center"/>
          </w:tcPr>
          <w:p w:rsidR="004F309D" w:rsidRPr="00B55637" w:rsidRDefault="004F309D" w:rsidP="005E03D4">
            <w:pPr>
              <w:rPr>
                <w:szCs w:val="28"/>
              </w:rPr>
            </w:pPr>
            <w:r w:rsidRPr="00B55637">
              <w:rPr>
                <w:szCs w:val="28"/>
              </w:rPr>
              <w:t>4.</w:t>
            </w:r>
          </w:p>
        </w:tc>
        <w:tc>
          <w:tcPr>
            <w:tcW w:w="9113" w:type="dxa"/>
            <w:vAlign w:val="center"/>
          </w:tcPr>
          <w:p w:rsidR="004F309D" w:rsidRPr="00B55637" w:rsidRDefault="004F309D" w:rsidP="005E03D4">
            <w:pPr>
              <w:rPr>
                <w:szCs w:val="28"/>
              </w:rPr>
            </w:pPr>
            <w:r w:rsidRPr="00B55637">
              <w:rPr>
                <w:szCs w:val="28"/>
              </w:rPr>
              <w:t>Primăria sa</w:t>
            </w:r>
            <w:r>
              <w:rPr>
                <w:szCs w:val="28"/>
              </w:rPr>
              <w:t xml:space="preserve">tului Trinca, </w:t>
            </w:r>
            <w:r w:rsidRPr="00B55637">
              <w:rPr>
                <w:szCs w:val="28"/>
              </w:rPr>
              <w:t>raionul Edineț</w:t>
            </w:r>
          </w:p>
        </w:tc>
      </w:tr>
      <w:tr w:rsidR="004F309D" w:rsidRPr="00B55637" w:rsidTr="005E03D4">
        <w:tc>
          <w:tcPr>
            <w:tcW w:w="675" w:type="dxa"/>
            <w:vAlign w:val="center"/>
          </w:tcPr>
          <w:p w:rsidR="004F309D" w:rsidRPr="00B55637" w:rsidRDefault="004F309D" w:rsidP="005E03D4">
            <w:pPr>
              <w:rPr>
                <w:szCs w:val="28"/>
              </w:rPr>
            </w:pPr>
            <w:r w:rsidRPr="00B55637">
              <w:rPr>
                <w:szCs w:val="28"/>
              </w:rPr>
              <w:t>5.</w:t>
            </w:r>
          </w:p>
        </w:tc>
        <w:tc>
          <w:tcPr>
            <w:tcW w:w="9113" w:type="dxa"/>
            <w:vAlign w:val="center"/>
          </w:tcPr>
          <w:p w:rsidR="004F309D" w:rsidRPr="00B55637" w:rsidRDefault="004F309D" w:rsidP="005E03D4">
            <w:pPr>
              <w:rPr>
                <w:szCs w:val="28"/>
              </w:rPr>
            </w:pPr>
            <w:r w:rsidRPr="00B55637">
              <w:rPr>
                <w:szCs w:val="28"/>
              </w:rPr>
              <w:t>Primăria comunei Japca,</w:t>
            </w:r>
            <w:r>
              <w:rPr>
                <w:szCs w:val="28"/>
              </w:rPr>
              <w:t xml:space="preserve"> </w:t>
            </w:r>
            <w:r w:rsidRPr="00B55637">
              <w:rPr>
                <w:szCs w:val="28"/>
              </w:rPr>
              <w:t xml:space="preserve"> raionul Florești</w:t>
            </w:r>
          </w:p>
        </w:tc>
      </w:tr>
      <w:tr w:rsidR="004F309D" w:rsidRPr="00B55637" w:rsidTr="005E03D4">
        <w:tc>
          <w:tcPr>
            <w:tcW w:w="675" w:type="dxa"/>
            <w:vAlign w:val="center"/>
          </w:tcPr>
          <w:p w:rsidR="004F309D" w:rsidRPr="00B55637" w:rsidRDefault="004F309D" w:rsidP="005E03D4">
            <w:pPr>
              <w:rPr>
                <w:szCs w:val="28"/>
              </w:rPr>
            </w:pPr>
            <w:r w:rsidRPr="00B55637">
              <w:rPr>
                <w:szCs w:val="28"/>
              </w:rPr>
              <w:t>6.</w:t>
            </w:r>
          </w:p>
        </w:tc>
        <w:tc>
          <w:tcPr>
            <w:tcW w:w="9113" w:type="dxa"/>
            <w:vAlign w:val="center"/>
          </w:tcPr>
          <w:p w:rsidR="004F309D" w:rsidRPr="00B55637" w:rsidRDefault="004F309D" w:rsidP="005E03D4">
            <w:pPr>
              <w:rPr>
                <w:szCs w:val="28"/>
              </w:rPr>
            </w:pPr>
            <w:r>
              <w:rPr>
                <w:szCs w:val="28"/>
              </w:rPr>
              <w:t xml:space="preserve">Primăria comunei Băiuş, </w:t>
            </w:r>
            <w:r w:rsidRPr="00B55637">
              <w:rPr>
                <w:szCs w:val="28"/>
              </w:rPr>
              <w:t>raionul Leova</w:t>
            </w:r>
          </w:p>
        </w:tc>
      </w:tr>
      <w:tr w:rsidR="004F309D" w:rsidRPr="00B55637" w:rsidTr="005E03D4">
        <w:tc>
          <w:tcPr>
            <w:tcW w:w="675" w:type="dxa"/>
            <w:vAlign w:val="center"/>
          </w:tcPr>
          <w:p w:rsidR="004F309D" w:rsidRPr="00B55637" w:rsidRDefault="004F309D" w:rsidP="005E03D4">
            <w:pPr>
              <w:rPr>
                <w:szCs w:val="28"/>
              </w:rPr>
            </w:pPr>
            <w:r w:rsidRPr="00B55637">
              <w:rPr>
                <w:szCs w:val="28"/>
              </w:rPr>
              <w:t>7.</w:t>
            </w:r>
          </w:p>
        </w:tc>
        <w:tc>
          <w:tcPr>
            <w:tcW w:w="9113" w:type="dxa"/>
            <w:vAlign w:val="center"/>
          </w:tcPr>
          <w:p w:rsidR="004F309D" w:rsidRPr="00B55637" w:rsidRDefault="004F309D" w:rsidP="005E03D4">
            <w:pPr>
              <w:rPr>
                <w:szCs w:val="28"/>
              </w:rPr>
            </w:pPr>
            <w:r w:rsidRPr="00B55637">
              <w:rPr>
                <w:szCs w:val="28"/>
              </w:rPr>
              <w:t>Primăria comunei Schineni, raionul Soroca</w:t>
            </w:r>
          </w:p>
        </w:tc>
      </w:tr>
      <w:tr w:rsidR="004F309D" w:rsidRPr="00B55637" w:rsidTr="005E03D4">
        <w:tc>
          <w:tcPr>
            <w:tcW w:w="675" w:type="dxa"/>
            <w:vAlign w:val="center"/>
          </w:tcPr>
          <w:p w:rsidR="004F309D" w:rsidRPr="00B55637" w:rsidRDefault="004F309D" w:rsidP="005E03D4">
            <w:pPr>
              <w:rPr>
                <w:szCs w:val="28"/>
              </w:rPr>
            </w:pPr>
            <w:r w:rsidRPr="00B55637">
              <w:rPr>
                <w:szCs w:val="28"/>
              </w:rPr>
              <w:t>8.</w:t>
            </w:r>
          </w:p>
        </w:tc>
        <w:tc>
          <w:tcPr>
            <w:tcW w:w="9113" w:type="dxa"/>
            <w:vAlign w:val="center"/>
          </w:tcPr>
          <w:p w:rsidR="004F309D" w:rsidRPr="00B55637" w:rsidRDefault="004F309D" w:rsidP="005E03D4">
            <w:pPr>
              <w:rPr>
                <w:szCs w:val="28"/>
              </w:rPr>
            </w:pPr>
            <w:r w:rsidRPr="00B55637">
              <w:rPr>
                <w:spacing w:val="2"/>
                <w:szCs w:val="28"/>
              </w:rPr>
              <w:t>Primăria satului Rădenii Vechi,</w:t>
            </w:r>
            <w:r>
              <w:rPr>
                <w:szCs w:val="28"/>
              </w:rPr>
              <w:t xml:space="preserve"> </w:t>
            </w:r>
            <w:r w:rsidRPr="00B55637">
              <w:rPr>
                <w:szCs w:val="28"/>
              </w:rPr>
              <w:t>raionul Ungheni</w:t>
            </w:r>
          </w:p>
        </w:tc>
      </w:tr>
    </w:tbl>
    <w:p w:rsidR="004F309D" w:rsidRDefault="004F309D" w:rsidP="000543EB">
      <w:pPr>
        <w:pStyle w:val="BodyText"/>
        <w:jc w:val="both"/>
        <w:rPr>
          <w:sz w:val="28"/>
          <w:szCs w:val="28"/>
          <w:lang w:val="en-US"/>
        </w:rPr>
      </w:pPr>
      <w:r>
        <w:rPr>
          <w:sz w:val="28"/>
          <w:szCs w:val="28"/>
          <w:lang w:val="en-US"/>
        </w:rPr>
        <w:t>,,</w:t>
      </w:r>
    </w:p>
    <w:p w:rsidR="004F309D" w:rsidRPr="00984AE0" w:rsidRDefault="004F309D" w:rsidP="00984AE0">
      <w:pPr>
        <w:ind w:firstLine="720"/>
        <w:rPr>
          <w:color w:val="000000"/>
          <w:lang w:val="en-US"/>
        </w:rPr>
      </w:pPr>
      <w:r>
        <w:rPr>
          <w:lang w:val="en-US"/>
        </w:rPr>
        <w:t xml:space="preserve">Totodată, proiectul actului normativ propune amendarea </w:t>
      </w:r>
      <w:r>
        <w:rPr>
          <w:lang w:eastAsia="ro-RO"/>
        </w:rPr>
        <w:t>p</w:t>
      </w:r>
      <w:r w:rsidRPr="00606F0F">
        <w:rPr>
          <w:lang w:eastAsia="ro-RO"/>
        </w:rPr>
        <w:t>unctul</w:t>
      </w:r>
      <w:r>
        <w:rPr>
          <w:lang w:eastAsia="ro-RO"/>
        </w:rPr>
        <w:t xml:space="preserve">ui </w:t>
      </w:r>
      <w:r w:rsidRPr="00606F0F">
        <w:rPr>
          <w:lang w:eastAsia="ro-RO"/>
        </w:rPr>
        <w:t>7 al compartimentului ,,</w:t>
      </w:r>
      <w:r>
        <w:rPr>
          <w:lang w:eastAsia="ro-RO"/>
        </w:rPr>
        <w:t>Destinația</w:t>
      </w:r>
      <w:r w:rsidRPr="00606F0F">
        <w:rPr>
          <w:lang w:eastAsia="ro-RO"/>
        </w:rPr>
        <w:t xml:space="preserve"> alocațiilor”, </w:t>
      </w:r>
      <w:r>
        <w:rPr>
          <w:lang w:eastAsia="ro-RO"/>
        </w:rPr>
        <w:t xml:space="preserve">după cum urmează: </w:t>
      </w:r>
      <w:r w:rsidRPr="00606F0F">
        <w:rPr>
          <w:lang w:val="en-US"/>
        </w:rPr>
        <w:t xml:space="preserve">,,Acordarea ajutorului financiar pentru procurarea locuinței familiei cet. </w:t>
      </w:r>
      <w:r w:rsidRPr="00606F0F">
        <w:rPr>
          <w:color w:val="000000"/>
          <w:lang w:val="en-US"/>
        </w:rPr>
        <w:t xml:space="preserve">Pînzari Natalia, satul Schineni, a cărei casă a fost deteriorată în urma incendiului din 18 ianuarie </w:t>
      </w:r>
      <w:smartTag w:uri="urn:schemas-microsoft-com:office:smarttags" w:element="metricconverter">
        <w:smartTagPr>
          <w:attr w:name="ProductID" w:val="2016”"/>
        </w:smartTagPr>
        <w:r w:rsidRPr="00606F0F">
          <w:rPr>
            <w:color w:val="000000"/>
            <w:lang w:val="en-US"/>
          </w:rPr>
          <w:t>2016”</w:t>
        </w:r>
      </w:smartTag>
      <w:r w:rsidRPr="00606F0F">
        <w:rPr>
          <w:color w:val="000000"/>
          <w:lang w:val="en-US"/>
        </w:rPr>
        <w:t>.</w:t>
      </w:r>
      <w:r>
        <w:rPr>
          <w:color w:val="000000"/>
          <w:lang w:val="en-US"/>
        </w:rPr>
        <w:t xml:space="preserve"> În acest sens, menționăm că amendarea prenotată are ca bază demersul Consiliului raional Soroca nr. i02/1-20/203 din 13 martie 2017. </w:t>
      </w:r>
    </w:p>
    <w:p w:rsidR="004F309D" w:rsidRDefault="004F309D" w:rsidP="00AF139B">
      <w:pPr>
        <w:pStyle w:val="BodyText"/>
        <w:ind w:firstLine="720"/>
        <w:jc w:val="both"/>
        <w:rPr>
          <w:sz w:val="28"/>
          <w:szCs w:val="28"/>
          <w:lang w:val="en-US"/>
        </w:rPr>
      </w:pPr>
      <w:r>
        <w:rPr>
          <w:sz w:val="28"/>
          <w:szCs w:val="28"/>
          <w:lang w:val="en-US"/>
        </w:rPr>
        <w:t xml:space="preserve">Suplimentar, amendamentele de ordin tehnic propuse la Hotărîrea Guvernului nr. 78 din 15 februarie 2017, au drept scop implementarea acesteia, prin efectuarea transferurilor mijloacelor financiare alocate către autoritățile publice locale și nicidecum către consiliile raionale.  </w:t>
      </w:r>
    </w:p>
    <w:p w:rsidR="004F309D" w:rsidRDefault="004F309D" w:rsidP="000543EB">
      <w:pPr>
        <w:pStyle w:val="BodyText"/>
        <w:jc w:val="both"/>
        <w:rPr>
          <w:sz w:val="28"/>
          <w:szCs w:val="28"/>
          <w:lang w:val="en-US"/>
        </w:rPr>
      </w:pPr>
      <w:r>
        <w:rPr>
          <w:sz w:val="28"/>
          <w:szCs w:val="28"/>
          <w:lang w:val="en-US"/>
        </w:rPr>
        <w:tab/>
        <w:t xml:space="preserve"> </w:t>
      </w:r>
    </w:p>
    <w:p w:rsidR="004F309D" w:rsidRDefault="004F309D" w:rsidP="000543EB">
      <w:pPr>
        <w:pStyle w:val="BodyText"/>
        <w:ind w:firstLine="708"/>
        <w:jc w:val="both"/>
        <w:rPr>
          <w:sz w:val="28"/>
          <w:szCs w:val="28"/>
          <w:lang w:val="en-US"/>
        </w:rPr>
      </w:pPr>
    </w:p>
    <w:p w:rsidR="004F309D" w:rsidRDefault="004F309D" w:rsidP="003142DA">
      <w:pPr>
        <w:pStyle w:val="BodyText"/>
        <w:spacing w:line="360" w:lineRule="auto"/>
        <w:ind w:firstLine="708"/>
        <w:jc w:val="both"/>
        <w:rPr>
          <w:sz w:val="28"/>
          <w:szCs w:val="28"/>
          <w:lang w:val="en-US"/>
        </w:rPr>
      </w:pPr>
    </w:p>
    <w:p w:rsidR="004F309D" w:rsidRPr="004439DC" w:rsidRDefault="004F309D" w:rsidP="003142DA">
      <w:pPr>
        <w:pStyle w:val="BodyText"/>
        <w:spacing w:line="360" w:lineRule="auto"/>
        <w:ind w:firstLine="708"/>
        <w:jc w:val="both"/>
        <w:rPr>
          <w:sz w:val="28"/>
          <w:szCs w:val="28"/>
          <w:lang w:val="en-US"/>
        </w:rPr>
      </w:pPr>
    </w:p>
    <w:p w:rsidR="004F309D" w:rsidRPr="00BA4D1D" w:rsidRDefault="004F309D" w:rsidP="000543EB">
      <w:pPr>
        <w:pStyle w:val="BodyText"/>
        <w:spacing w:line="360" w:lineRule="auto"/>
        <w:jc w:val="both"/>
        <w:rPr>
          <w:b/>
          <w:sz w:val="28"/>
          <w:szCs w:val="28"/>
          <w:lang w:val="ro-RO"/>
        </w:rPr>
      </w:pPr>
      <w:r w:rsidRPr="004439DC">
        <w:rPr>
          <w:b/>
          <w:sz w:val="28"/>
          <w:szCs w:val="28"/>
          <w:lang w:val="en-US"/>
        </w:rPr>
        <w:t xml:space="preserve">  </w:t>
      </w:r>
      <w:r>
        <w:rPr>
          <w:b/>
          <w:sz w:val="28"/>
          <w:szCs w:val="28"/>
          <w:lang w:val="en-US"/>
        </w:rPr>
        <w:t>Vice</w:t>
      </w:r>
      <w:r>
        <w:rPr>
          <w:b/>
          <w:sz w:val="28"/>
          <w:szCs w:val="28"/>
          <w:lang w:val="ro-RO"/>
        </w:rPr>
        <w:t>m</w:t>
      </w:r>
      <w:r w:rsidRPr="003142DA">
        <w:rPr>
          <w:b/>
          <w:sz w:val="28"/>
          <w:szCs w:val="28"/>
          <w:lang w:val="en-US"/>
        </w:rPr>
        <w:t xml:space="preserve">inistru                                             </w:t>
      </w:r>
      <w:r>
        <w:rPr>
          <w:b/>
          <w:sz w:val="28"/>
          <w:szCs w:val="28"/>
          <w:lang w:val="en-US"/>
        </w:rPr>
        <w:t xml:space="preserve">                     </w:t>
      </w:r>
      <w:r w:rsidRPr="003142DA">
        <w:rPr>
          <w:b/>
          <w:sz w:val="28"/>
          <w:szCs w:val="28"/>
          <w:lang w:val="en-US"/>
        </w:rPr>
        <w:t xml:space="preserve">     </w:t>
      </w:r>
      <w:r>
        <w:rPr>
          <w:b/>
          <w:sz w:val="28"/>
          <w:szCs w:val="28"/>
          <w:lang w:val="ro-RO"/>
        </w:rPr>
        <w:t xml:space="preserve"> </w:t>
      </w:r>
      <w:r w:rsidRPr="003142DA">
        <w:rPr>
          <w:b/>
          <w:sz w:val="28"/>
          <w:szCs w:val="28"/>
          <w:lang w:val="en-US"/>
        </w:rPr>
        <w:t xml:space="preserve">      </w:t>
      </w:r>
      <w:r w:rsidRPr="003142DA">
        <w:rPr>
          <w:b/>
          <w:sz w:val="28"/>
          <w:szCs w:val="28"/>
          <w:lang w:val="en-US"/>
        </w:rPr>
        <w:tab/>
        <w:t xml:space="preserve">    </w:t>
      </w:r>
      <w:r>
        <w:rPr>
          <w:b/>
          <w:sz w:val="28"/>
          <w:szCs w:val="28"/>
          <w:lang w:val="ro-RO"/>
        </w:rPr>
        <w:t xml:space="preserve">  </w:t>
      </w:r>
      <w:r w:rsidRPr="003142DA">
        <w:rPr>
          <w:b/>
          <w:sz w:val="28"/>
          <w:szCs w:val="28"/>
          <w:lang w:val="en-US"/>
        </w:rPr>
        <w:t xml:space="preserve">    </w:t>
      </w:r>
      <w:r w:rsidRPr="003142DA">
        <w:rPr>
          <w:b/>
          <w:sz w:val="28"/>
          <w:szCs w:val="28"/>
          <w:lang w:val="en-US"/>
        </w:rPr>
        <w:tab/>
      </w:r>
      <w:r>
        <w:rPr>
          <w:b/>
          <w:sz w:val="28"/>
          <w:szCs w:val="28"/>
          <w:lang w:val="ro-RO"/>
        </w:rPr>
        <w:t>Oleg BABIN</w:t>
      </w:r>
    </w:p>
    <w:p w:rsidR="004F309D" w:rsidRPr="00046584" w:rsidRDefault="004F309D" w:rsidP="003142DA">
      <w:pPr>
        <w:jc w:val="center"/>
        <w:rPr>
          <w:sz w:val="24"/>
          <w:szCs w:val="24"/>
        </w:rPr>
      </w:pPr>
    </w:p>
    <w:p w:rsidR="004F309D" w:rsidRDefault="004F309D" w:rsidP="00E87182">
      <w:pPr>
        <w:ind w:firstLine="709"/>
        <w:rPr>
          <w:szCs w:val="28"/>
          <w:lang w:val="en-US"/>
        </w:rPr>
      </w:pPr>
    </w:p>
    <w:p w:rsidR="004F309D" w:rsidRDefault="004F309D" w:rsidP="00E87182">
      <w:pPr>
        <w:ind w:firstLine="709"/>
        <w:rPr>
          <w:szCs w:val="28"/>
          <w:lang w:val="en-US"/>
        </w:rPr>
      </w:pPr>
    </w:p>
    <w:p w:rsidR="004F309D" w:rsidRDefault="004F309D" w:rsidP="00E87182">
      <w:pPr>
        <w:ind w:firstLine="709"/>
        <w:rPr>
          <w:szCs w:val="28"/>
          <w:lang w:val="en-US"/>
        </w:rPr>
      </w:pPr>
    </w:p>
    <w:p w:rsidR="004F309D" w:rsidRPr="004439DC" w:rsidRDefault="004F309D" w:rsidP="000E194D">
      <w:pPr>
        <w:pStyle w:val="BodyText"/>
        <w:spacing w:line="360" w:lineRule="auto"/>
        <w:jc w:val="both"/>
        <w:rPr>
          <w:sz w:val="28"/>
          <w:szCs w:val="28"/>
          <w:lang w:val="en-US"/>
        </w:rPr>
      </w:pPr>
      <w:bookmarkStart w:id="0" w:name="_GoBack"/>
      <w:bookmarkEnd w:id="0"/>
    </w:p>
    <w:p w:rsidR="004F309D" w:rsidRPr="00046584" w:rsidRDefault="004F309D" w:rsidP="008B3FCF">
      <w:pPr>
        <w:pStyle w:val="BodyText"/>
        <w:spacing w:line="360" w:lineRule="auto"/>
        <w:jc w:val="center"/>
        <w:rPr>
          <w:b/>
          <w:sz w:val="28"/>
          <w:szCs w:val="28"/>
        </w:rPr>
      </w:pPr>
    </w:p>
    <w:p w:rsidR="004F309D" w:rsidRPr="00046584" w:rsidRDefault="004F309D" w:rsidP="000E0F12">
      <w:pPr>
        <w:jc w:val="center"/>
        <w:rPr>
          <w:sz w:val="24"/>
          <w:szCs w:val="24"/>
        </w:rPr>
      </w:pPr>
    </w:p>
    <w:sectPr w:rsidR="004F309D" w:rsidRPr="00046584" w:rsidSect="000543EB">
      <w:pgSz w:w="11909" w:h="16834" w:code="9"/>
      <w:pgMar w:top="567" w:right="851" w:bottom="719"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3ACA"/>
    <w:rsid w:val="000148AC"/>
    <w:rsid w:val="000203B0"/>
    <w:rsid w:val="0002548B"/>
    <w:rsid w:val="00046584"/>
    <w:rsid w:val="000543EB"/>
    <w:rsid w:val="000A46FF"/>
    <w:rsid w:val="000C3B66"/>
    <w:rsid w:val="000E0F12"/>
    <w:rsid w:val="000E194D"/>
    <w:rsid w:val="001544A6"/>
    <w:rsid w:val="001867BB"/>
    <w:rsid w:val="001F36C4"/>
    <w:rsid w:val="002820B3"/>
    <w:rsid w:val="002822F8"/>
    <w:rsid w:val="002A0BDC"/>
    <w:rsid w:val="002F286B"/>
    <w:rsid w:val="00304CE6"/>
    <w:rsid w:val="003142DA"/>
    <w:rsid w:val="003628A2"/>
    <w:rsid w:val="003A2271"/>
    <w:rsid w:val="003C64C7"/>
    <w:rsid w:val="004439DC"/>
    <w:rsid w:val="004935CB"/>
    <w:rsid w:val="004E4748"/>
    <w:rsid w:val="004F309D"/>
    <w:rsid w:val="004F72B1"/>
    <w:rsid w:val="00504BE6"/>
    <w:rsid w:val="00521AE3"/>
    <w:rsid w:val="0052287F"/>
    <w:rsid w:val="00590AA3"/>
    <w:rsid w:val="005D71D8"/>
    <w:rsid w:val="005E03D4"/>
    <w:rsid w:val="00606F0F"/>
    <w:rsid w:val="00623ACA"/>
    <w:rsid w:val="00630F09"/>
    <w:rsid w:val="006573A8"/>
    <w:rsid w:val="00661B4C"/>
    <w:rsid w:val="006B7C5D"/>
    <w:rsid w:val="0071784C"/>
    <w:rsid w:val="007769FB"/>
    <w:rsid w:val="00784EDA"/>
    <w:rsid w:val="007A0A9B"/>
    <w:rsid w:val="007B4952"/>
    <w:rsid w:val="007D196B"/>
    <w:rsid w:val="007F4E6B"/>
    <w:rsid w:val="008506A4"/>
    <w:rsid w:val="00875AC9"/>
    <w:rsid w:val="008B3FCF"/>
    <w:rsid w:val="00971138"/>
    <w:rsid w:val="00984AE0"/>
    <w:rsid w:val="009F3474"/>
    <w:rsid w:val="00A67E3D"/>
    <w:rsid w:val="00AF139B"/>
    <w:rsid w:val="00B55637"/>
    <w:rsid w:val="00B90B4D"/>
    <w:rsid w:val="00BA4D1D"/>
    <w:rsid w:val="00BD7C37"/>
    <w:rsid w:val="00C14938"/>
    <w:rsid w:val="00C80EEE"/>
    <w:rsid w:val="00C86628"/>
    <w:rsid w:val="00C93794"/>
    <w:rsid w:val="00CE1FC4"/>
    <w:rsid w:val="00CF0284"/>
    <w:rsid w:val="00D47CE8"/>
    <w:rsid w:val="00D93D15"/>
    <w:rsid w:val="00E22AE9"/>
    <w:rsid w:val="00E87182"/>
    <w:rsid w:val="00EC3C3B"/>
    <w:rsid w:val="00EC7EB3"/>
    <w:rsid w:val="00F24C27"/>
    <w:rsid w:val="00F26AD8"/>
    <w:rsid w:val="00F7020B"/>
    <w:rsid w:val="00FD74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5CB"/>
    <w:pPr>
      <w:jc w:val="both"/>
    </w:pPr>
    <w:rPr>
      <w:rFonts w:ascii="Times New Roman" w:eastAsia="Times New Roman" w:hAnsi="Times New Roman"/>
      <w:sz w:val="28"/>
      <w:szCs w:val="20"/>
      <w:lang w:val="ro-RO"/>
    </w:rPr>
  </w:style>
  <w:style w:type="paragraph" w:styleId="Heading2">
    <w:name w:val="heading 2"/>
    <w:basedOn w:val="Normal"/>
    <w:next w:val="Normal"/>
    <w:link w:val="Heading2Char"/>
    <w:uiPriority w:val="99"/>
    <w:qFormat/>
    <w:rsid w:val="004935CB"/>
    <w:pPr>
      <w:keepNext/>
      <w:spacing w:line="360" w:lineRule="auto"/>
      <w:jc w:val="left"/>
      <w:outlineLvl w:val="1"/>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935CB"/>
    <w:rPr>
      <w:rFonts w:ascii="Times New Roman" w:hAnsi="Times New Roman" w:cs="Times New Roman"/>
      <w:sz w:val="24"/>
      <w:szCs w:val="24"/>
      <w:lang w:val="ro-RO" w:eastAsia="ru-RU"/>
    </w:rPr>
  </w:style>
  <w:style w:type="paragraph" w:styleId="BodyText">
    <w:name w:val="Body Text"/>
    <w:basedOn w:val="Normal"/>
    <w:link w:val="BodyTextChar"/>
    <w:uiPriority w:val="99"/>
    <w:rsid w:val="004935CB"/>
    <w:pPr>
      <w:jc w:val="left"/>
    </w:pPr>
    <w:rPr>
      <w:sz w:val="24"/>
      <w:szCs w:val="24"/>
      <w:lang w:val="ru-RU"/>
    </w:rPr>
  </w:style>
  <w:style w:type="character" w:customStyle="1" w:styleId="BodyTextChar">
    <w:name w:val="Body Text Char"/>
    <w:basedOn w:val="DefaultParagraphFont"/>
    <w:link w:val="BodyText"/>
    <w:uiPriority w:val="99"/>
    <w:locked/>
    <w:rsid w:val="004935CB"/>
    <w:rPr>
      <w:rFonts w:ascii="Times New Roman" w:hAnsi="Times New Roman" w:cs="Times New Roman"/>
      <w:sz w:val="24"/>
      <w:szCs w:val="24"/>
      <w:lang w:val="ru-RU" w:eastAsia="ru-RU"/>
    </w:rPr>
  </w:style>
  <w:style w:type="paragraph" w:styleId="ListParagraph">
    <w:name w:val="List Paragraph"/>
    <w:basedOn w:val="Normal"/>
    <w:uiPriority w:val="99"/>
    <w:qFormat/>
    <w:rsid w:val="004935CB"/>
    <w:pPr>
      <w:ind w:left="720"/>
      <w:contextualSpacing/>
    </w:pPr>
  </w:style>
  <w:style w:type="paragraph" w:customStyle="1" w:styleId="Default">
    <w:name w:val="Default"/>
    <w:uiPriority w:val="99"/>
    <w:rsid w:val="004935CB"/>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4935CB"/>
    <w:pPr>
      <w:tabs>
        <w:tab w:val="center" w:pos="4677"/>
        <w:tab w:val="right" w:pos="9355"/>
      </w:tabs>
      <w:jc w:val="left"/>
    </w:pPr>
    <w:rPr>
      <w:sz w:val="20"/>
      <w:lang w:val="ru-RU"/>
    </w:rPr>
  </w:style>
  <w:style w:type="character" w:customStyle="1" w:styleId="HeaderChar">
    <w:name w:val="Header Char"/>
    <w:basedOn w:val="DefaultParagraphFont"/>
    <w:link w:val="Header"/>
    <w:uiPriority w:val="99"/>
    <w:locked/>
    <w:rsid w:val="004935CB"/>
    <w:rPr>
      <w:rFonts w:ascii="Times New Roman" w:hAnsi="Times New Roman" w:cs="Times New Roman"/>
      <w:sz w:val="20"/>
      <w:szCs w:val="20"/>
      <w:lang w:val="ru-RU" w:eastAsia="ru-RU"/>
    </w:rPr>
  </w:style>
  <w:style w:type="table" w:styleId="TableGrid">
    <w:name w:val="Table Grid"/>
    <w:basedOn w:val="TableNormal"/>
    <w:uiPriority w:val="99"/>
    <w:rsid w:val="00B90B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80EE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80EEE"/>
    <w:rPr>
      <w:rFonts w:ascii="Segoe UI" w:hAnsi="Segoe UI" w:cs="Segoe UI"/>
      <w:sz w:val="18"/>
      <w:szCs w:val="18"/>
      <w:lang w:val="ro-RO" w:eastAsia="ru-RU"/>
    </w:rPr>
  </w:style>
  <w:style w:type="character" w:customStyle="1" w:styleId="apple-converted-space">
    <w:name w:val="apple-converted-space"/>
    <w:basedOn w:val="DefaultParagraphFont"/>
    <w:uiPriority w:val="99"/>
    <w:rsid w:val="002F286B"/>
    <w:rPr>
      <w:rFonts w:cs="Times New Roman"/>
    </w:rPr>
  </w:style>
  <w:style w:type="character" w:styleId="Strong">
    <w:name w:val="Strong"/>
    <w:basedOn w:val="DefaultParagraphFont"/>
    <w:uiPriority w:val="99"/>
    <w:qFormat/>
    <w:locked/>
    <w:rsid w:val="002F286B"/>
    <w:rPr>
      <w:rFonts w:cs="Times New Roman"/>
      <w:b/>
      <w:bCs/>
    </w:rPr>
  </w:style>
  <w:style w:type="paragraph" w:styleId="NormalWeb">
    <w:name w:val="Normal (Web)"/>
    <w:basedOn w:val="Normal"/>
    <w:uiPriority w:val="99"/>
    <w:rsid w:val="002F286B"/>
    <w:pPr>
      <w:spacing w:before="100" w:beforeAutospacing="1" w:after="100" w:afterAutospacing="1"/>
      <w:jc w:val="left"/>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626159488">
      <w:marLeft w:val="0"/>
      <w:marRight w:val="0"/>
      <w:marTop w:val="0"/>
      <w:marBottom w:val="0"/>
      <w:divBdr>
        <w:top w:val="none" w:sz="0" w:space="0" w:color="auto"/>
        <w:left w:val="none" w:sz="0" w:space="0" w:color="auto"/>
        <w:bottom w:val="none" w:sz="0" w:space="0" w:color="auto"/>
        <w:right w:val="none" w:sz="0" w:space="0" w:color="auto"/>
      </w:divBdr>
    </w:div>
    <w:div w:id="626159489">
      <w:marLeft w:val="0"/>
      <w:marRight w:val="0"/>
      <w:marTop w:val="0"/>
      <w:marBottom w:val="0"/>
      <w:divBdr>
        <w:top w:val="none" w:sz="0" w:space="0" w:color="auto"/>
        <w:left w:val="none" w:sz="0" w:space="0" w:color="auto"/>
        <w:bottom w:val="none" w:sz="0" w:space="0" w:color="auto"/>
        <w:right w:val="none" w:sz="0" w:space="0" w:color="auto"/>
      </w:divBdr>
    </w:div>
    <w:div w:id="626159490">
      <w:marLeft w:val="0"/>
      <w:marRight w:val="0"/>
      <w:marTop w:val="0"/>
      <w:marBottom w:val="0"/>
      <w:divBdr>
        <w:top w:val="none" w:sz="0" w:space="0" w:color="auto"/>
        <w:left w:val="none" w:sz="0" w:space="0" w:color="auto"/>
        <w:bottom w:val="none" w:sz="0" w:space="0" w:color="auto"/>
        <w:right w:val="none" w:sz="0" w:space="0" w:color="auto"/>
      </w:divBdr>
    </w:div>
    <w:div w:id="626159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2</Pages>
  <Words>738</Words>
  <Characters>4211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2017-04-04T09:33:00Z</cp:lastPrinted>
  <dcterms:created xsi:type="dcterms:W3CDTF">2017-03-30T10:28:00Z</dcterms:created>
  <dcterms:modified xsi:type="dcterms:W3CDTF">2017-04-18T10:50:00Z</dcterms:modified>
</cp:coreProperties>
</file>