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019" w:rsidRPr="00D96019" w:rsidRDefault="00D96019" w:rsidP="00D96019">
      <w:pPr>
        <w:jc w:val="right"/>
        <w:rPr>
          <w:rFonts w:ascii="Times New Roman" w:eastAsia="Calibri" w:hAnsi="Times New Roman" w:cs="Times New Roman"/>
          <w:sz w:val="28"/>
          <w:szCs w:val="28"/>
          <w:lang w:val="en-US" w:eastAsia="en-US"/>
        </w:rPr>
      </w:pPr>
      <w:bookmarkStart w:id="0" w:name="_GoBack"/>
      <w:bookmarkEnd w:id="0"/>
      <w:r w:rsidRPr="00D96019">
        <w:rPr>
          <w:rFonts w:ascii="Times New Roman" w:eastAsia="Calibri" w:hAnsi="Times New Roman" w:cs="Times New Roman"/>
          <w:sz w:val="28"/>
          <w:szCs w:val="28"/>
          <w:lang w:val="en-US" w:eastAsia="en-US"/>
        </w:rPr>
        <w:t>proiect</w:t>
      </w:r>
    </w:p>
    <w:p w:rsidR="00D96019" w:rsidRPr="00D96019" w:rsidRDefault="00D96019" w:rsidP="00D96019">
      <w:pPr>
        <w:jc w:val="center"/>
        <w:rPr>
          <w:rFonts w:ascii="Times New Roman" w:eastAsia="Calibri" w:hAnsi="Times New Roman" w:cs="Times New Roman"/>
          <w:b/>
          <w:sz w:val="28"/>
          <w:szCs w:val="28"/>
          <w:lang w:val="en-US" w:eastAsia="en-US"/>
        </w:rPr>
      </w:pPr>
      <w:r w:rsidRPr="00D96019">
        <w:rPr>
          <w:rFonts w:ascii="Times New Roman" w:eastAsia="Calibri" w:hAnsi="Times New Roman" w:cs="Times New Roman"/>
          <w:b/>
          <w:sz w:val="28"/>
          <w:szCs w:val="28"/>
          <w:lang w:val="en-US" w:eastAsia="en-US"/>
        </w:rPr>
        <w:t>REPUBLICA MOLDOVA</w:t>
      </w:r>
    </w:p>
    <w:p w:rsidR="00D96019" w:rsidRPr="00D96019" w:rsidRDefault="00D96019" w:rsidP="00D96019">
      <w:pPr>
        <w:jc w:val="center"/>
        <w:rPr>
          <w:rFonts w:ascii="Times New Roman" w:eastAsia="Calibri" w:hAnsi="Times New Roman" w:cs="Times New Roman"/>
          <w:b/>
          <w:sz w:val="28"/>
          <w:szCs w:val="28"/>
          <w:lang w:val="en-US" w:eastAsia="en-US"/>
        </w:rPr>
      </w:pPr>
      <w:r w:rsidRPr="00D96019">
        <w:rPr>
          <w:rFonts w:ascii="Times New Roman" w:eastAsia="Calibri" w:hAnsi="Times New Roman" w:cs="Times New Roman"/>
          <w:b/>
          <w:sz w:val="28"/>
          <w:szCs w:val="28"/>
          <w:lang w:val="en-US" w:eastAsia="en-US"/>
        </w:rPr>
        <w:t>GUVERNUL</w:t>
      </w:r>
    </w:p>
    <w:p w:rsidR="00D96019" w:rsidRPr="00D96019" w:rsidRDefault="00D96019" w:rsidP="00D96019">
      <w:pPr>
        <w:jc w:val="center"/>
        <w:rPr>
          <w:rFonts w:ascii="Times New Roman" w:eastAsia="Calibri" w:hAnsi="Times New Roman" w:cs="Times New Roman"/>
          <w:b/>
          <w:sz w:val="28"/>
          <w:szCs w:val="28"/>
          <w:lang w:val="en-US" w:eastAsia="en-US"/>
        </w:rPr>
      </w:pPr>
      <w:r w:rsidRPr="00D96019">
        <w:rPr>
          <w:rFonts w:ascii="Times New Roman" w:eastAsia="Calibri" w:hAnsi="Times New Roman" w:cs="Times New Roman"/>
          <w:b/>
          <w:sz w:val="28"/>
          <w:szCs w:val="28"/>
          <w:lang w:val="en-US" w:eastAsia="en-US"/>
        </w:rPr>
        <w:t>HOTĂRÎRE</w:t>
      </w:r>
    </w:p>
    <w:p w:rsidR="00D96019" w:rsidRPr="00D96019" w:rsidRDefault="00D96019" w:rsidP="00D96019">
      <w:pPr>
        <w:tabs>
          <w:tab w:val="left" w:pos="426"/>
          <w:tab w:val="left" w:pos="993"/>
        </w:tabs>
        <w:spacing w:after="0"/>
        <w:jc w:val="center"/>
        <w:rPr>
          <w:rFonts w:ascii="Times New Roman" w:eastAsia="Times New Roman" w:hAnsi="Times New Roman" w:cs="Times New Roman"/>
          <w:b/>
          <w:iCs/>
          <w:sz w:val="28"/>
          <w:szCs w:val="20"/>
          <w:lang w:val="ro-RO"/>
        </w:rPr>
      </w:pPr>
      <w:r w:rsidRPr="00D96019">
        <w:rPr>
          <w:rFonts w:ascii="Times New Roman" w:eastAsia="Times New Roman" w:hAnsi="Times New Roman" w:cs="Times New Roman"/>
          <w:b/>
          <w:iCs/>
          <w:sz w:val="28"/>
          <w:szCs w:val="20"/>
          <w:lang w:val="ro-RO"/>
        </w:rPr>
        <w:t>Privind aprobarea proiectului de lege</w:t>
      </w:r>
    </w:p>
    <w:p w:rsidR="00D96019" w:rsidRPr="00D96019" w:rsidRDefault="00D96019" w:rsidP="00D96019">
      <w:pPr>
        <w:tabs>
          <w:tab w:val="left" w:pos="426"/>
          <w:tab w:val="left" w:pos="993"/>
        </w:tabs>
        <w:spacing w:after="0"/>
        <w:jc w:val="center"/>
        <w:rPr>
          <w:rFonts w:ascii="Times New Roman" w:eastAsia="Calibri" w:hAnsi="Times New Roman" w:cs="Times New Roman"/>
          <w:b/>
          <w:sz w:val="28"/>
          <w:szCs w:val="28"/>
          <w:lang w:val="ro-RO"/>
        </w:rPr>
      </w:pPr>
      <w:r w:rsidRPr="00D96019">
        <w:rPr>
          <w:rFonts w:ascii="Times New Roman" w:eastAsia="Times New Roman" w:hAnsi="Times New Roman" w:cs="Times New Roman"/>
          <w:b/>
          <w:iCs/>
          <w:sz w:val="28"/>
          <w:szCs w:val="20"/>
          <w:lang w:val="ro-RO"/>
        </w:rPr>
        <w:t xml:space="preserve"> </w:t>
      </w:r>
      <w:r w:rsidRPr="00D96019">
        <w:rPr>
          <w:rFonts w:ascii="Times New Roman" w:eastAsia="Calibri" w:hAnsi="Times New Roman" w:cs="Times New Roman"/>
          <w:b/>
          <w:sz w:val="28"/>
          <w:szCs w:val="28"/>
          <w:lang w:val="ro-RO"/>
        </w:rPr>
        <w:t>pentru modificarea şi completarea unor acte legislative</w:t>
      </w:r>
    </w:p>
    <w:p w:rsidR="00D96019" w:rsidRPr="00D96019" w:rsidRDefault="00D96019" w:rsidP="00D96019">
      <w:pPr>
        <w:spacing w:after="0" w:line="240" w:lineRule="auto"/>
        <w:jc w:val="center"/>
        <w:rPr>
          <w:rFonts w:ascii="Times New Roman" w:eastAsia="Times New Roman" w:hAnsi="Times New Roman" w:cs="Times New Roman"/>
          <w:iCs/>
          <w:sz w:val="28"/>
          <w:szCs w:val="20"/>
          <w:lang w:val="ro-RO"/>
        </w:rPr>
      </w:pPr>
    </w:p>
    <w:p w:rsidR="00D96019" w:rsidRPr="00D96019" w:rsidRDefault="00D96019" w:rsidP="00D96019">
      <w:pPr>
        <w:jc w:val="both"/>
        <w:rPr>
          <w:rFonts w:ascii="Times New Roman" w:eastAsia="Calibri" w:hAnsi="Times New Roman" w:cs="Times New Roman"/>
          <w:sz w:val="28"/>
          <w:lang w:val="ro-MO" w:eastAsia="en-US"/>
        </w:rPr>
      </w:pPr>
    </w:p>
    <w:p w:rsidR="00D96019" w:rsidRPr="00D96019" w:rsidRDefault="00D96019" w:rsidP="00D96019">
      <w:pPr>
        <w:jc w:val="both"/>
        <w:rPr>
          <w:rFonts w:ascii="Times New Roman" w:eastAsia="Calibri" w:hAnsi="Times New Roman" w:cs="Times New Roman"/>
          <w:sz w:val="28"/>
          <w:lang w:val="ro-MO" w:eastAsia="en-US"/>
        </w:rPr>
      </w:pPr>
      <w:r w:rsidRPr="00D96019">
        <w:rPr>
          <w:rFonts w:ascii="Times New Roman" w:eastAsia="Calibri" w:hAnsi="Times New Roman" w:cs="Times New Roman"/>
          <w:sz w:val="28"/>
          <w:lang w:val="ro-MO" w:eastAsia="en-US"/>
        </w:rPr>
        <w:tab/>
        <w:t>Guvernul Republicii Moldova, HOTĂRĂŞTE:</w:t>
      </w:r>
    </w:p>
    <w:p w:rsidR="00D96019" w:rsidRPr="00D96019" w:rsidRDefault="00D96019" w:rsidP="00D96019">
      <w:pPr>
        <w:ind w:firstLine="708"/>
        <w:jc w:val="both"/>
        <w:rPr>
          <w:rFonts w:ascii="Times New Roman" w:eastAsia="Calibri" w:hAnsi="Times New Roman" w:cs="Times New Roman"/>
          <w:sz w:val="28"/>
          <w:lang w:val="ro-MO" w:eastAsia="en-US"/>
        </w:rPr>
      </w:pPr>
      <w:r w:rsidRPr="00D96019">
        <w:rPr>
          <w:rFonts w:ascii="Times New Roman" w:eastAsia="Calibri" w:hAnsi="Times New Roman" w:cs="Times New Roman"/>
          <w:sz w:val="28"/>
          <w:lang w:val="ro-MO" w:eastAsia="en-US"/>
        </w:rPr>
        <w:t xml:space="preserve">Se aprobă şi se prezintă Parlamentului Republicii Moldova spre examinare proiectul de lege </w:t>
      </w:r>
      <w:r w:rsidRPr="00D96019">
        <w:rPr>
          <w:rFonts w:ascii="Times New Roman" w:eastAsia="Calibri" w:hAnsi="Times New Roman" w:cs="Times New Roman"/>
          <w:sz w:val="28"/>
          <w:szCs w:val="28"/>
          <w:lang w:val="ro-RO"/>
        </w:rPr>
        <w:t>pentru modificarea şi completarea unor acte legislative.</w:t>
      </w:r>
    </w:p>
    <w:p w:rsidR="00D96019" w:rsidRPr="00D96019" w:rsidRDefault="00D96019" w:rsidP="00D96019">
      <w:pPr>
        <w:spacing w:after="0"/>
        <w:jc w:val="both"/>
        <w:rPr>
          <w:rFonts w:ascii="Times New Roman" w:eastAsia="Calibri" w:hAnsi="Times New Roman" w:cs="Times New Roman"/>
          <w:sz w:val="28"/>
          <w:lang w:val="ro-MO" w:eastAsia="en-US"/>
        </w:rPr>
      </w:pPr>
    </w:p>
    <w:p w:rsidR="00D96019" w:rsidRPr="00D96019" w:rsidRDefault="00D96019" w:rsidP="00D96019">
      <w:pPr>
        <w:spacing w:after="0"/>
        <w:jc w:val="both"/>
        <w:rPr>
          <w:rFonts w:ascii="Times New Roman" w:eastAsia="Calibri" w:hAnsi="Times New Roman" w:cs="Times New Roman"/>
          <w:sz w:val="28"/>
          <w:lang w:val="ro-MO" w:eastAsia="en-US"/>
        </w:rPr>
      </w:pPr>
    </w:p>
    <w:p w:rsidR="00D96019" w:rsidRPr="00D96019" w:rsidRDefault="00D96019" w:rsidP="00D96019">
      <w:pPr>
        <w:spacing w:after="0"/>
        <w:jc w:val="both"/>
        <w:rPr>
          <w:rFonts w:ascii="Times New Roman" w:eastAsia="Calibri" w:hAnsi="Times New Roman" w:cs="Times New Roman"/>
          <w:sz w:val="28"/>
          <w:lang w:val="ro-MO" w:eastAsia="en-US"/>
        </w:rPr>
      </w:pPr>
    </w:p>
    <w:p w:rsidR="00D96019" w:rsidRPr="00D96019" w:rsidRDefault="00D96019" w:rsidP="00D96019">
      <w:pPr>
        <w:spacing w:after="0"/>
        <w:jc w:val="both"/>
        <w:rPr>
          <w:rFonts w:ascii="Times New Roman" w:eastAsia="Calibri" w:hAnsi="Times New Roman" w:cs="Times New Roman"/>
          <w:b/>
          <w:sz w:val="28"/>
          <w:lang w:val="ro-MO" w:eastAsia="en-US"/>
        </w:rPr>
      </w:pPr>
      <w:r w:rsidRPr="00D96019">
        <w:rPr>
          <w:rFonts w:ascii="Times New Roman" w:eastAsia="Calibri" w:hAnsi="Times New Roman" w:cs="Times New Roman"/>
          <w:sz w:val="28"/>
          <w:lang w:val="ro-MO" w:eastAsia="en-US"/>
        </w:rPr>
        <w:tab/>
      </w:r>
      <w:r w:rsidRPr="00D96019">
        <w:rPr>
          <w:rFonts w:ascii="Times New Roman" w:eastAsia="Calibri" w:hAnsi="Times New Roman" w:cs="Times New Roman"/>
          <w:b/>
          <w:sz w:val="28"/>
          <w:lang w:val="ro-MO" w:eastAsia="en-US"/>
        </w:rPr>
        <w:t>Prim-ministru                                   Pavel FILIP</w:t>
      </w:r>
    </w:p>
    <w:p w:rsidR="00D96019" w:rsidRPr="00D96019" w:rsidRDefault="00D96019" w:rsidP="00D96019">
      <w:pPr>
        <w:rPr>
          <w:rFonts w:ascii="Calibri" w:eastAsia="Calibri" w:hAnsi="Calibri" w:cs="Times New Roman"/>
          <w:lang w:val="en-US" w:eastAsia="en-US"/>
        </w:rPr>
      </w:pPr>
    </w:p>
    <w:p w:rsidR="00A873A4" w:rsidRDefault="00A873A4" w:rsidP="00D46588">
      <w:pPr>
        <w:jc w:val="right"/>
        <w:rPr>
          <w:rFonts w:ascii="Times New Roman" w:hAnsi="Times New Roman" w:cs="Times New Roman"/>
          <w:b/>
          <w:sz w:val="28"/>
          <w:szCs w:val="28"/>
          <w:lang w:val="en-US"/>
        </w:rPr>
      </w:pPr>
    </w:p>
    <w:p w:rsidR="00B24965" w:rsidRDefault="00B24965" w:rsidP="00D46588">
      <w:pPr>
        <w:jc w:val="right"/>
        <w:rPr>
          <w:rFonts w:ascii="Times New Roman" w:hAnsi="Times New Roman" w:cs="Times New Roman"/>
          <w:b/>
          <w:sz w:val="28"/>
          <w:szCs w:val="28"/>
          <w:lang w:val="en-US"/>
        </w:rPr>
      </w:pPr>
    </w:p>
    <w:p w:rsidR="00930FE9" w:rsidRPr="00335EE7" w:rsidRDefault="00930FE9" w:rsidP="00930FE9">
      <w:pPr>
        <w:tabs>
          <w:tab w:val="left" w:pos="426"/>
          <w:tab w:val="left" w:pos="993"/>
        </w:tabs>
        <w:spacing w:after="0"/>
        <w:jc w:val="both"/>
        <w:rPr>
          <w:rFonts w:ascii="Times New Roman" w:eastAsia="Calibri" w:hAnsi="Times New Roman" w:cs="Times New Roman"/>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D96019" w:rsidRDefault="00D96019" w:rsidP="00930FE9">
      <w:pPr>
        <w:tabs>
          <w:tab w:val="left" w:pos="426"/>
          <w:tab w:val="left" w:pos="993"/>
        </w:tabs>
        <w:spacing w:after="0"/>
        <w:jc w:val="center"/>
        <w:rPr>
          <w:rFonts w:ascii="Times New Roman" w:eastAsia="Calibri" w:hAnsi="Times New Roman" w:cs="Times New Roman"/>
          <w:b/>
          <w:sz w:val="24"/>
          <w:szCs w:val="24"/>
          <w:lang w:val="ro-RO"/>
        </w:rPr>
      </w:pPr>
    </w:p>
    <w:p w:rsidR="00930FE9" w:rsidRPr="008431BE" w:rsidRDefault="00930FE9" w:rsidP="00930FE9">
      <w:pPr>
        <w:tabs>
          <w:tab w:val="left" w:pos="426"/>
          <w:tab w:val="left" w:pos="993"/>
        </w:tabs>
        <w:spacing w:after="0"/>
        <w:jc w:val="center"/>
        <w:rPr>
          <w:rFonts w:ascii="Times New Roman" w:eastAsia="Calibri" w:hAnsi="Times New Roman" w:cs="Times New Roman"/>
          <w:b/>
          <w:sz w:val="24"/>
          <w:szCs w:val="24"/>
          <w:lang w:val="ro-RO"/>
        </w:rPr>
      </w:pPr>
      <w:r w:rsidRPr="008431BE">
        <w:rPr>
          <w:rFonts w:ascii="Times New Roman" w:eastAsia="Calibri" w:hAnsi="Times New Roman" w:cs="Times New Roman"/>
          <w:b/>
          <w:sz w:val="24"/>
          <w:szCs w:val="24"/>
          <w:lang w:val="ro-RO"/>
        </w:rPr>
        <w:t>PARLAMENTUL REPUBLICII MOLDOVA</w:t>
      </w:r>
    </w:p>
    <w:p w:rsidR="00930FE9" w:rsidRPr="008431BE" w:rsidRDefault="00930FE9" w:rsidP="00930FE9">
      <w:pPr>
        <w:tabs>
          <w:tab w:val="left" w:pos="426"/>
          <w:tab w:val="left" w:pos="993"/>
        </w:tabs>
        <w:spacing w:after="0"/>
        <w:jc w:val="center"/>
        <w:rPr>
          <w:rFonts w:ascii="Times New Roman" w:eastAsia="Calibri" w:hAnsi="Times New Roman" w:cs="Times New Roman"/>
          <w:b/>
          <w:sz w:val="24"/>
          <w:szCs w:val="24"/>
          <w:lang w:val="ro-RO"/>
        </w:rPr>
      </w:pPr>
    </w:p>
    <w:p w:rsidR="00930FE9" w:rsidRPr="008431BE" w:rsidRDefault="00930FE9" w:rsidP="00930FE9">
      <w:pPr>
        <w:tabs>
          <w:tab w:val="left" w:pos="426"/>
          <w:tab w:val="left" w:pos="993"/>
        </w:tabs>
        <w:spacing w:after="0"/>
        <w:jc w:val="center"/>
        <w:rPr>
          <w:rFonts w:ascii="Times New Roman" w:eastAsia="Calibri" w:hAnsi="Times New Roman" w:cs="Times New Roman"/>
          <w:b/>
          <w:sz w:val="24"/>
          <w:szCs w:val="24"/>
          <w:lang w:val="ro-RO"/>
        </w:rPr>
      </w:pPr>
    </w:p>
    <w:p w:rsidR="00930FE9" w:rsidRPr="008431BE" w:rsidRDefault="00930FE9" w:rsidP="00930FE9">
      <w:pPr>
        <w:tabs>
          <w:tab w:val="left" w:pos="426"/>
          <w:tab w:val="left" w:pos="993"/>
        </w:tabs>
        <w:spacing w:after="0"/>
        <w:jc w:val="center"/>
        <w:rPr>
          <w:rFonts w:ascii="Times New Roman" w:eastAsia="Calibri" w:hAnsi="Times New Roman" w:cs="Times New Roman"/>
          <w:b/>
          <w:sz w:val="24"/>
          <w:szCs w:val="24"/>
          <w:lang w:val="ro-RO"/>
        </w:rPr>
      </w:pPr>
      <w:r w:rsidRPr="008431BE">
        <w:rPr>
          <w:rFonts w:ascii="Times New Roman" w:eastAsia="Calibri" w:hAnsi="Times New Roman" w:cs="Times New Roman"/>
          <w:b/>
          <w:sz w:val="24"/>
          <w:szCs w:val="24"/>
          <w:lang w:val="ro-RO"/>
        </w:rPr>
        <w:t>LEGE</w:t>
      </w:r>
    </w:p>
    <w:p w:rsidR="00930FE9" w:rsidRPr="008431BE" w:rsidRDefault="00930FE9" w:rsidP="00930FE9">
      <w:pPr>
        <w:tabs>
          <w:tab w:val="left" w:pos="426"/>
          <w:tab w:val="left" w:pos="993"/>
        </w:tabs>
        <w:spacing w:after="0"/>
        <w:jc w:val="center"/>
        <w:rPr>
          <w:rFonts w:ascii="Times New Roman" w:eastAsia="Calibri" w:hAnsi="Times New Roman" w:cs="Times New Roman"/>
          <w:b/>
          <w:sz w:val="24"/>
          <w:szCs w:val="24"/>
          <w:lang w:val="ro-RO"/>
        </w:rPr>
      </w:pPr>
      <w:r w:rsidRPr="008431BE">
        <w:rPr>
          <w:rFonts w:ascii="Times New Roman" w:eastAsia="Calibri" w:hAnsi="Times New Roman" w:cs="Times New Roman"/>
          <w:b/>
          <w:sz w:val="24"/>
          <w:szCs w:val="24"/>
          <w:lang w:val="ro-RO"/>
        </w:rPr>
        <w:t>pentru modificarea şi completarea unor acte legislative</w:t>
      </w:r>
    </w:p>
    <w:p w:rsidR="00930FE9" w:rsidRPr="008431BE" w:rsidRDefault="00930FE9" w:rsidP="00930FE9">
      <w:pPr>
        <w:tabs>
          <w:tab w:val="left" w:pos="426"/>
          <w:tab w:val="left" w:pos="993"/>
        </w:tabs>
        <w:spacing w:after="0"/>
        <w:jc w:val="center"/>
        <w:rPr>
          <w:rFonts w:ascii="Times New Roman" w:eastAsia="Calibri" w:hAnsi="Times New Roman" w:cs="Times New Roman"/>
          <w:b/>
          <w:sz w:val="24"/>
          <w:szCs w:val="24"/>
          <w:lang w:val="ro-RO"/>
        </w:rPr>
      </w:pPr>
    </w:p>
    <w:p w:rsidR="00930FE9" w:rsidRPr="008431BE" w:rsidRDefault="00930FE9" w:rsidP="00930FE9">
      <w:pPr>
        <w:tabs>
          <w:tab w:val="left" w:pos="426"/>
          <w:tab w:val="left" w:pos="993"/>
        </w:tabs>
        <w:spacing w:after="0"/>
        <w:jc w:val="center"/>
        <w:rPr>
          <w:rFonts w:ascii="Times New Roman" w:eastAsia="Calibri" w:hAnsi="Times New Roman" w:cs="Times New Roman"/>
          <w:b/>
          <w:i/>
          <w:sz w:val="24"/>
          <w:szCs w:val="24"/>
          <w:lang w:val="ro-RO"/>
        </w:rPr>
      </w:pPr>
      <w:r w:rsidRPr="008431BE">
        <w:rPr>
          <w:rFonts w:ascii="Times New Roman" w:eastAsia="Calibri" w:hAnsi="Times New Roman" w:cs="Times New Roman"/>
          <w:b/>
          <w:i/>
          <w:sz w:val="24"/>
          <w:szCs w:val="24"/>
          <w:lang w:val="ro-RO"/>
        </w:rPr>
        <w:t>Agenţia Naţională pentru Siguranţa Alimentelor</w:t>
      </w:r>
    </w:p>
    <w:p w:rsidR="00930FE9" w:rsidRPr="008431BE" w:rsidRDefault="00930FE9" w:rsidP="00930FE9">
      <w:pPr>
        <w:tabs>
          <w:tab w:val="left" w:pos="426"/>
          <w:tab w:val="left" w:pos="993"/>
        </w:tabs>
        <w:spacing w:after="0"/>
        <w:jc w:val="both"/>
        <w:rPr>
          <w:rFonts w:ascii="Times New Roman" w:eastAsia="Calibri" w:hAnsi="Times New Roman" w:cs="Times New Roman"/>
          <w:b/>
          <w:sz w:val="24"/>
          <w:szCs w:val="24"/>
          <w:lang w:val="ro-RO"/>
        </w:rPr>
      </w:pPr>
    </w:p>
    <w:p w:rsidR="00930FE9" w:rsidRPr="008431BE" w:rsidRDefault="00930FE9" w:rsidP="00930FE9">
      <w:pPr>
        <w:tabs>
          <w:tab w:val="left" w:pos="426"/>
          <w:tab w:val="left" w:pos="993"/>
        </w:tabs>
        <w:spacing w:after="0"/>
        <w:ind w:left="1080"/>
        <w:contextualSpacing/>
        <w:jc w:val="both"/>
        <w:rPr>
          <w:rFonts w:ascii="Times New Roman" w:eastAsia="Calibri" w:hAnsi="Times New Roman" w:cs="Times New Roman"/>
          <w:sz w:val="24"/>
          <w:szCs w:val="24"/>
          <w:lang w:val="ro-RO"/>
        </w:rPr>
      </w:pPr>
    </w:p>
    <w:p w:rsidR="00930FE9" w:rsidRPr="008431BE" w:rsidRDefault="00C10405"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b/>
          <w:sz w:val="24"/>
          <w:szCs w:val="24"/>
          <w:lang w:val="ro-RO"/>
        </w:rPr>
        <w:t xml:space="preserve">Articolul </w:t>
      </w:r>
      <w:r w:rsidR="008A11A4" w:rsidRPr="008431BE">
        <w:rPr>
          <w:rFonts w:ascii="Times New Roman" w:eastAsia="Calibri" w:hAnsi="Times New Roman" w:cs="Times New Roman"/>
          <w:b/>
          <w:sz w:val="24"/>
          <w:szCs w:val="24"/>
          <w:lang w:val="ro-RO"/>
        </w:rPr>
        <w:t>I</w:t>
      </w:r>
      <w:r w:rsidR="008A04A5" w:rsidRPr="008431BE">
        <w:rPr>
          <w:rFonts w:ascii="Times New Roman" w:eastAsia="Calibri" w:hAnsi="Times New Roman" w:cs="Times New Roman"/>
          <w:b/>
          <w:sz w:val="24"/>
          <w:szCs w:val="24"/>
          <w:lang w:val="ro-RO"/>
        </w:rPr>
        <w:t>.</w:t>
      </w:r>
      <w:r w:rsidR="00930FE9" w:rsidRPr="008431BE">
        <w:rPr>
          <w:rFonts w:ascii="Times New Roman" w:eastAsia="Calibri" w:hAnsi="Times New Roman" w:cs="Times New Roman"/>
          <w:sz w:val="24"/>
          <w:szCs w:val="24"/>
          <w:lang w:val="ro-RO"/>
        </w:rPr>
        <w:t xml:space="preserve"> - Legea nr. 78-XV din 18 martie 2004 privind produsele alimentare (Monitorul Oficial al Republicii Moldova, 2004, nr. 83–87, art. 431), cu modificările ulterioare, se modifică şi se completează după cum urmează:</w:t>
      </w:r>
    </w:p>
    <w:p w:rsidR="00930FE9" w:rsidRPr="008431BE" w:rsidRDefault="00930FE9" w:rsidP="00930FE9">
      <w:pPr>
        <w:numPr>
          <w:ilvl w:val="0"/>
          <w:numId w:val="8"/>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La articolul 12, alineatul (1) va avea următorul cuprins:</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„(1) )  Controlul şi supravegherea de stat în domeniul asigurării inofensivităţii şi calităţii produselor alimentare şi protecţiei intereselor consumatorilor în domeniul alimentar se efectuează</w:t>
      </w:r>
      <w:r w:rsidR="00947772" w:rsidRPr="008431BE">
        <w:rPr>
          <w:rFonts w:ascii="Times New Roman" w:eastAsia="Calibri" w:hAnsi="Times New Roman" w:cs="Times New Roman"/>
          <w:sz w:val="24"/>
          <w:szCs w:val="24"/>
          <w:lang w:val="ro-RO"/>
        </w:rPr>
        <w:t xml:space="preserve"> de</w:t>
      </w:r>
      <w:r w:rsidRPr="008431BE">
        <w:rPr>
          <w:rFonts w:ascii="Times New Roman" w:eastAsia="Calibri" w:hAnsi="Times New Roman" w:cs="Times New Roman"/>
          <w:sz w:val="24"/>
          <w:szCs w:val="24"/>
          <w:lang w:val="ro-RO"/>
        </w:rPr>
        <w:t xml:space="preserve"> Agenţia Naţională pentru Siguranţa Alimentelor. Controlul şi supravegherea de stat în domeniul asigurării inofensivităţii şi calităţii</w:t>
      </w:r>
      <w:r w:rsidR="00947772" w:rsidRPr="008431BE">
        <w:rPr>
          <w:rFonts w:ascii="Times New Roman" w:eastAsia="Calibri" w:hAnsi="Times New Roman" w:cs="Times New Roman"/>
          <w:sz w:val="24"/>
          <w:szCs w:val="24"/>
          <w:lang w:val="ro-RO"/>
        </w:rPr>
        <w:t xml:space="preserve"> produselor alimentare </w:t>
      </w:r>
      <w:r w:rsidR="00947772" w:rsidRPr="008431BE">
        <w:rPr>
          <w:rFonts w:ascii="Times New Roman" w:eastAsia="Calibri" w:hAnsi="Times New Roman" w:cs="Times New Roman"/>
          <w:sz w:val="24"/>
          <w:szCs w:val="24"/>
          <w:lang w:val="en-US"/>
        </w:rPr>
        <w:t> în conformitate cu domeniile de competenţă prevăzute în  Legea nr. 113 din 18 mai 2012 cu privire la stabilirea principiilor şi cerinţelor generale ale legislaţiei privind siguranţa alimentelor,</w:t>
      </w:r>
      <w:r w:rsidRPr="008431BE">
        <w:rPr>
          <w:rFonts w:ascii="Times New Roman" w:eastAsia="Calibri" w:hAnsi="Times New Roman" w:cs="Times New Roman"/>
          <w:sz w:val="24"/>
          <w:szCs w:val="24"/>
          <w:lang w:val="ro-RO"/>
        </w:rPr>
        <w:t xml:space="preserve"> materialelor în contact cu produsele alimentare, ocrotirii sănătăţii populaţiei  se efectuează de organul de stat de supraveghere a sănătăţii public</w:t>
      </w:r>
      <w:r w:rsidR="00797680" w:rsidRPr="008431BE">
        <w:rPr>
          <w:rFonts w:ascii="Times New Roman" w:eastAsia="Calibri" w:hAnsi="Times New Roman" w:cs="Times New Roman"/>
          <w:sz w:val="24"/>
          <w:szCs w:val="24"/>
          <w:lang w:val="ro-RO"/>
        </w:rPr>
        <w:t>e</w:t>
      </w:r>
      <w:r w:rsidRPr="008431BE">
        <w:rPr>
          <w:rFonts w:ascii="Times New Roman" w:eastAsia="Calibri" w:hAnsi="Times New Roman" w:cs="Times New Roman"/>
          <w:sz w:val="24"/>
          <w:szCs w:val="24"/>
          <w:lang w:val="ro-RO"/>
        </w:rPr>
        <w:t>”.</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930FE9" w:rsidP="00930FE9">
      <w:pPr>
        <w:numPr>
          <w:ilvl w:val="0"/>
          <w:numId w:val="8"/>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Articolul 13:</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la alineatul (3), cuvintele „sanitaro-igienice” se substituie prin cuvântul „sanitară”;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la alineatul (7), cuvintele „Serviciului Veterinar de Stat” se substituie prin cuvintele „Agenţiei Naţionale pentru Siguranţa Alimentelor”;</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completează cu alineatul (7</w:t>
      </w:r>
      <w:r w:rsidRPr="008431BE">
        <w:rPr>
          <w:rFonts w:ascii="Times New Roman" w:eastAsia="Calibri" w:hAnsi="Times New Roman" w:cs="Times New Roman"/>
          <w:sz w:val="24"/>
          <w:szCs w:val="24"/>
          <w:vertAlign w:val="superscript"/>
          <w:lang w:val="ro-RO"/>
        </w:rPr>
        <w:t>1</w:t>
      </w:r>
      <w:r w:rsidRPr="008431BE">
        <w:rPr>
          <w:rFonts w:ascii="Times New Roman" w:eastAsia="Calibri" w:hAnsi="Times New Roman" w:cs="Times New Roman"/>
          <w:sz w:val="24"/>
          <w:szCs w:val="24"/>
          <w:lang w:val="ro-RO"/>
        </w:rPr>
        <w:t>) cu următorul conţinut:</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„(7</w:t>
      </w:r>
      <w:r w:rsidRPr="008431BE">
        <w:rPr>
          <w:rFonts w:ascii="Times New Roman" w:eastAsia="Calibri" w:hAnsi="Times New Roman" w:cs="Times New Roman"/>
          <w:sz w:val="24"/>
          <w:szCs w:val="24"/>
          <w:vertAlign w:val="superscript"/>
          <w:lang w:val="ro-RO"/>
        </w:rPr>
        <w:t>1</w:t>
      </w:r>
      <w:r w:rsidRPr="008431BE">
        <w:rPr>
          <w:rFonts w:ascii="Times New Roman" w:eastAsia="Calibri" w:hAnsi="Times New Roman" w:cs="Times New Roman"/>
          <w:sz w:val="24"/>
          <w:szCs w:val="24"/>
          <w:lang w:val="ro-RO"/>
        </w:rPr>
        <w:t>) Materia primă de origine vegetală se supune certificării de inofensivitate de către Agenţia Naţională pentru Siguranţa Alimentelor, conform Legii nr. 119 din 22 iunie 2004 cu privire la produsele de uz fitosanitar şi la fertilizanţi.”;</w:t>
      </w:r>
    </w:p>
    <w:p w:rsidR="00930FE9" w:rsidRPr="008431BE" w:rsidRDefault="00930FE9" w:rsidP="008D2255">
      <w:pPr>
        <w:numPr>
          <w:ilvl w:val="0"/>
          <w:numId w:val="8"/>
        </w:numPr>
        <w:tabs>
          <w:tab w:val="left" w:pos="426"/>
          <w:tab w:val="left" w:pos="993"/>
        </w:tabs>
        <w:spacing w:after="0"/>
        <w:ind w:left="0" w:firstLine="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Articolul 16, alineatul (3),</w:t>
      </w:r>
      <w:r w:rsidR="008D2255" w:rsidRPr="008431BE">
        <w:rPr>
          <w:rFonts w:ascii="Times New Roman" w:eastAsia="Calibri" w:hAnsi="Times New Roman" w:cs="Times New Roman"/>
          <w:sz w:val="24"/>
          <w:szCs w:val="24"/>
          <w:lang w:val="ro-RO"/>
        </w:rPr>
        <w:t xml:space="preserve"> </w:t>
      </w:r>
      <w:r w:rsidR="00D63085" w:rsidRPr="008431BE">
        <w:rPr>
          <w:rFonts w:ascii="Times New Roman" w:eastAsia="Calibri" w:hAnsi="Times New Roman" w:cs="Times New Roman"/>
          <w:sz w:val="24"/>
          <w:szCs w:val="24"/>
          <w:lang w:val="ro-RO"/>
        </w:rPr>
        <w:t xml:space="preserve">va avea </w:t>
      </w:r>
      <w:r w:rsidR="008D2255" w:rsidRPr="008431BE">
        <w:rPr>
          <w:rFonts w:ascii="Times New Roman" w:eastAsia="Calibri" w:hAnsi="Times New Roman" w:cs="Times New Roman"/>
          <w:sz w:val="24"/>
          <w:szCs w:val="24"/>
          <w:lang w:val="ro-RO"/>
        </w:rPr>
        <w:t>următo</w:t>
      </w:r>
      <w:r w:rsidR="00D63085" w:rsidRPr="008431BE">
        <w:rPr>
          <w:rFonts w:ascii="Times New Roman" w:eastAsia="Calibri" w:hAnsi="Times New Roman" w:cs="Times New Roman"/>
          <w:sz w:val="24"/>
          <w:szCs w:val="24"/>
          <w:lang w:val="ro-RO"/>
        </w:rPr>
        <w:t>rul cuprins</w:t>
      </w:r>
      <w:r w:rsidR="008D2255" w:rsidRPr="008431BE">
        <w:rPr>
          <w:rFonts w:ascii="Times New Roman" w:eastAsia="Calibri" w:hAnsi="Times New Roman" w:cs="Times New Roman"/>
          <w:sz w:val="24"/>
          <w:szCs w:val="24"/>
          <w:lang w:val="ro-RO"/>
        </w:rPr>
        <w:t>:</w:t>
      </w:r>
      <w:r w:rsidRPr="008431BE">
        <w:rPr>
          <w:rFonts w:ascii="Times New Roman" w:eastAsia="Calibri" w:hAnsi="Times New Roman" w:cs="Times New Roman"/>
          <w:sz w:val="24"/>
          <w:szCs w:val="24"/>
          <w:lang w:val="ro-RO"/>
        </w:rPr>
        <w:t xml:space="preserve"> </w:t>
      </w:r>
      <w:r w:rsidR="006D6065" w:rsidRPr="008431BE">
        <w:rPr>
          <w:rFonts w:ascii="Times New Roman" w:eastAsia="Calibri" w:hAnsi="Times New Roman" w:cs="Times New Roman"/>
          <w:sz w:val="24"/>
          <w:szCs w:val="24"/>
          <w:lang w:val="ro-RO"/>
        </w:rPr>
        <w:t>,,Se interzice importul produselor alimentare neaprobate de Agenţia Naţională pentru Siguranţa Alimentelor și</w:t>
      </w:r>
      <w:r w:rsidR="006D6065" w:rsidRPr="008431BE">
        <w:rPr>
          <w:rFonts w:ascii="Times New Roman" w:eastAsia="Calibri" w:hAnsi="Times New Roman" w:cs="Times New Roman"/>
          <w:sz w:val="24"/>
          <w:szCs w:val="24"/>
          <w:lang w:val="en-US"/>
        </w:rPr>
        <w:t xml:space="preserve"> produselor alimentare noi, suplimentelor alimentare, produselor alimentare fortificate, </w:t>
      </w:r>
      <w:r w:rsidR="00C67A41" w:rsidRPr="008431BE">
        <w:rPr>
          <w:rFonts w:ascii="Times New Roman" w:eastAsia="Calibri" w:hAnsi="Times New Roman" w:cs="Times New Roman"/>
          <w:sz w:val="24"/>
          <w:szCs w:val="24"/>
          <w:lang w:val="en-US"/>
        </w:rPr>
        <w:t>aditivilor alimentari, a produselor alimentare pentru sugari şi copii mici, a produselor cu destinaţie nutriţională special</w:t>
      </w:r>
      <w:r w:rsidR="00C67A41" w:rsidRPr="008431BE">
        <w:rPr>
          <w:rFonts w:ascii="Times New Roman" w:eastAsia="Calibri" w:hAnsi="Times New Roman" w:cs="Times New Roman"/>
          <w:sz w:val="24"/>
          <w:szCs w:val="24"/>
          <w:lang w:val="ro-RO"/>
        </w:rPr>
        <w:t>ă</w:t>
      </w:r>
      <w:r w:rsidR="00C67A41" w:rsidRPr="008431BE">
        <w:rPr>
          <w:rFonts w:ascii="Times New Roman" w:eastAsia="Calibri" w:hAnsi="Times New Roman" w:cs="Times New Roman"/>
          <w:sz w:val="24"/>
          <w:szCs w:val="24"/>
          <w:lang w:val="en-US"/>
        </w:rPr>
        <w:t xml:space="preserve">, </w:t>
      </w:r>
      <w:r w:rsidR="006D6065" w:rsidRPr="008431BE">
        <w:rPr>
          <w:rFonts w:ascii="Times New Roman" w:eastAsia="Calibri" w:hAnsi="Times New Roman" w:cs="Times New Roman"/>
          <w:sz w:val="24"/>
          <w:szCs w:val="24"/>
          <w:lang w:val="en-US"/>
        </w:rPr>
        <w:t xml:space="preserve">apelor minerale </w:t>
      </w:r>
      <w:r w:rsidR="006D6065" w:rsidRPr="008431BE">
        <w:rPr>
          <w:rFonts w:ascii="Times New Roman" w:eastAsia="Calibri" w:hAnsi="Times New Roman" w:cs="Times New Roman"/>
          <w:sz w:val="24"/>
          <w:szCs w:val="24"/>
          <w:lang w:val="ro-RO"/>
        </w:rPr>
        <w:t xml:space="preserve">și materialelor în contact cu produsele alimentare, neaprobate de Ministerul Sănătății, ca acestea fiind </w:t>
      </w:r>
      <w:r w:rsidR="008431BE">
        <w:rPr>
          <w:rFonts w:ascii="Times New Roman" w:eastAsia="Calibri" w:hAnsi="Times New Roman" w:cs="Times New Roman"/>
          <w:sz w:val="24"/>
          <w:szCs w:val="24"/>
          <w:lang w:val="ro-RO"/>
        </w:rPr>
        <w:t>inofens</w:t>
      </w:r>
      <w:r w:rsidR="008D2255" w:rsidRPr="008431BE">
        <w:rPr>
          <w:rFonts w:ascii="Times New Roman" w:eastAsia="Calibri" w:hAnsi="Times New Roman" w:cs="Times New Roman"/>
          <w:sz w:val="24"/>
          <w:szCs w:val="24"/>
          <w:lang w:val="ro-RO"/>
        </w:rPr>
        <w:t xml:space="preserve">ive și valabile pentru consumul uman, precum și a celor care nu au documente de însoțire ce atestă </w:t>
      </w:r>
      <w:r w:rsidR="008D2255" w:rsidRPr="008431BE">
        <w:rPr>
          <w:rFonts w:ascii="Times New Roman" w:eastAsia="Calibri" w:hAnsi="Times New Roman" w:cs="Times New Roman"/>
          <w:color w:val="000000" w:themeColor="text1"/>
          <w:sz w:val="24"/>
          <w:szCs w:val="24"/>
          <w:lang w:val="ro-RO"/>
        </w:rPr>
        <w:t>inofensivitatea</w:t>
      </w:r>
      <w:r w:rsidR="008D2255" w:rsidRPr="008431BE">
        <w:rPr>
          <w:rFonts w:ascii="Times New Roman" w:eastAsia="Calibri" w:hAnsi="Times New Roman" w:cs="Times New Roman"/>
          <w:color w:val="FF0000"/>
          <w:sz w:val="24"/>
          <w:szCs w:val="24"/>
          <w:lang w:val="ro-RO"/>
        </w:rPr>
        <w:t xml:space="preserve"> </w:t>
      </w:r>
      <w:r w:rsidR="008D2255" w:rsidRPr="008431BE">
        <w:rPr>
          <w:rFonts w:ascii="Times New Roman" w:eastAsia="Calibri" w:hAnsi="Times New Roman" w:cs="Times New Roman"/>
          <w:color w:val="000000" w:themeColor="text1"/>
          <w:sz w:val="24"/>
          <w:szCs w:val="24"/>
          <w:lang w:val="ro-RO"/>
        </w:rPr>
        <w:t>și proveniența lor legală.”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930FE9" w:rsidP="00930FE9">
      <w:pPr>
        <w:numPr>
          <w:ilvl w:val="0"/>
          <w:numId w:val="8"/>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Articolul 23 se abrogă.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930FE9" w:rsidP="00930FE9">
      <w:pPr>
        <w:numPr>
          <w:ilvl w:val="0"/>
          <w:numId w:val="8"/>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Articolul 25:</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la alineatul (1), după cuvintele „organele de control şi supraveghere de stat” se completează cu cuvintele „- Agenţia Naţională pentru Siguranţa Alimentelor sau, respectiv, organul de stat de supraveghere a sănătăţii publice,”;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lastRenderedPageBreak/>
        <w:t>la alineatul (7), după cuvintele „organele de control şi supraveghere de stat” se completează cu cuvintele „ , dintre cele prevăzute la alin. (1),”.</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2C4082"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b/>
          <w:sz w:val="24"/>
          <w:szCs w:val="24"/>
          <w:lang w:val="ro-RO"/>
        </w:rPr>
        <w:t xml:space="preserve">Articolul </w:t>
      </w:r>
      <w:r w:rsidR="00C10405" w:rsidRPr="008431BE">
        <w:rPr>
          <w:rFonts w:ascii="Times New Roman" w:eastAsia="Calibri" w:hAnsi="Times New Roman" w:cs="Times New Roman"/>
          <w:b/>
          <w:sz w:val="24"/>
          <w:szCs w:val="24"/>
          <w:lang w:val="ro-RO"/>
        </w:rPr>
        <w:t>I</w:t>
      </w:r>
      <w:r w:rsidRPr="008431BE">
        <w:rPr>
          <w:rFonts w:ascii="Times New Roman" w:eastAsia="Calibri" w:hAnsi="Times New Roman" w:cs="Times New Roman"/>
          <w:b/>
          <w:sz w:val="24"/>
          <w:szCs w:val="24"/>
          <w:lang w:val="ro-RO"/>
        </w:rPr>
        <w:t>V</w:t>
      </w:r>
      <w:r w:rsidR="00930FE9" w:rsidRPr="008431BE">
        <w:rPr>
          <w:rFonts w:ascii="Times New Roman" w:eastAsia="Calibri" w:hAnsi="Times New Roman" w:cs="Times New Roman"/>
          <w:b/>
          <w:sz w:val="24"/>
          <w:szCs w:val="24"/>
          <w:lang w:val="ro-RO"/>
        </w:rPr>
        <w:t xml:space="preserve">. </w:t>
      </w:r>
      <w:r w:rsidR="00930FE9" w:rsidRPr="008431BE">
        <w:rPr>
          <w:rFonts w:ascii="Times New Roman" w:eastAsia="Calibri" w:hAnsi="Times New Roman" w:cs="Times New Roman"/>
          <w:sz w:val="24"/>
          <w:szCs w:val="24"/>
          <w:lang w:val="ro-RO"/>
        </w:rPr>
        <w:t>– Legea nr. 10 din 3 februarie 2009 privind supravegherea de stat a sănătăţii publice (Monitorul Oficial al Republicii Moldova, 2009, nr. 67, art. 183), cu modificările ulterioară, se modifică şi se completează după cum urmează: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930FE9" w:rsidP="00930FE9">
      <w:pPr>
        <w:numPr>
          <w:ilvl w:val="0"/>
          <w:numId w:val="9"/>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Articolul 1</w:t>
      </w:r>
      <w:r w:rsidR="00B639F7" w:rsidRPr="008431BE">
        <w:rPr>
          <w:rFonts w:ascii="Times New Roman" w:eastAsia="Calibri" w:hAnsi="Times New Roman" w:cs="Times New Roman"/>
          <w:sz w:val="24"/>
          <w:szCs w:val="24"/>
          <w:lang w:val="ro-RO"/>
        </w:rPr>
        <w:t>4 alineatul (3</w:t>
      </w:r>
      <w:r w:rsidRPr="008431BE">
        <w:rPr>
          <w:rFonts w:ascii="Times New Roman" w:eastAsia="Calibri" w:hAnsi="Times New Roman" w:cs="Times New Roman"/>
          <w:sz w:val="24"/>
          <w:szCs w:val="24"/>
          <w:lang w:val="ro-RO"/>
        </w:rPr>
        <w:t>)</w:t>
      </w:r>
      <w:r w:rsidR="00B639F7" w:rsidRPr="008431BE">
        <w:rPr>
          <w:rFonts w:ascii="Times New Roman" w:eastAsia="Calibri" w:hAnsi="Times New Roman" w:cs="Times New Roman"/>
          <w:sz w:val="24"/>
          <w:szCs w:val="24"/>
          <w:lang w:val="ro-RO"/>
        </w:rPr>
        <w:t xml:space="preserve"> va avea următorul cuprins</w:t>
      </w:r>
      <w:r w:rsidRPr="008431BE">
        <w:rPr>
          <w:rFonts w:ascii="Times New Roman" w:eastAsia="Calibri" w:hAnsi="Times New Roman" w:cs="Times New Roman"/>
          <w:sz w:val="24"/>
          <w:szCs w:val="24"/>
          <w:lang w:val="ro-RO"/>
        </w:rPr>
        <w:t>:</w:t>
      </w:r>
    </w:p>
    <w:p w:rsidR="00B639F7" w:rsidRPr="008431BE" w:rsidRDefault="00D63085" w:rsidP="00D63085">
      <w:pPr>
        <w:tabs>
          <w:tab w:val="left" w:pos="426"/>
          <w:tab w:val="left" w:pos="993"/>
        </w:tabs>
        <w:spacing w:after="0"/>
        <w:ind w:firstLine="72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w:t>
      </w:r>
      <w:r w:rsidR="00B639F7" w:rsidRPr="008431BE">
        <w:rPr>
          <w:rFonts w:ascii="Times New Roman" w:eastAsia="Calibri" w:hAnsi="Times New Roman" w:cs="Times New Roman"/>
          <w:sz w:val="24"/>
          <w:szCs w:val="24"/>
          <w:lang w:val="ro-RO"/>
        </w:rPr>
        <w:t xml:space="preserve">(3) Supravegherea, controlul, autorizarea, avizarea și certificarea produselor agroalimentare, standardelor și serviciilor din  domeniul alimentar este efectuată de către Agenția Națională pentru Siguranța Alimentelor, cu excepția produselor stipulate în </w:t>
      </w:r>
      <w:r w:rsidR="00B639F7" w:rsidRPr="008431BE">
        <w:rPr>
          <w:rFonts w:ascii="Times New Roman" w:eastAsia="Calibri" w:hAnsi="Times New Roman" w:cs="Times New Roman"/>
          <w:sz w:val="24"/>
          <w:szCs w:val="24"/>
          <w:lang w:val="en-US"/>
        </w:rPr>
        <w:t> conformitate cu domeniile de competenţă prevăzute în  Legea nr. 113 din 18 mai 2012 cu privire la stabilirea principiilor şi cerinţelor generale ale legislaţiei privind siguranţa alimentelor.”</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207589" w:rsidP="00207589">
      <w:pPr>
        <w:tabs>
          <w:tab w:val="left" w:pos="426"/>
        </w:tabs>
        <w:spacing w:after="0"/>
        <w:jc w:val="both"/>
        <w:rPr>
          <w:rFonts w:ascii="Times New Roman" w:eastAsia="Calibri" w:hAnsi="Times New Roman" w:cs="Times New Roman"/>
          <w:sz w:val="24"/>
          <w:szCs w:val="24"/>
          <w:lang w:val="ro-RO"/>
        </w:rPr>
      </w:pPr>
      <w:r w:rsidRPr="008431BE">
        <w:rPr>
          <w:rFonts w:ascii="Times New Roman" w:eastAsia="Calibri" w:hAnsi="Times New Roman" w:cs="Times New Roman"/>
          <w:b/>
          <w:sz w:val="24"/>
          <w:szCs w:val="24"/>
          <w:lang w:val="ro-RO"/>
        </w:rPr>
        <w:t>Articolul V</w:t>
      </w:r>
      <w:r w:rsidR="00930FE9" w:rsidRPr="008431BE">
        <w:rPr>
          <w:rFonts w:ascii="Times New Roman" w:eastAsia="Calibri" w:hAnsi="Times New Roman" w:cs="Times New Roman"/>
          <w:b/>
          <w:sz w:val="24"/>
          <w:szCs w:val="24"/>
          <w:lang w:val="ro-RO"/>
        </w:rPr>
        <w:t>.</w:t>
      </w:r>
      <w:r w:rsidR="00930FE9" w:rsidRPr="008431BE">
        <w:rPr>
          <w:rFonts w:ascii="Times New Roman" w:eastAsia="Calibri" w:hAnsi="Times New Roman" w:cs="Times New Roman"/>
          <w:sz w:val="24"/>
          <w:szCs w:val="24"/>
          <w:lang w:val="ro-RO"/>
        </w:rPr>
        <w:t xml:space="preserve"> - Codul contravenţional al Republicii Moldova nr. 218-XVI din 24 octombrie 2008 (Monitorul Oficial al Republicii Moldova, 2009, nr. 3–6, art. 15), cu modificările şi completările ulterioare, se modifică şi se completează după cum urmează: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D63085" w:rsidRPr="008431BE" w:rsidRDefault="00D63085" w:rsidP="00930FE9">
      <w:pPr>
        <w:numPr>
          <w:ilvl w:val="0"/>
          <w:numId w:val="10"/>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Articolul 80 alineatul (2) se abrogă.</w:t>
      </w:r>
    </w:p>
    <w:p w:rsidR="00D63085" w:rsidRPr="008431BE" w:rsidRDefault="00D63085" w:rsidP="00930FE9">
      <w:pPr>
        <w:numPr>
          <w:ilvl w:val="0"/>
          <w:numId w:val="10"/>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completează cu art. 80</w:t>
      </w:r>
      <w:r w:rsidRPr="008431BE">
        <w:rPr>
          <w:rFonts w:ascii="Times New Roman" w:eastAsia="Calibri" w:hAnsi="Times New Roman" w:cs="Times New Roman"/>
          <w:sz w:val="24"/>
          <w:szCs w:val="24"/>
          <w:vertAlign w:val="superscript"/>
          <w:lang w:val="ro-RO"/>
        </w:rPr>
        <w:t>2</w:t>
      </w:r>
      <w:r w:rsidRPr="008431BE">
        <w:rPr>
          <w:rFonts w:ascii="Times New Roman" w:eastAsia="Calibri" w:hAnsi="Times New Roman" w:cs="Times New Roman"/>
          <w:sz w:val="24"/>
          <w:szCs w:val="24"/>
          <w:lang w:val="ro-RO"/>
        </w:rPr>
        <w:t xml:space="preserve"> cu următorul cuprins:</w:t>
      </w:r>
    </w:p>
    <w:p w:rsidR="00D63085" w:rsidRPr="008431BE" w:rsidRDefault="00D63085" w:rsidP="004B71A6">
      <w:pPr>
        <w:tabs>
          <w:tab w:val="left" w:pos="426"/>
          <w:tab w:val="left" w:pos="993"/>
        </w:tabs>
        <w:spacing w:after="0"/>
        <w:ind w:left="720"/>
        <w:contextualSpacing/>
        <w:jc w:val="both"/>
        <w:rPr>
          <w:rFonts w:ascii="Times New Roman" w:eastAsia="Calibri" w:hAnsi="Times New Roman" w:cs="Times New Roman"/>
          <w:b/>
          <w:bCs/>
          <w:sz w:val="24"/>
          <w:szCs w:val="24"/>
          <w:lang w:val="ro-RO"/>
        </w:rPr>
      </w:pPr>
      <w:r w:rsidRPr="008431BE">
        <w:rPr>
          <w:rFonts w:ascii="Times New Roman" w:eastAsia="Calibri" w:hAnsi="Times New Roman" w:cs="Times New Roman"/>
          <w:sz w:val="24"/>
          <w:szCs w:val="24"/>
          <w:lang w:val="ro-RO"/>
        </w:rPr>
        <w:t>,,</w:t>
      </w:r>
      <w:r w:rsidRPr="008431BE">
        <w:rPr>
          <w:rFonts w:ascii="Times New Roman" w:eastAsia="Calibri" w:hAnsi="Times New Roman" w:cs="Times New Roman"/>
          <w:b/>
          <w:bCs/>
          <w:sz w:val="24"/>
          <w:szCs w:val="24"/>
          <w:lang w:val="ro-RO"/>
        </w:rPr>
        <w:t>Articolul 80</w:t>
      </w:r>
      <w:r w:rsidRPr="008431BE">
        <w:rPr>
          <w:rFonts w:ascii="Times New Roman" w:eastAsia="Calibri" w:hAnsi="Times New Roman" w:cs="Times New Roman"/>
          <w:b/>
          <w:bCs/>
          <w:sz w:val="24"/>
          <w:szCs w:val="24"/>
          <w:vertAlign w:val="superscript"/>
          <w:lang w:val="ro-RO"/>
        </w:rPr>
        <w:t>2</w:t>
      </w:r>
      <w:r w:rsidRPr="008431BE">
        <w:rPr>
          <w:rFonts w:ascii="Times New Roman" w:eastAsia="Calibri" w:hAnsi="Times New Roman" w:cs="Times New Roman"/>
          <w:b/>
          <w:bCs/>
          <w:sz w:val="24"/>
          <w:szCs w:val="24"/>
          <w:lang w:val="ro-RO"/>
        </w:rPr>
        <w:t xml:space="preserve">. </w:t>
      </w:r>
      <w:r w:rsidRPr="008431BE">
        <w:rPr>
          <w:rFonts w:ascii="Times New Roman" w:eastAsia="Calibri" w:hAnsi="Times New Roman" w:cs="Times New Roman"/>
          <w:sz w:val="24"/>
          <w:szCs w:val="24"/>
          <w:lang w:val="ro-RO"/>
        </w:rPr>
        <w:t>Încălcarea regulilor şi a normelor sanitar-igienice şi pentru siguranţa alimentelor </w:t>
      </w:r>
    </w:p>
    <w:p w:rsidR="004B71A6" w:rsidRPr="008431BE" w:rsidRDefault="00D63085" w:rsidP="004B71A6">
      <w:pPr>
        <w:tabs>
          <w:tab w:val="left" w:pos="426"/>
          <w:tab w:val="left" w:pos="993"/>
        </w:tabs>
        <w:spacing w:after="0"/>
        <w:ind w:left="72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xml:space="preserve">  (1) Încălcarea regulilor şi a normelor sanitar-igienice şi </w:t>
      </w:r>
      <w:r w:rsidR="004B71A6" w:rsidRPr="008431BE">
        <w:rPr>
          <w:rFonts w:ascii="Times New Roman" w:eastAsia="Calibri" w:hAnsi="Times New Roman" w:cs="Times New Roman"/>
          <w:sz w:val="24"/>
          <w:szCs w:val="24"/>
          <w:lang w:val="ro-RO"/>
        </w:rPr>
        <w:t xml:space="preserve">pentru siguranţa alimentelor la </w:t>
      </w:r>
      <w:r w:rsidRPr="008431BE">
        <w:rPr>
          <w:rFonts w:ascii="Times New Roman" w:eastAsia="Calibri" w:hAnsi="Times New Roman" w:cs="Times New Roman"/>
          <w:sz w:val="24"/>
          <w:szCs w:val="24"/>
          <w:lang w:val="ro-RO"/>
        </w:rPr>
        <w:t>comercializarea de produselor agroalimenta</w:t>
      </w:r>
      <w:r w:rsidR="004B71A6" w:rsidRPr="008431BE">
        <w:rPr>
          <w:rFonts w:ascii="Times New Roman" w:eastAsia="Calibri" w:hAnsi="Times New Roman" w:cs="Times New Roman"/>
          <w:sz w:val="24"/>
          <w:szCs w:val="24"/>
          <w:lang w:val="ro-RO"/>
        </w:rPr>
        <w:t xml:space="preserve">re sau la prestarea de servicii </w:t>
      </w:r>
      <w:r w:rsidRPr="008431BE">
        <w:rPr>
          <w:rFonts w:ascii="Times New Roman" w:eastAsia="Calibri" w:hAnsi="Times New Roman" w:cs="Times New Roman"/>
          <w:sz w:val="24"/>
          <w:szCs w:val="24"/>
          <w:lang w:val="ro-RO"/>
        </w:rPr>
        <w:t>consumatorului în domeniul alimentar</w:t>
      </w:r>
    </w:p>
    <w:p w:rsidR="004B71A6" w:rsidRPr="008431BE" w:rsidRDefault="004B71A6" w:rsidP="004B71A6">
      <w:pPr>
        <w:tabs>
          <w:tab w:val="left" w:pos="426"/>
          <w:tab w:val="left" w:pos="993"/>
        </w:tabs>
        <w:spacing w:after="0"/>
        <w:ind w:left="720"/>
        <w:contextualSpacing/>
        <w:jc w:val="both"/>
        <w:rPr>
          <w:rFonts w:ascii="Times New Roman" w:eastAsia="Calibri" w:hAnsi="Times New Roman" w:cs="Times New Roman"/>
          <w:sz w:val="16"/>
          <w:szCs w:val="16"/>
          <w:lang w:val="ro-RO"/>
        </w:rPr>
      </w:pPr>
    </w:p>
    <w:p w:rsidR="00D63085" w:rsidRPr="008431BE" w:rsidRDefault="00D63085" w:rsidP="004B71A6">
      <w:pPr>
        <w:tabs>
          <w:tab w:val="left" w:pos="426"/>
          <w:tab w:val="left" w:pos="993"/>
        </w:tabs>
        <w:spacing w:after="0"/>
        <w:ind w:left="72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se sancționează cu amendă de la 15 la 25 unități convenționale aplicată persoanei fizice, cu amendă de la 100 la 150 de unități convenționale aplicată persoanei juridice.</w:t>
      </w:r>
      <w:r w:rsidRPr="008431BE">
        <w:rPr>
          <w:rFonts w:ascii="Times New Roman" w:eastAsia="Calibri" w:hAnsi="Times New Roman" w:cs="Times New Roman"/>
          <w:sz w:val="24"/>
          <w:szCs w:val="24"/>
          <w:lang w:val="ro-RO"/>
        </w:rPr>
        <w:br/>
      </w:r>
    </w:p>
    <w:p w:rsidR="00D63085" w:rsidRPr="008431BE" w:rsidRDefault="00D63085" w:rsidP="00D63085">
      <w:pPr>
        <w:tabs>
          <w:tab w:val="left" w:pos="426"/>
          <w:tab w:val="left" w:pos="993"/>
        </w:tabs>
        <w:spacing w:after="0"/>
        <w:ind w:left="72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(2) Încălcarea regulilor şi a normelor sanitar-igienice şi pentru siguranţa alimentelor la întreprinderile din domeniul alimentar</w:t>
      </w:r>
    </w:p>
    <w:p w:rsidR="004B71A6" w:rsidRPr="008431BE" w:rsidRDefault="004B71A6" w:rsidP="00D63085">
      <w:pPr>
        <w:tabs>
          <w:tab w:val="left" w:pos="426"/>
          <w:tab w:val="left" w:pos="993"/>
        </w:tabs>
        <w:spacing w:after="0"/>
        <w:ind w:left="720"/>
        <w:contextualSpacing/>
        <w:jc w:val="both"/>
        <w:rPr>
          <w:rFonts w:ascii="Times New Roman" w:eastAsia="Calibri" w:hAnsi="Times New Roman" w:cs="Times New Roman"/>
          <w:sz w:val="16"/>
          <w:szCs w:val="16"/>
          <w:lang w:val="ro-RO"/>
        </w:rPr>
      </w:pPr>
    </w:p>
    <w:p w:rsidR="00D63085" w:rsidRPr="008431BE" w:rsidRDefault="00D63085" w:rsidP="00D63085">
      <w:pPr>
        <w:tabs>
          <w:tab w:val="left" w:pos="426"/>
          <w:tab w:val="left" w:pos="993"/>
        </w:tabs>
        <w:spacing w:after="0"/>
        <w:ind w:left="72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20 de unităţi convenţionale aplicată persoanei fizice, cu amendă de la 150 la 200 de unităţi convenţionale aplicată persoanei juridice.</w:t>
      </w:r>
    </w:p>
    <w:p w:rsidR="00D63085" w:rsidRPr="008431BE" w:rsidRDefault="00D63085" w:rsidP="00D63085">
      <w:pPr>
        <w:tabs>
          <w:tab w:val="left" w:pos="426"/>
          <w:tab w:val="left" w:pos="993"/>
        </w:tabs>
        <w:spacing w:after="0"/>
        <w:ind w:left="720"/>
        <w:contextualSpacing/>
        <w:jc w:val="both"/>
        <w:rPr>
          <w:rFonts w:ascii="Times New Roman" w:eastAsia="Calibri" w:hAnsi="Times New Roman" w:cs="Times New Roman"/>
          <w:sz w:val="24"/>
          <w:szCs w:val="24"/>
          <w:lang w:val="ro-RO"/>
        </w:rPr>
      </w:pPr>
    </w:p>
    <w:p w:rsidR="00930FE9" w:rsidRPr="008431BE" w:rsidRDefault="00930FE9" w:rsidP="00930FE9">
      <w:pPr>
        <w:numPr>
          <w:ilvl w:val="0"/>
          <w:numId w:val="10"/>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Articolul 84:</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xml:space="preserve">alineatul unic devine alineatul (1), iar dispoziţia va avea următorul cuprins: </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„(1) Producerea, plasarea pe piaţă şi/sau comercializarea de produse agroalimentare şi prestarea de servicii în domeniul alimentar, periculoase pentru viaţa şi sănătatea consumatorului, contrar prevederilor legale,”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completează cu alineatul (2) cu următorul conţinut:</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„(2) Producerea, plasarea pe piaţă şi/sau comercializarea de produse nealimentare sau prestarea de servicii periculoase pentru viaţa şi sănătatea consumatorului, în alte domenii decât cele indicate la alin. (1), contrar prevederilor legale,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lastRenderedPageBreak/>
        <w:t>se sancţionează cu amendă de la 60 la 90 de unităţi convenţionale aplicată persoanei fizice, cu amendă de la 180 la 240 de unităţi convenţionale aplicată persoanei cu funcţie de răspundere, cu amendă de la 210 la 300 de unităţi convenţionale aplicată persoanei juridice cu privarea, în toate cazurile, de dreptul de a desfăşura o anumită activitate pe un termen de la 3 luni la un an.”;</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930FE9" w:rsidP="00930FE9">
      <w:pPr>
        <w:numPr>
          <w:ilvl w:val="0"/>
          <w:numId w:val="10"/>
        </w:numPr>
        <w:tabs>
          <w:tab w:val="left" w:pos="426"/>
        </w:tabs>
        <w:spacing w:after="0"/>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Articolul 98:</w:t>
      </w:r>
    </w:p>
    <w:p w:rsidR="00930FE9" w:rsidRPr="008431BE" w:rsidRDefault="00930FE9" w:rsidP="00930FE9">
      <w:pPr>
        <w:tabs>
          <w:tab w:val="left" w:pos="426"/>
        </w:tabs>
        <w:spacing w:after="0"/>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Alineatul unic devine alineatul (1), iar dispoziţia va avea următorul cuprins:</w:t>
      </w:r>
    </w:p>
    <w:p w:rsidR="00930FE9" w:rsidRPr="008431BE" w:rsidRDefault="00930FE9" w:rsidP="00930FE9">
      <w:pPr>
        <w:tabs>
          <w:tab w:val="left" w:pos="426"/>
        </w:tabs>
        <w:spacing w:after="0"/>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„(1) Utilizarea, la marcarea produselor agroalimentare a unor indicaţii false ori înşelătoare în scopul inducerii în eroare a consumatorului privitor la calitate, cantitate, însuşiri, destinaţie, valoare sau la data fabricării produselor ori prestării serviciilor, precum şi privitor la producător şi la sediul acestuia,”;</w:t>
      </w:r>
    </w:p>
    <w:p w:rsidR="00930FE9" w:rsidRPr="008431BE" w:rsidRDefault="00930FE9" w:rsidP="00930FE9">
      <w:pPr>
        <w:tabs>
          <w:tab w:val="left" w:pos="426"/>
        </w:tabs>
        <w:spacing w:after="0"/>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completează cu alineatul (2) cu următorul conţinut:</w:t>
      </w:r>
    </w:p>
    <w:p w:rsidR="00930FE9" w:rsidRPr="008431BE" w:rsidRDefault="00930FE9" w:rsidP="00930FE9">
      <w:pPr>
        <w:tabs>
          <w:tab w:val="left" w:pos="426"/>
        </w:tabs>
        <w:spacing w:after="0"/>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xml:space="preserve"> „(2) Utilizarea, la marcarea produselor, altele decât cele indicate la alin. (1), a unor indicaţii false ori înşelătoare în scopul inducerii în eroare a consumatorului privitor la calitate, cantitate, însuşiri, destinaţie, valoare sau la data fabricării produselor ori prestării serviciilor, precum şi privitor la producător şi la sediul acestuia,</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bCs/>
          <w:sz w:val="24"/>
          <w:szCs w:val="24"/>
          <w:lang w:val="ro-RO"/>
        </w:rPr>
        <w:t>se sancţionează cu amendă de la 24 la 30 de unităţi convenţionale aplicată persoanei fizice, cu amendă de la 90 la 120 de unităţi convenţionale aplicată persoanei cu funcţie de răspundere, cu amendă de la 120 la 180 de unităţi convenţionale aplicată persoanei juridice.</w:t>
      </w:r>
      <w:r w:rsidRPr="008431BE">
        <w:rPr>
          <w:rFonts w:ascii="Times New Roman" w:eastAsia="Calibri" w:hAnsi="Times New Roman" w:cs="Times New Roman"/>
          <w:sz w:val="24"/>
          <w:szCs w:val="24"/>
          <w:lang w:val="ro-RO"/>
        </w:rPr>
        <w:t>”;</w:t>
      </w:r>
    </w:p>
    <w:p w:rsidR="00930FE9" w:rsidRPr="008431BE" w:rsidRDefault="00930FE9" w:rsidP="00930FE9">
      <w:pPr>
        <w:numPr>
          <w:ilvl w:val="0"/>
          <w:numId w:val="10"/>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Articolul 278:</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titlul articolului se completează cu cuvintele „mărfurilor și produselor agroalimentare”;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la alineatul (1), după cuvântul „vânzător”, se completează cu „al produselor agroalimentare”, iar după cuvântul „prestator” se completează cu cuvintele „al serviciilor aferente acestor produse”;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la alineatul (2), după cuvântul „vânzătorului” se completează cu cuvintele „produselor agroalimentare”, iar după cuvântul „prestatorului” se completează cu cuvintele „serviciilor aferente acestor produse”;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la alineatul (3), după cuvântul „vânzătorului” se completează cu cuvintele „produselor agroalimentare”, iar cuvintele „sau a produselor cosmetice” se exclud.</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930FE9" w:rsidP="00930FE9">
      <w:pPr>
        <w:numPr>
          <w:ilvl w:val="0"/>
          <w:numId w:val="10"/>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completează cu articolul 278</w:t>
      </w:r>
      <w:r w:rsidRPr="008431BE">
        <w:rPr>
          <w:rFonts w:ascii="Times New Roman" w:eastAsia="Calibri" w:hAnsi="Times New Roman" w:cs="Times New Roman"/>
          <w:sz w:val="24"/>
          <w:szCs w:val="24"/>
          <w:vertAlign w:val="superscript"/>
          <w:lang w:val="ro-RO"/>
        </w:rPr>
        <w:t>1</w:t>
      </w:r>
      <w:r w:rsidRPr="008431BE">
        <w:rPr>
          <w:rFonts w:ascii="Times New Roman" w:eastAsia="Calibri" w:hAnsi="Times New Roman" w:cs="Times New Roman"/>
          <w:sz w:val="24"/>
          <w:szCs w:val="24"/>
          <w:lang w:val="ro-RO"/>
        </w:rPr>
        <w:t xml:space="preserve"> cu următorul conţinut: </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„Articolul 278</w:t>
      </w:r>
      <w:r w:rsidRPr="008431BE">
        <w:rPr>
          <w:rFonts w:ascii="Times New Roman" w:eastAsia="Calibri" w:hAnsi="Times New Roman" w:cs="Times New Roman"/>
          <w:sz w:val="24"/>
          <w:szCs w:val="24"/>
          <w:vertAlign w:val="superscript"/>
          <w:lang w:val="ro-RO"/>
        </w:rPr>
        <w:t>1</w:t>
      </w:r>
      <w:r w:rsidRPr="008431BE">
        <w:rPr>
          <w:rFonts w:ascii="Times New Roman" w:eastAsia="Calibri" w:hAnsi="Times New Roman" w:cs="Times New Roman"/>
          <w:sz w:val="24"/>
          <w:szCs w:val="24"/>
          <w:lang w:val="ro-RO"/>
        </w:rPr>
        <w:t>. Încălcarea cerinţelor legale privind interesele economice ale consumatorilor mărfurilor și produselor nealimentare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xml:space="preserve">(1) Încălcarea de către vânzător al produselor nealimentare, prestator al serviciilor aferente acestor produse a termenului, prevăzut de lege, de cel mult 14 zile calendaristice de la data înaintării reclamaţiei sau a termenului stabilit prin contract pentru soluţionarea reclamaţiei </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50 la 100 de unităţi convenţionale aplicată persoanei cu funcţie de răspundere, cu amendă de la 150 la 200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(2) Refuzul vânzătorului produselor nealimentare, prestatorului serviciilor aferente acestor produse de a satisface reclamaţia consumatorului, fără a dovedi vina acestuia printr-o expertiză tehnică, în termen de cel mult 14 zile calendaristice, prevăzut de lege,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50 la 100 de unităţi convenţionale aplicată persoanei cu funcţie de răspundere, cu amendă de la 150 la 200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(3) Refuzul vânzătorului de a înlocui sau de a restitui, la cererea consumatorului, contravaloarea produselor farmaceutice necorespunzătoare cerinţelor prescrise sau declarate,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50 la 100 de unităţi convenţionale aplicată persoanei cu funcţie de răspundere, cu amendă de la 150 la 200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lastRenderedPageBreak/>
        <w:t>(4) Refuzul vânzătorului de a înlocui, în condiţiile legii, în termen de cel mult 14 zile calendaristice, un produs nealimentar de calitate corespunzătoare cu un produs similar celui procurat, dacă acest produs nu-i convine consumatorului ca formă, gabarite, model, mărime, culoare sau dacă, din alte cauze, nu-l poate utiliza conform destinaţiei,</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50 la 100 de unităţi convenţionale aplicată persoanei cu funcţie de răspundere, cu amendă de la 150 la 200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930FE9" w:rsidP="00930FE9">
      <w:pPr>
        <w:numPr>
          <w:ilvl w:val="0"/>
          <w:numId w:val="10"/>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Articolul 279:</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Alineatul unic devine alineatul (1), iar dispoziţia va avea următorul cuprins:</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„(1) Prezentarea de informaţii neautentice sau incomplete despre caracteristicile produselor agroalimentare şi ale serviciilor din același domeniu, la etapa plasării pe piaţă şi/sau comercializării, trecerea sub tăcere a indicilor calitativi, a proprietăţilor produselor şi a regulilor de folosire a lor,”.</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completează cu alineatul (2) care va avea următorul conţinut:</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„(2) Prezentarea de informaţii neautentice sau incomplete despre caracteristicile produselor nealimentare şi ale serviciilor din domeniul nealimentar, la etapa plasării pe piaţă şi/sau comercializării, trecerea sub tăcere a indicilor calitativi, a proprietăţilor produselor şi a regulilor de folosire a lor,</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70 de unităţi convenţionale aplicată persoanei fizice, cu amendă de la 150 la 200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930FE9" w:rsidP="00930FE9">
      <w:pPr>
        <w:numPr>
          <w:ilvl w:val="0"/>
          <w:numId w:val="10"/>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completează cu art. 343</w:t>
      </w:r>
      <w:r w:rsidRPr="008431BE">
        <w:rPr>
          <w:rFonts w:ascii="Times New Roman" w:eastAsia="Calibri" w:hAnsi="Times New Roman" w:cs="Times New Roman"/>
          <w:sz w:val="24"/>
          <w:szCs w:val="24"/>
          <w:vertAlign w:val="superscript"/>
          <w:lang w:val="ro-RO"/>
        </w:rPr>
        <w:t>1</w:t>
      </w:r>
      <w:r w:rsidRPr="008431BE">
        <w:rPr>
          <w:rFonts w:ascii="Times New Roman" w:eastAsia="Calibri" w:hAnsi="Times New Roman" w:cs="Times New Roman"/>
          <w:sz w:val="24"/>
          <w:szCs w:val="24"/>
          <w:lang w:val="ro-RO"/>
        </w:rPr>
        <w:t xml:space="preserve"> cu următorul conţinut:</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„Articolul 343</w:t>
      </w:r>
      <w:r w:rsidRPr="008431BE">
        <w:rPr>
          <w:rFonts w:ascii="Times New Roman" w:eastAsia="Calibri" w:hAnsi="Times New Roman" w:cs="Times New Roman"/>
          <w:sz w:val="24"/>
          <w:szCs w:val="24"/>
          <w:vertAlign w:val="superscript"/>
          <w:lang w:val="ro-RO"/>
        </w:rPr>
        <w:t>1</w:t>
      </w:r>
      <w:r w:rsidRPr="008431BE">
        <w:rPr>
          <w:rFonts w:ascii="Times New Roman" w:eastAsia="Calibri" w:hAnsi="Times New Roman" w:cs="Times New Roman"/>
          <w:sz w:val="24"/>
          <w:szCs w:val="24"/>
          <w:lang w:val="ro-RO"/>
        </w:rPr>
        <w:t xml:space="preserve">. Încălcarea cerinţelor prescrise sau declarate privind producerea, depozitarea, plasarea pe piaţă şi comercializarea produselor agroalimentare, privind prestarea serviciilor şi încălcarea regulilor de protecţie a consumatorilor în domeniul agroalimentar </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(1) Încălcarea cerinţelor de securitate a produselor agroalimentare prin:</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 producerea, plasarea pe piaţă şi comercializarea produselor agroalimentare ce nu corespund cerinţelor de securitate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100 la 150 de unităţi convenţionale aplicată persoanei fizice, cu amendă de la 400 la 500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b) neasigurarea şi/sau netransmiterea de către producătorii şi/sau distribuitorii produselor agroalimentare a informaţiei relevante care ar permite să fie evaluate riscurile inerente ale unui produs sau a avertizării de rigoare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50 la 100 de unităţi convenţionale aplicată persoanei fizice, cu amendă de la 300 la 400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c) neîntreprinderea de către producători, distribuitori şi comercianţi a produselor agroalimentare a acţiunilor de evitare a riscurilor; neretragerea de pe piaţă a produselor respective; neavertizarea adecvată şi eficientă a consumatorului; nereturnarea de la consumator a produselor agroalimentare în a căror privinţă organul de control sau specialiştii proprii au constatat că nu îndeplinesc cerinţele de securitate, din care cauză pot afecta viaţa, sănătatea, ereditatea şi securitatea consumatorilor,</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50 la 100 de unităţi convenţionale aplicată persoanei fizice, cu amendă de la 300 la 400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d) neinformarea imediată de către producător şi distribuitor ai produselor agroalimentare a autorităţii competente despre acţiunile întreprinse în scopul prevenirii riscurilor pentru consumator</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lastRenderedPageBreak/>
        <w:t>se sancţionează cu amendă de la 50 la 75 de unităţi convenţionale aplicată persoanei fizice, cu amendă de la 200 la 300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(2) Încălcarea cerinţelor prescrise sau declarate prin:</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 producerea, plasarea pe piaţă, depozitarea, expunerea în comercializare şi comercializarea produselor agroalimentare, prestarea serviciilor legate de asemenea produse contrar interdicţiei organului de control</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50 la 100 de unităţi convenţionale aplicată persoanei fizice, cu amendă de la 300 la 400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b) producerea, depozitarea, plasarea pe piaţă şi comercializarea produselor agroalimentare, prestarea serviciilor legate de asemenea produse cu încălcarea cerinţelor esenţiale (cerinţe privind asigurarea inofensivităţii produselor şi serviciilor pentru viaţa, sănătatea, ereditatea şi siguranţa oamenilor) şi/sau cu încălcarea cerinţelor privind protecţia intereselor consumatorilor (cerinţe privind informaţia despre compoziţia, destinaţia, originea şi calitatea produselor, masa netă şi volumul produselor, termenul de valabilitate indicat pe produs, pe etichetă, pe ambalaj sau în documentaţia de însoţire), stipulate în acte normative,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75 la 100 de unităţi convenţionale aplicată persoanei fizice, cu amendă de la 400 la 500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c) plasarea pe piaţă a produselor agroalimentare, prestarea serviciilor legate de asemenea produse fără prezentarea informaţiei complete, veridice şi corecte în limba de stat; neprezentarea de către producător (ambalator) a informaţiilor despre denumirea produsului, denumirea şi marca producătorului, denumirea importatorului, adresa acestora (numărul de telefon, după caz), despre masa/volumul, lungimea, aria, principalele caracteristici calitative, compoziţia, aditivii folosiţi, eventualele riscuri, despre modul de utilizare, de manipulare, de depozitare, de conservare sau de păstrare, despre contraindicaţii, precum şi despre valoarea energetică şi nutritivă a produselor alimentare preambalate; neindicarea ţării producătoare, a termenului de garanţie, duratei de funcţionare, termenului de valabilitate şi datei fabricării, în conformitate cu reglementările tehnice şi standardele naţionale în vigoare,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25 la 50 de unităţi convenţionale aplicată persoanei fizice, cu amendă de la 450 la 500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d) neasigurarea de către vânzător şi de către prestator a respectării condiţiilor tehnice stabilite de producător pentru produs agroalimentar; sau</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e) folosirea de către prestator a produselor agroalimentare şi procedurilor ofensive şi/sau necertificate şi neanunţarea imediată a autorităţii competente, precum şi a producătorului, despre existenţa oricărui produs agroalimentar, folosit la prestarea serviciului, de care are cunoştinţă că este periculos şi/sau falsificat (contrafăcut); sau</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f) nestabilirea de către producător al produselor agroalimentare, în documentul normativ, a termenului de valabilitate al produselor alimentare, medicamentelor şi al altor produse; sau</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g) neinformarea consumatorului despre preţul produsului agroalimentar (în cazul produselor preambalate – preţul pentru o unitate de măsură şi preţul de vânzare a cantităţii preambalate) şi neoferirea informaţiilor specificate la lit. c), a datelor despre certificarea conformităţii sau a declaraţiei de conformitate, dacă legislaţia prevede aceasta, precum şi neasigurarea consumatorului cu cartea tehnică ori cu instrucţiunile de folosire, instalare, exploatare, întreţinere, elaborate de producător; sau</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xml:space="preserve">h) neindicarea, în informaţiile despre serviciile ce țin de produse agroalimentare prestate conform reglementărilor în vigoare, a categoriei calitative a serviciului, a termenului de prestare, </w:t>
      </w:r>
      <w:r w:rsidRPr="008431BE">
        <w:rPr>
          <w:rFonts w:ascii="Times New Roman" w:eastAsia="Calibri" w:hAnsi="Times New Roman" w:cs="Times New Roman"/>
          <w:sz w:val="24"/>
          <w:szCs w:val="24"/>
          <w:lang w:val="ro-RO"/>
        </w:rPr>
        <w:lastRenderedPageBreak/>
        <w:t>a termenului de garanţie, a tarifelor, a eventualelor riscuri şi a datelor despre certificarea conformităţii sau despre declaraţia de conformitate, dacă legislaţia prevede aceasta,</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25 la 50 de unităţi convenţionale aplicată persoanei fizice, cu amendă de la 100 la 180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xml:space="preserve"> (3) Încălcarea regulilor privind protecţia consumatorilor ai produselor agroalimentare prin:</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 lipsa registrului de reclamaţii sau neafişarea acestuia la loc vizibil pentru consumatori, neînregistrarea de către vânzător, prestator a reclamaţiei consumatorului;</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b) neafişarea la vedere de către vânzător, prestator a adresei şi a numărului de telefon al autorităţii abilitată cu funcţie de protecţie a consumatorului, a informaţiei despre termenul de garanţie al produselor, al serviciilor, despre obligativitatea, în cazul examinării reclamaţiei, a prezenţei bonului de casă sau a unui alt document care să confirme cumpărarea produsului, prestarea serviciului;</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c) neafişarea la vedere de către vânzător, prestator, inclusiv în cazul în care desfăşoară activitate comercială în afara locului autorizat, a denumirii lor, a autorizaţiei de funcţionare sau a licenţei, dacă obligativitatea acesteia este prevăzută de legislaţie, a programului de lucru, precum şi nerespectarea acestuia</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50 la 100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d) utilizarea de către comerciant a practicilor comerciale incorecte (înşelătoare şi/sau agresive) care denaturează sau sunt susceptibile să  denatureze în mod esenţial comportamentul economic al consumatorului mediu la care ajung sau căruia li se adresează ori al membrului mediu al unui grup, în cazul când practicile comerciale sunt adresate unui anumit grup de consumatori,</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50 la 100 de unităţi convenţionale aplicată persoanei cu funcţie de răspundere, cu amendă de la 100 la 200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e) neprezentarea de către comerciant, la solicitarea consumatorului, a unui exemplar al contractului cu clauze contractuale standard pe care îl propune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50 la 75 de unităţi convenţionale aplicată persoanei cu funcţie de răspundere, cu amendă de la 100 la 150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(4) Încălcarea cerinţelor de informare pentru alte contracte decât contractele negociate în afara spațiilor comerciale şi contractele la distanţă ce se referă la produsele agroalimentare prin:</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 neprezentarea sau prezentarea incompletă a informaţiei precontractuale pentru alte contracte decît contractele negociate în afara spațiilor comerciale şi contractele la distanţă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30 la 50 de unităţi convenţionale aplicată persoanei cu funcţie de răspundere, cu amendă de la 70 la 100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b) necomunicarea principalelor caracteristici ale produselor sau serviciilor în mod corespunzător cu mijlocul de comunicare utilizat şi cu produsele sau serviciile în cauză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30 la 50 de unităţi convenţionale aplicată persoanei cu funcţie de răspundere, cu amendă de la 70 la 100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c) necomunicarea informaţiei referitoare la preţul total al produselor sau serviciilor cu toate taxele incluse ori, în cazul în care preţul nu poate fi calculat din timp dată fiind natura produselor sau a serviciilor, la modalitatea de calcul al preţului, precum şi la costurile suplimentare de transport, de livrare sau la taxele poştale, ori, în cazul în care acestea nu pot fi calculate din timp, neindicarea faptului că aceste costuri suplimentare ar putea fi suportate de consumator</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lastRenderedPageBreak/>
        <w:t>se sancţionează cu amendă de la 10 la 25 de unităţi convenţionale aplicată persoanei fizice, cu amendă de la 50 la 75 de unităţi convenţionale aplicată persoanei cu funcţie de răspundere, cu amendă de la 100 la 150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(5) Încălcarea cerinţelor de informare pentru contractele negociate în afara spaţiilor comerciale şi cele la distanţă ce se referă la produsele agroalimentare prin:</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 neprezentarea sau prezentarea incompletă a informaţiei precontractuale pentru contractele negociate în afara spaţiilor comerciale şi cele la distanţă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30 la 50 de unităţi convenţionale aplicată persoanei cu funcţie de răspundere, cu amendă de la 70 la 100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b) necomunicarea principalelor caracteristici ale produselor sau serviciilor în mod corespunzător cu mijlocul de comunicare utilizat şi cu produsele sau serviciile în cauză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30 la 50 de unităţi convenţionale aplicată persoanei cu funcţie de răspundere, cu amendă de la 70 la 100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c) necomunicarea informaţiei referitoare la preţul total al produselor sau serviciilor cu toate taxele incluse, la costurile suplimentare de transport, de livrare, la taxele poștale sau de orice altă natură ori, în cazul în care acestea nu pot fi calculate din timp, neindicarea faptului că aceste costuri suplimentare ar putea fi suportate de consumator</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50 la 75 de unităţi convenţionale aplicată persoanei cu funcţie de răspundere, cu amendă de la 100 la 150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d) necomunicarea informaţiei privind costul de utilizare a mijloacelor de comunicare la distanță în vederea încheierii contractului, atunci când este calculat pe baza unui alt tarif decât tariful de bază,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50 la 75 de unităţi convenţionale aplicată persoanei cu funcţie de răspundere, cu amendă de la 100 la 150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e) necomunicarea informaţiei privind modalitățile de plată, livrare şi executare, privind data până la care sau termenul în care comerciantul se angajează să livreze  produsele sau să presteze serviciile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xml:space="preserve">    se sancţionează cu amendă de la 10 la 25 de unităţi convenţionale aplicată persoanei fizice, cu amendă de la 50 la 75 de unităţi convenţionale aplicată persoanei cu funcţie de răspundere, cu amendă de la 100 la 150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f) necomunicarea informaţiei privind existența și condițiile aferente avansurilor  sau altor garanții financiare care trebuie plătite sau oferite de consumator la cererea comerciantului</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50 la 75 de unităţi convenţionale aplicată persoanei cu funcţie de răspundere, cu amendă de la 100 la 150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xml:space="preserve">g) necomunicarea informaţiei privind existenţa sau lipsa dreptului de revocare şi, dacă acest drept există, privind termenul şi condiţiile de exercitare a acestuia, inclusiv a informaţiilor despre faptul că consumatorul va trebui să suporte costul aferent returnării produselor în caz de revocare, iar pentru contractele la distanță – dacă,  prin însăși natura lor, produsele nu pot fi, în mod normal, returnate prin poștă – costul aferent returnării produselor; necomunicarea informaţiei că consumatorul nu va beneficia de un drept de revocare, a consecinţelor ce decurg </w:t>
      </w:r>
      <w:r w:rsidRPr="008431BE">
        <w:rPr>
          <w:rFonts w:ascii="Times New Roman" w:eastAsia="Calibri" w:hAnsi="Times New Roman" w:cs="Times New Roman"/>
          <w:sz w:val="24"/>
          <w:szCs w:val="24"/>
          <w:lang w:val="ro-RO"/>
        </w:rPr>
        <w:lastRenderedPageBreak/>
        <w:t>din neexecutarea acestui drept sau a circumstanţelor în care consumatorul îşi pierde dreptul de revocare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50 la 75 de unităţi convenţionale aplicată persoanei cu funcţie de răspundere, cu amendă de la 100 la 150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(6) Nerambursarea sau rambursarea, cu depăşirea termenului de 14 zile de la data la care este informat despre decizia de revocare a contractului cu privire la produsele agroalimentare, de către comerciant a sumelor pe care le-a primit drept plată din partea consumatorului</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100 la 150 de unităţi convenţionale aplicată persoanei cu funcţie de răspundere, cu amendă de la 150 la 200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930FE9" w:rsidP="00930FE9">
      <w:pPr>
        <w:numPr>
          <w:ilvl w:val="0"/>
          <w:numId w:val="10"/>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xml:space="preserve">Articolul 344 va avea următorul cuprins: </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„Articolul 344. Încălcarea cerinţelor prescrise sau declarate privind producerea, depozitarea, plasarea pe piaţă şi comercializarea produselor nealimentare, privind prestarea serviciilor şi încălcarea regulilor de protecţie a consumatorilor în domeniul nealimentar</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(1) Încălcarea cerinţelor de securitate a produselor nealimentare prin:</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 producerea, plasarea pe piaţă şi comercializarea produselor nealimentare ce nu corespund cerinţelor de securitate,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100 la 150 de unităţi convenţionale aplicată persoanei fizice, cu amendă de la 400 la 500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b) neasigurarea şi/sau netransmiterea de către producătorii şi/sau distribuitorii produselor nealimentare a informaţiei relevante care ar permite să fie evaluate riscurile inerente ale unui produs sau a avertizării de rigoare,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50 la 100 de unităţi convenţionale aplicată persoanei fizice, cu amendă de la 300 la 400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c) neîntreprinderea de către producători, distribuitori şi comercianţi a produselor nealimentare a acţiunilor de evitare a riscurilor; neretragerea de pe piaţă a produselor respective; neavertizarea adecvată şi eficientă a consumatorului; nereturnarea de la consumator a produselor nealimentare în a căror privinţă organul de control sau specialiştii proprii au constatat că nu îndeplinesc cerinţele de securitate, din care cauză pot afecta viaţa, sănătatea, ereditatea şi securitatea consumatorilor,</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50 la 100 de unităţi convenţionale aplicată persoanei fizice, cu amendă de la 300 la 400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d) neinformarea imediată de către producător şi distribuitor ai produselor nealimentare a autorităţii competente despre acţiunile întreprinse în scopul prevenirii riscurilor pentru consumator,</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50 la 75 de unităţi convenţionale aplicată persoanei fizice, cu amendă de la 200 la 300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(2) Încălcarea cerinţelor prescrise sau declarate prin:</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 producerea, plasarea pe piaţă, depozitarea, expunerea în comercializare şi comercializarea produselor nealimentare, prestarea serviciilor legate de asemenea produse contrar interdicţiei organului de control,</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50 la 100 de unităţi convenţionale aplicată persoanei fizice, cu amendă de la 300 la 400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lastRenderedPageBreak/>
        <w:t>b) producerea, depozitarea, plasarea pe piaţă şi comercializarea produselor nealimentare, prestarea serviciilor legate de asemenea produse cu încălcarea cerinţelor esenţiale (cerinţe privind asigurarea inofensivităţii produselor şi serviciilor pentru viaţa, sănătatea, ereditatea şi siguranţa oamenilor) şi/sau cu încălcarea cerinţelor privind protecţia intereselor consumatorilor (cerinţe privind informaţia despre compoziţia, destinaţia, originea şi calitatea produselor, masa netă şi volumul produselor, termenul de valabilitate indicat pe produs, pe etichetă, pe ambalaj sau în documentaţia de însoţire), stipulate în acte normative,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75 la 100 de unităţi convenţionale aplicată persoanei fizice, cu amendă de la 400 la 500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c) plasarea pe piaţă a produselor nealimentare, prestarea serviciilor legate de asemenea produse fără prezentarea informaţiei complete, veridice şi corecte în limba de stat; neprezentarea de către producător (ambalator) a informaţiilor despre denumirea produsului, denumirea şi marca producătorului, denumirea importatorului, adresa acestora (numărul de telefon, după caz), despre masa/volumul, lungimea, aria, principalele caracteristici calitative, compoziţia, aditivii folosiţi, eventualele riscuri, despre modul de utilizare, de manipulare, de depozitare, de conservare sau de păstrare, despre contraindicaţii, precum şi despre valoarea energetică şi nutritivă a produselor alimentare preambalate; neindicarea ţării producătoare, a termenului de garanţie, duratei de funcţionare, termenului de valabilitate şi datei fabricării, în conformitate cu reglementările tehnice şi standardele naţionale în vigoare,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25 la 50 de unităţi convenţionale aplicată persoanei fizice, cu amendă de la 450 la 500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d) neasigurarea de către vânzător şi de către prestator a respectării condiţiilor tehnice stabilite de producător pentru produsele nealimentare; sau</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e) folosirea de către prestator a produselor nealimentare şi procedurilor ofensive şi/sau necertificate şi neanunţarea imediată a autorităţii competente, precum şi a producătorului, despre existenţa oricărui produs nealimentar, folosit la prestarea serviciului, de care are cunoştinţă că este periculos şi/sau falsificat (contrafăcut); sau</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f) neasigurarea prestării serviciilor (în cazul în care serviciile conţin elemente vorbite sau textuale scrise) în limba de stat; sau</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g) nestabilirea de către producător al produselor nealimentar, în documentul normativ, a termenului de valabilitate al produselor articolelor de parfumerie, articolelor cosmetice, medicamentelor, articolelor chimice de uz casnic, şi al altor produse; sau</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h) neinformarea consumatorului despre preţul produsului nealimentar (în cazul produselor preambalate – preţul pentru o unitate de măsură şi preţul de vânzare a cantităţii preambalate) şi neoferirea informaţiilor specificate la lit. c), a datelor despre certificarea conformităţii sau a declaraţiei de conformitate, dacă legislaţia prevede aceasta, precum şi neasigurarea consumatorului cu cartea tehnică ori cu instrucţiunile de folosire, instalare, exploatare, întreţinere, elaborate de producător; sau</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i) neprezentarea în limba de stat a informaţiilor despre produsele şi serviciile oferite consumatorului, inclusiv neprezentarea lor verbală şi în cartea tehnică, în instrucţiunile de folosire, instalare, exploatare, întreţinere ori în altă documentaţie de însoţire; sau</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j) neindicarea, în informaţiile despre serviciile ce țin de produse nealimentare prestate conform reglementărilor în vigoare, a categoriei calitative a serviciului, a termenului de prestare, a termenului de garanţie, a tarifelor, a eventualelor riscuri şi a datelor despre certificarea conformităţii sau despre declaraţia de conformitate, dacă legislaţia prevede aceasta,</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lastRenderedPageBreak/>
        <w:t>se sancţionează cu amendă de la 25 la 50 de unităţi convenţionale aplicată persoanei fizice, cu amendă de la 100 la 180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xml:space="preserve"> (3) Încălcarea regulilor privind protecţia consumatorilor ai produselor nealimentar prin:</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 lipsa registrului de reclamaţii sau neafişarea acestuia la loc vizibil pentru consumatori, neînregistrarea de către vânzător, prestator a reclamaţiei consumatorului;</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b) neafişarea la vedere de către vânzător, prestator a adresei şi a numărului de telefon al autorităţii abilitată cu funcţie de protecţie a consumatorului, a informaţiei despre termenul de garanţie al produselor, al serviciilor, despre obligativitatea, în cazul examinării reclamaţiei, a prezenţei bonului de casă sau a unui alt document care să confirme cumpărarea produsului, prestarea serviciului;</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c) neafişarea la vedere de către vânzător, prestator, inclusiv în cazul în care desfăşoară activitate comercială în afara locului autorizat, a denumirii lor, a autorizaţiei de funcţionare sau a licenţei, dacă obligativitatea acesteia este prevăzută de legislaţie, a programului de lucru, precum şi nerespectarea acestuia</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50 la 100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d) utilizarea de către comerciant a practicilor comerciale incorecte (înşelătoare şi/sau agresive) care denaturează sau sunt susceptibile să denatureze în mod esenţial comportamentul economic al consumatorului mediu la care ajung sau căruia li se adresează ori al membrului mediu al unui grup, în cazul când practicile comerciale sunt adresate unui anumit grup de consumatori,</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50 la 100 de unităţi convenţionale aplicată persoanei cu funcţie de răspundere, cu amendă de la 100 la 200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e) neprezentarea de către comerciant, la solicitarea consumatorului, a unui exemplar al contractului cu clauze contractuale standard pe care îl propune,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50 la 75 de unităţi convenţionale aplicată persoanei cu funcţie de răspundere, cu amendă de la 100 la 150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(4) Încălcarea cerinţelor legislaţiei privind contractele de credit pentru consumatori prin:</w:t>
      </w:r>
      <w:r w:rsidRPr="008431BE">
        <w:rPr>
          <w:rFonts w:ascii="Times New Roman" w:eastAsia="Calibri" w:hAnsi="Times New Roman" w:cs="Times New Roman"/>
          <w:sz w:val="24"/>
          <w:szCs w:val="24"/>
          <w:lang w:val="ro-RO"/>
        </w:rPr>
        <w:br/>
        <w:t>    a) neprezentarea sau prezentarea necompletă a informaţiei standard care trebuie inclusă în publicitate sau a informaţiei precontractuale referitoare la contractul de credit pentru consumatori</w:t>
      </w:r>
      <w:r w:rsidRPr="008431BE">
        <w:rPr>
          <w:rFonts w:ascii="Times New Roman" w:eastAsia="Calibri" w:hAnsi="Times New Roman" w:cs="Times New Roman"/>
          <w:sz w:val="24"/>
          <w:szCs w:val="24"/>
          <w:lang w:val="ro-RO"/>
        </w:rPr>
        <w:br/>
        <w:t>se sancţionează cu amendă de la 50 la 75 de unităţi convenţionale aplicată persoanei cu funcţie de răspundere, cu amendă de la 100 la 150 de unităţi convenţionale aplicată persoanei juridice;</w:t>
      </w:r>
      <w:r w:rsidRPr="008431BE">
        <w:rPr>
          <w:rFonts w:ascii="Times New Roman" w:eastAsia="Calibri" w:hAnsi="Times New Roman" w:cs="Times New Roman"/>
          <w:sz w:val="24"/>
          <w:szCs w:val="24"/>
          <w:lang w:val="ro-RO"/>
        </w:rPr>
        <w:br/>
        <w:t>    b) neincluderea în contract a informaţiilor standard obligatorii referitoare la contractul de credit pentru consumatori; sau</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xml:space="preserve">    c) neinformarea, în termen  de 7 zile calendaristice, referitor la respingerea cererii de creditare ca rezultat al consultării bazei de date, precum şi la identitatea acestei baze, </w:t>
      </w:r>
      <w:r w:rsidRPr="008431BE">
        <w:rPr>
          <w:rFonts w:ascii="Times New Roman" w:eastAsia="Calibri" w:hAnsi="Times New Roman" w:cs="Times New Roman"/>
          <w:sz w:val="24"/>
          <w:szCs w:val="24"/>
          <w:lang w:val="ro-RO"/>
        </w:rPr>
        <w:br/>
        <w:t>se sancţionează cu amendă de la 50 la 75 de unităţi convenţionale aplicată persoanei cu funcţie de răspundere, cu amendă de la 100 la 150 de unităţi convenţionale aplicată persoanei juridice;</w:t>
      </w:r>
      <w:r w:rsidRPr="008431BE">
        <w:rPr>
          <w:rFonts w:ascii="Times New Roman" w:eastAsia="Calibri" w:hAnsi="Times New Roman" w:cs="Times New Roman"/>
          <w:sz w:val="24"/>
          <w:szCs w:val="24"/>
          <w:lang w:val="ro-RO"/>
        </w:rPr>
        <w:br/>
        <w:t>    d) neinformarea în legătură cu orice modificare a ratei dobânzii aferente creditului înainte ca modificarea să intre în vigoare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se sancţionează cu amendă de la 50 la 100 de unităţi convenţionale aplicată persoanei cu funcţie de răspundere, cu amendă de la 100 la 180 de unităţi convenţionale aplicată persoanei juridice;</w:t>
      </w:r>
      <w:r w:rsidRPr="008431BE">
        <w:rPr>
          <w:rFonts w:ascii="Times New Roman" w:eastAsia="Calibri" w:hAnsi="Times New Roman" w:cs="Times New Roman"/>
          <w:sz w:val="24"/>
          <w:szCs w:val="24"/>
          <w:lang w:val="ro-RO"/>
        </w:rPr>
        <w:br/>
        <w:t>    e) majorarea sau aplicarea nejustificată a comisioanelor, a taxelor, altele decît cele prevăzute în contractul de credit; sau</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f) lipsa notificării în cazul modificării costurilor creditului potrivit condiţiilor contractuale; sau</w:t>
      </w:r>
      <w:r w:rsidRPr="008431BE">
        <w:rPr>
          <w:rFonts w:ascii="Times New Roman" w:eastAsia="Calibri" w:hAnsi="Times New Roman" w:cs="Times New Roman"/>
          <w:sz w:val="24"/>
          <w:szCs w:val="24"/>
          <w:lang w:val="ro-RO"/>
        </w:rPr>
        <w:br/>
        <w:t xml:space="preserve">    g) neindicarea în mod expres în contract a modului de calcul al dobânzii, cu precizarea </w:t>
      </w:r>
      <w:r w:rsidRPr="008431BE">
        <w:rPr>
          <w:rFonts w:ascii="Times New Roman" w:eastAsia="Calibri" w:hAnsi="Times New Roman" w:cs="Times New Roman"/>
          <w:sz w:val="24"/>
          <w:szCs w:val="24"/>
          <w:lang w:val="ro-RO"/>
        </w:rPr>
        <w:lastRenderedPageBreak/>
        <w:t>periodicităţii şi/sau a condiţiilor în care survine modificarea ratei dobânzii flotante; sau</w:t>
      </w:r>
      <w:r w:rsidRPr="008431BE">
        <w:rPr>
          <w:rFonts w:ascii="Times New Roman" w:eastAsia="Calibri" w:hAnsi="Times New Roman" w:cs="Times New Roman"/>
          <w:sz w:val="24"/>
          <w:szCs w:val="24"/>
          <w:lang w:val="ro-RO"/>
        </w:rPr>
        <w:br/>
        <w:t>    h) încălcarea cerinţelor privind stabilirea ratei dobânzii sau a regulilor de calculare a dobînzii anuale efective pentru contractele de credit pentru consumatori, precum şi calculul incomplet sau eronat al acesteia,</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se sancţionează cu amendă de la 50 la 100 de unităţi convenţionale aplicată persoanei cu funcţie de răspundere, cu amendă de la 200 la 300 de unităţi convenţionale aplicată persoanei juridice.</w:t>
      </w:r>
      <w:r w:rsidRPr="008431BE">
        <w:rPr>
          <w:rFonts w:ascii="Times New Roman" w:eastAsia="Calibri" w:hAnsi="Times New Roman" w:cs="Times New Roman"/>
          <w:sz w:val="24"/>
          <w:szCs w:val="24"/>
          <w:lang w:val="ro-RO"/>
        </w:rPr>
        <w:br/>
        <w:t>    (5) Încălcarea cerinţelor faţă de încheierea şi executarea contractelor la distanţă privind serviciile financiare de consum prin:</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a) neprezentarea tipului de serviciu financiar înaintea încheierii unui contract la distanţă cu un consumator, precum şi necomunicarea termenelor şi condiţiilor contractuale şi a informaţiilor prealabile, cu excepţia cazurilor prevăzute la alin. (6) din prezentul articol şi la art. 293</w:t>
      </w:r>
      <w:r w:rsidRPr="008431BE">
        <w:rPr>
          <w:rFonts w:ascii="Times New Roman" w:eastAsia="Calibri" w:hAnsi="Times New Roman" w:cs="Times New Roman"/>
          <w:sz w:val="24"/>
          <w:szCs w:val="24"/>
          <w:vertAlign w:val="superscript"/>
          <w:lang w:val="ro-RO"/>
        </w:rPr>
        <w:t>2</w:t>
      </w:r>
      <w:r w:rsidRPr="008431BE">
        <w:rPr>
          <w:rFonts w:ascii="Times New Roman" w:eastAsia="Calibri" w:hAnsi="Times New Roman" w:cs="Times New Roman"/>
          <w:sz w:val="24"/>
          <w:szCs w:val="24"/>
          <w:lang w:val="ro-RO"/>
        </w:rPr>
        <w:t xml:space="preserve"> alin. (4),</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se sancţionează cu amendă de la 10 la 25 de unităţi convenţionale aplicată persoanei fizice, cu amendă de la 50 la 100 de unităţi convenţionale aplicată persoanei cu funcţie de răspundere sau cu amendă de la 100 la 200 de unităţi convenţionale aplicată persoanei juridice;</w:t>
      </w:r>
      <w:r w:rsidRPr="008431BE">
        <w:rPr>
          <w:rFonts w:ascii="Times New Roman" w:eastAsia="Calibri" w:hAnsi="Times New Roman" w:cs="Times New Roman"/>
          <w:sz w:val="24"/>
          <w:szCs w:val="24"/>
          <w:lang w:val="ro-RO"/>
        </w:rPr>
        <w:br/>
        <w:t>    b) nerambursarea de către furnizor, în termen de 30 de zile calendaristice, a sumelor primite conform contractului încheiat la distanţă în cazul revocării contractului, cu excepţia sumelor pentru serviciul financiar prestat efectiv, </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se sancţionează cu amendă de la 25 la 75 de unităţi convenţionale aplicată persoanei fizice, cu amendă de la 75 la 150 de unităţi convenţionale aplicată persoanei cu funcţie de răspundere sau cu amendă de la 200 la 300 de unităţi convenţionale aplicată persoanei juridice;</w:t>
      </w:r>
      <w:r w:rsidRPr="008431BE">
        <w:rPr>
          <w:rFonts w:ascii="Times New Roman" w:eastAsia="Calibri" w:hAnsi="Times New Roman" w:cs="Times New Roman"/>
          <w:sz w:val="24"/>
          <w:szCs w:val="24"/>
          <w:lang w:val="ro-RO"/>
        </w:rPr>
        <w:br/>
        <w:t>    c) utilizarea mijloacelor de comunicare la distanţă altele decît sistemul automatizat de apel fără intervenţie umană de tip automat de apel, telecopiator sau fax, în cazul comunicărilor nesolicitate, dacă există un refuz evident din partea consumatorului; sau</w:t>
      </w:r>
      <w:r w:rsidRPr="008431BE">
        <w:rPr>
          <w:rFonts w:ascii="Times New Roman" w:eastAsia="Calibri" w:hAnsi="Times New Roman" w:cs="Times New Roman"/>
          <w:sz w:val="24"/>
          <w:szCs w:val="24"/>
          <w:lang w:val="ro-RO"/>
        </w:rPr>
        <w:br/>
        <w:t>    d) livrarea către consumator a unui serviciu financiar la distanţă contra plată, fără o solicitare prealabilă din partea acestuia, dacă această livrare presupune efectuarea unei plăţi imediate sau ulterioare,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se sancţionează cu amendă de la 10 la 25 de unităţi convenţionale aplicată persoanei fizice, cu amendă de la 50 la 75 de unităţi convenţionale aplicată persoanei cu funcţie de răspundere sau cu amendă de la 100 la 150 de unităţi convenţionale aplicată persoanei juridice.</w:t>
      </w:r>
      <w:r w:rsidRPr="008431BE">
        <w:rPr>
          <w:rFonts w:ascii="Times New Roman" w:eastAsia="Calibri" w:hAnsi="Times New Roman" w:cs="Times New Roman"/>
          <w:sz w:val="24"/>
          <w:szCs w:val="24"/>
          <w:lang w:val="ro-RO"/>
        </w:rPr>
        <w:br/>
        <w:t>     (6) Necomunicarea de către prestatorul serviciilor de plată a termenelor şi condiţiilor contractuale, a informaţiilor prealabile aferente serviciilor de plată prevăzute de legislaţia cu privire la încheierea şi executarea contractelor la distanţă privind serviciile financiare de consum, şi anume: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a) unde este cazul, a notificării care să indice că serviciul este legat de instrumente ce implică riscuri speciale asociate trăsăturilor lor specifice sau a operaţiunilor care trebuie executate, sau al cărui cost depinde de fluctuaţiile de pe pieţele financiare care nu se află sub controlul prestatorului serviciilor de plată şi nu poate fi prezentată o estimare a evoluţiei viitoare raportată la performanţele statistice precedente;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b) a informaţiei privind existenţa sau posibilitatea existenţei unor taxe şi costuri suplimentare care nu se achită prin intermediul prestatorului de servicii de plată sau care nu sînt impuse de acesta;</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c) a limitei de timp sau a datei pînă la care informaţiile furnizate sînt valabile;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d) a modalităţilor de plată şi de executare a serviciului de plată;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lastRenderedPageBreak/>
        <w:t>    e) a oricărui cost suplimentar pentru consumator, rezultat din utilizarea de către acesta a mijloacelor de comunicare la distanţă, dacă astfel de costuri adiţionale se percep de către prestatorul de servicii de plată;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f) a informaţiei privind existenţa sau lipsa dreptului de revocare şi, în cazul în care acest drept există, a termenului şi a condiţiilor de exercitare a acestuia, inclusiv a informaţiilor privind sumele pe care consumatorul trebuie să le plătească pentru serviciul de plată prestat în mod efectiv, precum şi a consecinţelor ce decurg din neexecutarea acestui drept;</w:t>
      </w:r>
      <w:r w:rsidRPr="008431BE">
        <w:rPr>
          <w:rFonts w:ascii="Times New Roman" w:eastAsia="Calibri" w:hAnsi="Times New Roman" w:cs="Times New Roman"/>
          <w:sz w:val="24"/>
          <w:szCs w:val="24"/>
          <w:lang w:val="ro-RO"/>
        </w:rPr>
        <w:br/>
        <w:t>    g) a modalităţilor practice de exercitare a dreptului de revocare a contractului înainte de termen, a adresei poştale la care poate fi depusă sau expediată notificarea privind revocarea contractului, precum şi a numărului de fax sau a adresei electronice la care aceasta poate fi expediată;</w:t>
      </w:r>
      <w:r w:rsidRPr="008431BE">
        <w:rPr>
          <w:rFonts w:ascii="Times New Roman" w:eastAsia="Calibri" w:hAnsi="Times New Roman" w:cs="Times New Roman"/>
          <w:sz w:val="24"/>
          <w:szCs w:val="24"/>
          <w:lang w:val="ro-RO"/>
        </w:rPr>
        <w:br/>
        <w:t>    h) a informaţiei privind existenţa unor fonduri de garantare sau a altor mecanisme de compensare, altele decît cele prevăzute prin lege,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se sancţionează cu amendă de la 50 la 100 de unităţi convenţionale aplicată persoanei cu funcţie de răspundere sau cu amendă de la 100 la 200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(7) Încălcarea cerinţelor de informare pentru alte contracte decât contractele negociate în afara spațiilor comerciale şi contractele la distanţă ce se referă la produsele nealimentare prin:</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 neprezentarea sau prezentarea incompletă a informaţiei precontractuale pentru alte contracte decât contractele negociate în afara spațiilor comerciale şi contractele la distanţă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30 la 50 de unităţi convenţionale aplicată persoanei cu funcţie de răspundere, cu amendă de la 70 la 100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b) necomunicarea principalelor caracteristici ale produselor sau serviciilor în mod corespunzător cu mijlocul de comunicare utilizat şi cu produsele sau serviciile în cauză,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30 la 50 de unităţi convenţionale aplicată persoanei cu funcţie de răspundere, cu amendă de la 70 la 100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c) necomunicarea informaţiei referitoare la preţul total al produselor sau serviciilor cu toate taxele incluse ori, în cazul în care preţul nu poate fi calculat din timp dată fiind natura produselor sau a serviciilor, la modalitatea de calcul al preţului, precum şi la costurile suplimentare de transport, de livrare sau la taxele poştale, ori, în cazul în care acestea nu pot fi calculate din timp, neindicarea faptului că aceste costuri suplimentare ar putea fi suportate de consumator,</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50 la 75 de unităţi convenţionale aplicată persoanei cu funcţie de răspundere, cu amendă de la 100 la 150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(8) Încălcarea cerinţelor de informare pentru contractele negociate în afara spaţiilor comerciale şi cele la distanţă ce se referă la produsele nealimentare prin:</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 neprezentarea sau prezentarea incompletă a informaţiei precontractuale pentru contractele negociate în afara spaţiilor comerciale şi cele la distanţă,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30 la 50 de unităţi convenţionale aplicată persoanei cu funcţie de răspundere, cu amendă de la 70 la 100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b) necomunicarea principalelor caracteristici ale produselor sau serviciilor în mod corespunzător cu mijlocul de comunicare utilizat şi cu produsele sau serviciile în cauză,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lastRenderedPageBreak/>
        <w:t>se sancţionează cu amendă de la 10 la 25 de unităţi convenţionale aplicată persoanei fizice, cu amendă de la 30 la 50 de unităţi convenţionale aplicată persoanei cu funcţie de răspundere, cu amendă de la 70 la 100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c) necomunicarea informaţiei referitoare la preţul total al produselor sau serviciilor cu toate taxele incluse, la costurile suplimentare de transport, de livrare, la taxele poștale sau de orice altă natură ori, în cazul în care acestea nu pot fi calculate din timp, neindicarea faptului că aceste costuri suplimentare ar putea fi suportate de consumator</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50 la 75 de unităţi convenţionale aplicată persoanei cu funcţie de răspundere, cu amendă de la 100 la 150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d) necomunicarea informaţiei privind costul de utilizare a mijloacelor de comunicare la distanță în vederea încheierii contractului, atunci când este calculat pe baza unui alt tarif, decât tariful de bază,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50 la 75 de unităţi convenţionale aplicată persoanei cu funcţie de răspundere, cu amendă de la 100 la 150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e) necomunicarea informaţiei privind modalitățile de plată, livrare şi executare, privind data până la care sau termenul în care comerciantul se angajează să livreze  produsele sau să presteze serviciile,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50 la 75 de unităţi convenţionale aplicată persoanei cu funcţie de răspundere, cu amendă de la 100 la 150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f) necomunicarea informaţiei privind existența și condițiile aferente avansurilor  sau altor garanții financiare care trebuie plătite sau oferite de consumator la cererea comerciantului,</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50 la 75 de unităţi convenţionale aplicată persoanei cu funcţie de răspundere, cu amendă de la 100 la 150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g) necomunicarea informaţiei privind existenţa sau lipsa dreptului de revocare şi, dacă acest drept există, privind termenul şi condiţiile de exercitare a acestuia, inclusiv a informaţiilor despre faptul că consumatorul va trebui să suporte costul aferent returnării produselor în caz de revocare, iar pentru contractele la distanță – dacă,  prin însăși natura lor, produsele nu pot fi, în mod normal, returnate prin poștă – costul aferent returnării produselor; necomunicarea informaţiei că consumatorul nu va beneficia de un drept de revocare, a consecinţelor ce decurg din neexecutarea acestui drept sau a circumstanţelor în care consumatorul îşi pierde dreptul de revocare,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50 la 75 de unităţi convenţionale aplicată persoanei cu funcţie de răspundere, cu amendă de la 100 la 150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(9) Nerambursarea sau rambursarea, cu depăşirea termenului de 14 zile de la data la care este informat despre decizia de revocare a contractului cu privire la produsele nealimentare, de către comerciant a sumelor pe care le-a primit drept plată din partea consumatorului</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se sancţionează cu amendă de la 10 la 25 de unităţi convenţionale aplicată persoanei fizice, cu amendă de la 100 la 150 de unităţi convenţionale aplicată persoanei cu funcţie de răspundere, cu amendă de la 150 la 200 de unităţi convenţionale aplicată persoanei juridice.”.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930FE9" w:rsidP="00930FE9">
      <w:pPr>
        <w:numPr>
          <w:ilvl w:val="0"/>
          <w:numId w:val="10"/>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lastRenderedPageBreak/>
        <w:t>La articolul 400 alineatul (1), textul „97, 98–107” se substituie prin textul „99-107”, după textul „115 alin. (3)” se completează cu textul „art. 157 alin. (4), (6) – (10), art. 158 alin. (1) şi (2),”,textul „art. 282–286” se substituie prin textul „282, 283, art. 286 alin. (3) – (4)”.</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930FE9" w:rsidP="00930FE9">
      <w:pPr>
        <w:numPr>
          <w:ilvl w:val="0"/>
          <w:numId w:val="10"/>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La articolul 406, textul „art. 276,” se exclude.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930FE9" w:rsidP="00930FE9">
      <w:pPr>
        <w:numPr>
          <w:ilvl w:val="0"/>
          <w:numId w:val="10"/>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Articolul 408:</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(1) Contravenţiile specificate la art. 84 alin. (2), 97, 273 pct.1), 2), 4), 6), 10), 12), 13), art. 274 alin.(2), (6), (7), art. 278 - 281, 293</w:t>
      </w:r>
      <w:r w:rsidRPr="008431BE">
        <w:rPr>
          <w:rFonts w:ascii="Times New Roman" w:eastAsia="Calibri" w:hAnsi="Times New Roman" w:cs="Times New Roman"/>
          <w:sz w:val="24"/>
          <w:szCs w:val="24"/>
          <w:vertAlign w:val="superscript"/>
          <w:lang w:val="ro-RO"/>
        </w:rPr>
        <w:t>2</w:t>
      </w:r>
      <w:r w:rsidRPr="008431BE">
        <w:rPr>
          <w:rFonts w:ascii="Times New Roman" w:eastAsia="Calibri" w:hAnsi="Times New Roman" w:cs="Times New Roman"/>
          <w:sz w:val="24"/>
          <w:szCs w:val="24"/>
          <w:lang w:val="ro-RO"/>
        </w:rPr>
        <w:t xml:space="preserve"> alin.(4) şi (5), art. 344-348, art.349 alin.(4) se constată şi se examinează de Agenţia pentru Protecţia Consumatorilor şi Supravegherea Pieţei. </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xml:space="preserve">(2) Sunt în drept să constate contravenţii şi să încheie procese-verbale inspectorii din cadrul Agenţiei pentru Protecţia Consumatorilor şi Supravegherea Pieţei. </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(3) Sunt în drept să examineze contravenţii şi să aplice sancţiuni directorul şi directorul adjunct ai Agenţiei pentru Protecţia Consumatorilor şi Supravegherea Pieţei.”.</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930FE9" w:rsidP="00930FE9">
      <w:pPr>
        <w:numPr>
          <w:ilvl w:val="0"/>
          <w:numId w:val="10"/>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Articolul 414 va avea următorul cuprins:</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Articolul 414.</w:t>
      </w:r>
      <w:r w:rsidRPr="008431BE">
        <w:rPr>
          <w:rFonts w:ascii="Times New Roman" w:eastAsia="Calibri" w:hAnsi="Times New Roman" w:cs="Times New Roman"/>
          <w:sz w:val="24"/>
          <w:szCs w:val="24"/>
          <w:lang w:val="ro-RO"/>
        </w:rPr>
        <w:tab/>
        <w:t>Agenţia Naţională pentru Siguranţa Alimentelor</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(1) Contravenţiile prevăzute la art. 55</w:t>
      </w:r>
      <w:r w:rsidRPr="008431BE">
        <w:rPr>
          <w:rFonts w:ascii="Times New Roman" w:eastAsia="Calibri" w:hAnsi="Times New Roman" w:cs="Times New Roman"/>
          <w:sz w:val="24"/>
          <w:szCs w:val="24"/>
          <w:vertAlign w:val="superscript"/>
          <w:lang w:val="ro-RO"/>
        </w:rPr>
        <w:t>3</w:t>
      </w:r>
      <w:r w:rsidRPr="008431BE">
        <w:rPr>
          <w:rFonts w:ascii="Times New Roman" w:eastAsia="Calibri" w:hAnsi="Times New Roman" w:cs="Times New Roman"/>
          <w:sz w:val="24"/>
          <w:szCs w:val="24"/>
          <w:lang w:val="ro-RO"/>
        </w:rPr>
        <w:t>, 80</w:t>
      </w:r>
      <w:r w:rsidR="004B71A6" w:rsidRPr="008431BE">
        <w:rPr>
          <w:rFonts w:ascii="Times New Roman" w:eastAsia="Calibri" w:hAnsi="Times New Roman" w:cs="Times New Roman"/>
          <w:sz w:val="24"/>
          <w:szCs w:val="24"/>
          <w:vertAlign w:val="superscript"/>
          <w:lang w:val="ro-RO"/>
        </w:rPr>
        <w:t>2</w:t>
      </w:r>
      <w:r w:rsidRPr="008431BE">
        <w:rPr>
          <w:rFonts w:ascii="Times New Roman" w:eastAsia="Calibri" w:hAnsi="Times New Roman" w:cs="Times New Roman"/>
          <w:sz w:val="24"/>
          <w:szCs w:val="24"/>
          <w:lang w:val="ro-RO"/>
        </w:rPr>
        <w:t>, art. 84 alin. (1), art. 97</w:t>
      </w:r>
      <w:r w:rsidRPr="008431BE">
        <w:rPr>
          <w:rFonts w:ascii="Times New Roman" w:eastAsia="Calibri" w:hAnsi="Times New Roman" w:cs="Times New Roman"/>
          <w:sz w:val="24"/>
          <w:szCs w:val="24"/>
          <w:vertAlign w:val="superscript"/>
          <w:lang w:val="ro-RO"/>
        </w:rPr>
        <w:t>1</w:t>
      </w:r>
      <w:r w:rsidRPr="008431BE">
        <w:rPr>
          <w:rFonts w:ascii="Times New Roman" w:eastAsia="Calibri" w:hAnsi="Times New Roman" w:cs="Times New Roman"/>
          <w:sz w:val="24"/>
          <w:szCs w:val="24"/>
          <w:lang w:val="ro-RO"/>
        </w:rPr>
        <w:t xml:space="preserve"> – 97</w:t>
      </w:r>
      <w:r w:rsidRPr="008431BE">
        <w:rPr>
          <w:rFonts w:ascii="Times New Roman" w:eastAsia="Calibri" w:hAnsi="Times New Roman" w:cs="Times New Roman"/>
          <w:sz w:val="24"/>
          <w:szCs w:val="24"/>
          <w:vertAlign w:val="superscript"/>
          <w:lang w:val="ro-RO"/>
        </w:rPr>
        <w:t>2</w:t>
      </w:r>
      <w:r w:rsidRPr="008431BE">
        <w:rPr>
          <w:rFonts w:ascii="Times New Roman" w:eastAsia="Calibri" w:hAnsi="Times New Roman" w:cs="Times New Roman"/>
          <w:sz w:val="24"/>
          <w:szCs w:val="24"/>
          <w:lang w:val="ro-RO"/>
        </w:rPr>
        <w:t>, art. 98 alin. (1), art. 131, art. 157 alin. (1)-(3) şi alin. (5), art. 158, 158</w:t>
      </w:r>
      <w:r w:rsidRPr="008431BE">
        <w:rPr>
          <w:rFonts w:ascii="Times New Roman" w:eastAsia="Calibri" w:hAnsi="Times New Roman" w:cs="Times New Roman"/>
          <w:sz w:val="24"/>
          <w:szCs w:val="24"/>
          <w:vertAlign w:val="superscript"/>
          <w:lang w:val="ro-RO"/>
        </w:rPr>
        <w:t>1</w:t>
      </w:r>
      <w:r w:rsidRPr="008431BE">
        <w:rPr>
          <w:rFonts w:ascii="Times New Roman" w:eastAsia="Calibri" w:hAnsi="Times New Roman" w:cs="Times New Roman"/>
          <w:sz w:val="24"/>
          <w:szCs w:val="24"/>
          <w:lang w:val="ro-RO"/>
        </w:rPr>
        <w:t>, art. 183–196</w:t>
      </w:r>
      <w:r w:rsidRPr="008431BE">
        <w:rPr>
          <w:rFonts w:ascii="Times New Roman" w:eastAsia="Calibri" w:hAnsi="Times New Roman" w:cs="Times New Roman"/>
          <w:sz w:val="24"/>
          <w:szCs w:val="24"/>
          <w:vertAlign w:val="superscript"/>
          <w:lang w:val="ro-RO"/>
        </w:rPr>
        <w:t>1</w:t>
      </w:r>
      <w:r w:rsidRPr="008431BE">
        <w:rPr>
          <w:rFonts w:ascii="Times New Roman" w:eastAsia="Calibri" w:hAnsi="Times New Roman" w:cs="Times New Roman"/>
          <w:sz w:val="24"/>
          <w:szCs w:val="24"/>
          <w:lang w:val="ro-RO"/>
        </w:rPr>
        <w:t>, 269, 270, 274 alin. (3), (4) şi (7), 275 alin.(1), art. 276, 278, art. 279 alin. (1), art. 284, 285, art. 286 alin. (1), (2) şi (5), art. 343</w:t>
      </w:r>
      <w:r w:rsidRPr="008431BE">
        <w:rPr>
          <w:rFonts w:ascii="Times New Roman" w:eastAsia="Calibri" w:hAnsi="Times New Roman" w:cs="Times New Roman"/>
          <w:sz w:val="24"/>
          <w:szCs w:val="24"/>
          <w:vertAlign w:val="superscript"/>
          <w:lang w:val="ro-RO"/>
        </w:rPr>
        <w:t>1</w:t>
      </w:r>
      <w:r w:rsidRPr="008431BE">
        <w:rPr>
          <w:rFonts w:ascii="Times New Roman" w:eastAsia="Calibri" w:hAnsi="Times New Roman" w:cs="Times New Roman"/>
          <w:sz w:val="24"/>
          <w:szCs w:val="24"/>
          <w:lang w:val="ro-RO"/>
        </w:rPr>
        <w:t xml:space="preserve">, art. 349 alin. (1) se constată de Agenţia Naţională pentru Siguranţa Alimentelor </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xml:space="preserve">(2) Sunt în drept să constate contravenții şi să încheie procese-verbale inspectorii din cadrul Agenției Naționale pentru Siguranța Alimentelor. </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(3) Sunt în drept să examineze cauzele contravenționale şi să aplice sancțiuni directorul general şi directorii generali adjuncți ai Agenției Naționale pentru Siguranța Alimentelor, şefii subdiviziunilor teritoriale ale Agenției Naționale pentru Siguranța Alimentelor.”</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3A14ED"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b/>
          <w:sz w:val="24"/>
          <w:szCs w:val="24"/>
          <w:lang w:val="ro-RO"/>
        </w:rPr>
        <w:t xml:space="preserve"> Articolul V</w:t>
      </w:r>
      <w:r w:rsidR="002C4082" w:rsidRPr="008431BE">
        <w:rPr>
          <w:rFonts w:ascii="Times New Roman" w:eastAsia="Calibri" w:hAnsi="Times New Roman" w:cs="Times New Roman"/>
          <w:b/>
          <w:sz w:val="24"/>
          <w:szCs w:val="24"/>
          <w:lang w:val="ro-RO"/>
        </w:rPr>
        <w:t>I</w:t>
      </w:r>
      <w:r w:rsidR="00930FE9" w:rsidRPr="008431BE">
        <w:rPr>
          <w:rFonts w:ascii="Times New Roman" w:eastAsia="Calibri" w:hAnsi="Times New Roman" w:cs="Times New Roman"/>
          <w:b/>
          <w:sz w:val="24"/>
          <w:szCs w:val="24"/>
          <w:lang w:val="ro-RO"/>
        </w:rPr>
        <w:t>.</w:t>
      </w:r>
      <w:r w:rsidR="00930FE9" w:rsidRPr="008431BE">
        <w:rPr>
          <w:rFonts w:ascii="Times New Roman" w:eastAsia="Calibri" w:hAnsi="Times New Roman" w:cs="Times New Roman"/>
          <w:sz w:val="24"/>
          <w:szCs w:val="24"/>
          <w:lang w:val="ro-RO"/>
        </w:rPr>
        <w:t xml:space="preserve"> - Legea nr. 113 din 18 mai 2012 cu privire la stabilirea principiilor şi a cerinţelor generale ale legislaţiei privind siguranţa alimentelor (Monitorul Oficial al Republicii Moldova, 2012, nr. 143–148, art. 467), cu modificările ulterioare, se modifică și se completează după cum urmează: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930FE9" w:rsidP="00930FE9">
      <w:pPr>
        <w:numPr>
          <w:ilvl w:val="0"/>
          <w:numId w:val="11"/>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xml:space="preserve">La articolul 18, alineatul (3) se completează </w:t>
      </w:r>
      <w:r w:rsidR="00B6646A" w:rsidRPr="008431BE">
        <w:rPr>
          <w:rFonts w:ascii="Times New Roman" w:eastAsia="Calibri" w:hAnsi="Times New Roman" w:cs="Times New Roman"/>
          <w:sz w:val="24"/>
          <w:szCs w:val="24"/>
          <w:lang w:val="ro-RO"/>
        </w:rPr>
        <w:t>cu literele r) – v</w:t>
      </w:r>
      <w:r w:rsidRPr="008431BE">
        <w:rPr>
          <w:rFonts w:ascii="Times New Roman" w:eastAsia="Calibri" w:hAnsi="Times New Roman" w:cs="Times New Roman"/>
          <w:sz w:val="24"/>
          <w:szCs w:val="24"/>
          <w:lang w:val="ro-RO"/>
        </w:rPr>
        <w:t>) cu următorul conţinut:</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„r) autorizarea/înregistrarea operatorilor din  businessul alimentar;</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s) supravegherea etichetării produselor alimentare în lanţul alimentar în conformitate cu prevederile legislaţiei în vigoare;</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xml:space="preserve">ș) supravegherea </w:t>
      </w:r>
      <w:r w:rsidR="0084162F" w:rsidRPr="008431BE">
        <w:rPr>
          <w:rFonts w:ascii="Times New Roman" w:eastAsia="Calibri" w:hAnsi="Times New Roman" w:cs="Times New Roman"/>
          <w:sz w:val="24"/>
          <w:szCs w:val="24"/>
          <w:lang w:val="ro-RO"/>
        </w:rPr>
        <w:t xml:space="preserve">și controlul </w:t>
      </w:r>
      <w:r w:rsidRPr="008431BE">
        <w:rPr>
          <w:rFonts w:ascii="Times New Roman" w:eastAsia="Calibri" w:hAnsi="Times New Roman" w:cs="Times New Roman"/>
          <w:sz w:val="24"/>
          <w:szCs w:val="24"/>
          <w:lang w:val="ro-RO"/>
        </w:rPr>
        <w:t>pe piaţă a produselor alimentare noi</w:t>
      </w:r>
      <w:r w:rsidR="0084162F" w:rsidRPr="008431BE">
        <w:rPr>
          <w:rFonts w:ascii="Times New Roman" w:eastAsia="Calibri" w:hAnsi="Times New Roman" w:cs="Times New Roman"/>
          <w:sz w:val="24"/>
          <w:szCs w:val="24"/>
          <w:lang w:val="ro-RO"/>
        </w:rPr>
        <w:t xml:space="preserve"> și a </w:t>
      </w:r>
      <w:r w:rsidR="00811466" w:rsidRPr="008431BE">
        <w:rPr>
          <w:rFonts w:ascii="Times New Roman" w:eastAsia="Calibri" w:hAnsi="Times New Roman" w:cs="Times New Roman"/>
          <w:sz w:val="24"/>
          <w:szCs w:val="24"/>
          <w:lang w:val="ro-RO"/>
        </w:rPr>
        <w:t>documentelor ce atestă</w:t>
      </w:r>
      <w:r w:rsidR="0084162F" w:rsidRPr="008431BE">
        <w:rPr>
          <w:rFonts w:ascii="Times New Roman" w:eastAsia="Calibri" w:hAnsi="Times New Roman" w:cs="Times New Roman"/>
          <w:sz w:val="24"/>
          <w:szCs w:val="24"/>
          <w:lang w:val="ro-RO"/>
        </w:rPr>
        <w:t xml:space="preserve"> </w:t>
      </w:r>
      <w:r w:rsidR="00811466" w:rsidRPr="008431BE">
        <w:rPr>
          <w:rFonts w:ascii="Times New Roman" w:eastAsia="Calibri" w:hAnsi="Times New Roman" w:cs="Times New Roman"/>
          <w:sz w:val="24"/>
          <w:szCs w:val="24"/>
          <w:lang w:val="ro-RO"/>
        </w:rPr>
        <w:t xml:space="preserve">calitatea, </w:t>
      </w:r>
      <w:r w:rsidR="00A91EA6" w:rsidRPr="008431BE">
        <w:rPr>
          <w:rFonts w:ascii="Times New Roman" w:eastAsia="Calibri" w:hAnsi="Times New Roman" w:cs="Times New Roman"/>
          <w:sz w:val="24"/>
          <w:szCs w:val="24"/>
          <w:lang w:val="ro-RO"/>
        </w:rPr>
        <w:t>siguranța</w:t>
      </w:r>
      <w:r w:rsidR="00811466" w:rsidRPr="008431BE">
        <w:rPr>
          <w:rFonts w:ascii="Times New Roman" w:eastAsia="Calibri" w:hAnsi="Times New Roman" w:cs="Times New Roman"/>
          <w:sz w:val="24"/>
          <w:szCs w:val="24"/>
          <w:lang w:val="ro-RO"/>
        </w:rPr>
        <w:t xml:space="preserve"> și proveniența</w:t>
      </w:r>
      <w:r w:rsidR="00A91EA6" w:rsidRPr="008431BE">
        <w:rPr>
          <w:rFonts w:ascii="Times New Roman" w:eastAsia="Calibri" w:hAnsi="Times New Roman" w:cs="Times New Roman"/>
          <w:sz w:val="24"/>
          <w:szCs w:val="24"/>
          <w:lang w:val="ro-RO"/>
        </w:rPr>
        <w:t xml:space="preserve"> </w:t>
      </w:r>
      <w:r w:rsidR="0084162F" w:rsidRPr="008431BE">
        <w:rPr>
          <w:rFonts w:ascii="Times New Roman" w:eastAsia="Calibri" w:hAnsi="Times New Roman" w:cs="Times New Roman"/>
          <w:sz w:val="24"/>
          <w:szCs w:val="24"/>
          <w:lang w:val="ro-RO"/>
        </w:rPr>
        <w:t>materialelor care vin în contact cu produsele alimentare</w:t>
      </w:r>
      <w:r w:rsidRPr="008431BE">
        <w:rPr>
          <w:rFonts w:ascii="Times New Roman" w:eastAsia="Calibri" w:hAnsi="Times New Roman" w:cs="Times New Roman"/>
          <w:sz w:val="24"/>
          <w:szCs w:val="24"/>
          <w:lang w:val="ro-RO"/>
        </w:rPr>
        <w:t>;</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t) protecţia consumatorilor în domeniul produselor alimentare, la toate etapele lanţului alimentar;</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ț) cercetarea epidemiologică şi înregistrarea izbucnirilor de boli provocate de produse alimentare, în comun cu Ministerul Sănătăţii;</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xml:space="preserve">u) identificarea, evaluarea, managementul şi comunicarea riscurilor în domeniul inofensivităţii produselor alimentare </w:t>
      </w:r>
      <w:r w:rsidR="004B71A6" w:rsidRPr="008431BE">
        <w:rPr>
          <w:rFonts w:ascii="Times New Roman" w:eastAsia="Calibri" w:hAnsi="Times New Roman" w:cs="Times New Roman"/>
          <w:sz w:val="24"/>
          <w:szCs w:val="24"/>
          <w:lang w:val="ro-RO"/>
        </w:rPr>
        <w:t>și protecția consumatorilor</w:t>
      </w:r>
      <w:r w:rsidRPr="008431BE">
        <w:rPr>
          <w:rFonts w:ascii="Times New Roman" w:eastAsia="Calibri" w:hAnsi="Times New Roman" w:cs="Times New Roman"/>
          <w:sz w:val="24"/>
          <w:szCs w:val="24"/>
          <w:lang w:val="ro-RO"/>
        </w:rPr>
        <w:t>;”;</w:t>
      </w:r>
    </w:p>
    <w:p w:rsidR="00B6646A" w:rsidRPr="008431BE" w:rsidRDefault="00B6646A"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v) verificarea prezenței și înregistrărilor înscrise în fișele medicale individuale ale angajaților din unitățile din domeniul alimentar și instruirea igienică a acestora.</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p>
    <w:p w:rsidR="00930FE9" w:rsidRPr="008431BE" w:rsidRDefault="00930FE9" w:rsidP="00930FE9">
      <w:pPr>
        <w:numPr>
          <w:ilvl w:val="0"/>
          <w:numId w:val="11"/>
        </w:num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Articolul 19:</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La litera a), cuvintele „în domeniul inofensivităţii produselor alimentare pentru sănătatea publică, a” se substituie prin cuvântul „asupra</w:t>
      </w:r>
      <w:r w:rsidR="004857A3" w:rsidRPr="008431BE">
        <w:rPr>
          <w:rFonts w:ascii="Times New Roman" w:eastAsia="Calibri" w:hAnsi="Times New Roman" w:cs="Times New Roman"/>
          <w:sz w:val="24"/>
          <w:szCs w:val="24"/>
          <w:lang w:val="ro-RO"/>
        </w:rPr>
        <w:t xml:space="preserve"> sănătății publice</w:t>
      </w:r>
      <w:r w:rsidRPr="008431BE">
        <w:rPr>
          <w:rFonts w:ascii="Times New Roman" w:eastAsia="Calibri" w:hAnsi="Times New Roman" w:cs="Times New Roman"/>
          <w:sz w:val="24"/>
          <w:szCs w:val="24"/>
          <w:lang w:val="ro-RO"/>
        </w:rPr>
        <w:t>”;</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Litera c) se completează cu cuvintele „ , în comun cu Agenţia”;</w:t>
      </w:r>
    </w:p>
    <w:p w:rsidR="0084162F" w:rsidRPr="008431BE" w:rsidRDefault="0084162F"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Litera d) va avea următorul cuprins:</w:t>
      </w:r>
    </w:p>
    <w:p w:rsidR="0084162F" w:rsidRPr="008431BE" w:rsidRDefault="0084162F" w:rsidP="00930FE9">
      <w:pPr>
        <w:tabs>
          <w:tab w:val="left" w:pos="426"/>
          <w:tab w:val="left" w:pos="993"/>
        </w:tabs>
        <w:spacing w:after="0"/>
        <w:contextualSpacing/>
        <w:jc w:val="both"/>
        <w:rPr>
          <w:rFonts w:ascii="Times New Roman" w:eastAsia="Calibri" w:hAnsi="Times New Roman" w:cs="Times New Roman"/>
          <w:sz w:val="24"/>
          <w:szCs w:val="24"/>
          <w:lang w:val="en-US"/>
        </w:rPr>
      </w:pPr>
      <w:r w:rsidRPr="008431BE">
        <w:rPr>
          <w:rFonts w:ascii="Times New Roman" w:eastAsia="Calibri" w:hAnsi="Times New Roman" w:cs="Times New Roman"/>
          <w:sz w:val="24"/>
          <w:szCs w:val="24"/>
          <w:lang w:val="ro-RO"/>
        </w:rPr>
        <w:t xml:space="preserve">,,înregistrarea produselor alimentare noi, </w:t>
      </w:r>
      <w:r w:rsidRPr="008431BE">
        <w:rPr>
          <w:rFonts w:ascii="Times New Roman" w:eastAsia="Calibri" w:hAnsi="Times New Roman" w:cs="Times New Roman"/>
          <w:sz w:val="24"/>
          <w:szCs w:val="24"/>
          <w:lang w:val="en-US"/>
        </w:rPr>
        <w:t xml:space="preserve">autorizarea şi supravegherea pe piaţă, a suplimentelor alimentare, a produselor alimentare fortificate, apelor minerale, apei potabile din reţea, a menţiunilor nutriţionale şi de sănătate înscrise pe produsele alimentare, a materialelor care vin în contact cu produsele alimentare, aditivilor alimentari, a produselor alimentare pentru sugari şi copii mici, a produselor cu destinaţie nutriţională </w:t>
      </w:r>
      <w:r w:rsidR="00285A25" w:rsidRPr="008431BE">
        <w:rPr>
          <w:rFonts w:ascii="Times New Roman" w:eastAsia="Calibri" w:hAnsi="Times New Roman" w:cs="Times New Roman"/>
          <w:sz w:val="24"/>
          <w:szCs w:val="24"/>
          <w:lang w:val="en-US"/>
        </w:rPr>
        <w:t>special</w:t>
      </w:r>
      <w:r w:rsidR="00C67A41" w:rsidRPr="008431BE">
        <w:rPr>
          <w:rFonts w:ascii="Times New Roman" w:eastAsia="Calibri" w:hAnsi="Times New Roman" w:cs="Times New Roman"/>
          <w:sz w:val="24"/>
          <w:szCs w:val="24"/>
          <w:lang w:val="ro-RO"/>
        </w:rPr>
        <w:t>ă</w:t>
      </w:r>
      <w:r w:rsidR="00285A25" w:rsidRPr="008431BE">
        <w:rPr>
          <w:rFonts w:ascii="Times New Roman" w:eastAsia="Calibri" w:hAnsi="Times New Roman" w:cs="Times New Roman"/>
          <w:sz w:val="24"/>
          <w:szCs w:val="24"/>
          <w:lang w:val="en-US"/>
        </w:rPr>
        <w:t>.”</w:t>
      </w:r>
    </w:p>
    <w:p w:rsidR="00930FE9" w:rsidRPr="008431BE" w:rsidRDefault="00B6646A"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 xml:space="preserve">Litera e) va avea următorul curpins: </w:t>
      </w:r>
    </w:p>
    <w:p w:rsidR="008E10FA" w:rsidRPr="008431BE" w:rsidRDefault="008E10FA" w:rsidP="00930FE9">
      <w:pPr>
        <w:tabs>
          <w:tab w:val="left" w:pos="426"/>
          <w:tab w:val="left" w:pos="993"/>
        </w:tabs>
        <w:spacing w:after="0"/>
        <w:contextualSpacing/>
        <w:jc w:val="both"/>
        <w:rPr>
          <w:rFonts w:ascii="Times New Roman" w:eastAsia="Calibri" w:hAnsi="Times New Roman" w:cs="Times New Roman"/>
          <w:sz w:val="24"/>
          <w:szCs w:val="24"/>
          <w:lang w:val="en-US"/>
        </w:rPr>
      </w:pPr>
      <w:r w:rsidRPr="008431BE">
        <w:rPr>
          <w:rFonts w:ascii="Times New Roman" w:eastAsia="Calibri" w:hAnsi="Times New Roman" w:cs="Times New Roman"/>
          <w:sz w:val="24"/>
          <w:szCs w:val="24"/>
          <w:lang w:val="ro-RO"/>
        </w:rPr>
        <w:t>,,</w:t>
      </w:r>
      <w:r w:rsidRPr="008431BE">
        <w:rPr>
          <w:rFonts w:ascii="Times New Roman" w:eastAsia="Calibri" w:hAnsi="Times New Roman" w:cs="Times New Roman"/>
          <w:sz w:val="24"/>
          <w:szCs w:val="24"/>
          <w:lang w:val="en-US"/>
        </w:rPr>
        <w:t xml:space="preserve"> asigurarea instruirii igienice a angajaţilor și organizarea  examenului medical al acestora  în unităţile ce produc, prelucrează, depozitează, transportă şi comercializează produse alimentare sau prestează servicii de alimentaţie publică.”</w:t>
      </w:r>
    </w:p>
    <w:p w:rsidR="00930FE9" w:rsidRPr="008431BE" w:rsidRDefault="00930FE9" w:rsidP="00930FE9">
      <w:pPr>
        <w:tabs>
          <w:tab w:val="left" w:pos="426"/>
        </w:tabs>
        <w:spacing w:after="0"/>
        <w:jc w:val="both"/>
        <w:rPr>
          <w:rFonts w:ascii="Times New Roman" w:eastAsia="Calibri" w:hAnsi="Times New Roman" w:cs="Times New Roman"/>
          <w:sz w:val="24"/>
          <w:szCs w:val="24"/>
          <w:lang w:val="ro-RO"/>
        </w:rPr>
      </w:pPr>
    </w:p>
    <w:p w:rsidR="00930FE9" w:rsidRPr="008431BE" w:rsidRDefault="003A14ED"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b/>
          <w:sz w:val="24"/>
          <w:szCs w:val="24"/>
          <w:lang w:val="ro-RO"/>
        </w:rPr>
        <w:t>Articolul VI</w:t>
      </w:r>
      <w:r w:rsidR="002C4082" w:rsidRPr="008431BE">
        <w:rPr>
          <w:rFonts w:ascii="Times New Roman" w:eastAsia="Calibri" w:hAnsi="Times New Roman" w:cs="Times New Roman"/>
          <w:b/>
          <w:sz w:val="24"/>
          <w:szCs w:val="24"/>
          <w:lang w:val="ro-RO"/>
        </w:rPr>
        <w:t>I</w:t>
      </w:r>
      <w:r w:rsidR="00930FE9" w:rsidRPr="008431BE">
        <w:rPr>
          <w:rFonts w:ascii="Times New Roman" w:eastAsia="Calibri" w:hAnsi="Times New Roman" w:cs="Times New Roman"/>
          <w:b/>
          <w:sz w:val="24"/>
          <w:szCs w:val="24"/>
          <w:lang w:val="ro-RO"/>
        </w:rPr>
        <w:t>.</w:t>
      </w:r>
      <w:r w:rsidR="00930FE9" w:rsidRPr="008431BE">
        <w:rPr>
          <w:rFonts w:ascii="Times New Roman" w:eastAsia="Calibri" w:hAnsi="Times New Roman" w:cs="Times New Roman"/>
          <w:sz w:val="24"/>
          <w:szCs w:val="24"/>
          <w:lang w:val="ro-RO"/>
        </w:rPr>
        <w:t xml:space="preserve"> –Legea nr. 50 din 28 martie 2013 cu privire la controalele oficiale pentru verificarea conformităţii cu legislaţia privind hrana pentru animale şi produsele alimentare şi cu normele de sănătate şi de bunăstare a animalelor (Monitorul Oficial al Republicii Moldova, 2013, nr. 122–124, art. 383), cu modificările ulterioare se modifică şi se completează după cum urmează:</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1. Articolul 3 se completează cu alineatul (5) cu următorul conţinut:</w:t>
      </w: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„(5) Pentru efectuarea unor controale oficiale pot fi stabilite taxe. Taxele pot fi stabilite sub formă de sume forfetare, calculate în dependenţă de costurile pe care le impun controalele oficiale respective și luând în considerare situația specifică fiecărei întreprinderi. În cazul în care taxele se percep operatorilor, aplicarea acestora se face în baza unor principii comune. Criteriile şi  metodologia se stabilire a cuantumurilor taxelor, precum şi cuantumurile acestor taxe se aprobă de Guvern. Taxele colectate de la efectuarea controalelor oficiale contra plată constituie venit la bugetul Agenţia Naţională pentru Siguranţa Alimentelor şi se utilizează, pe măsura încasării lor, la acoperirea cheltuielilor pentru efectuarea controalelor oficiale şi la dezvoltarea instituţiei”.</w:t>
      </w:r>
    </w:p>
    <w:p w:rsidR="00D12C0E" w:rsidRPr="008431BE" w:rsidRDefault="004857A3" w:rsidP="00D12C0E">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2</w:t>
      </w:r>
      <w:r w:rsidR="00D12C0E" w:rsidRPr="008431BE">
        <w:rPr>
          <w:rFonts w:ascii="Times New Roman" w:eastAsia="Calibri" w:hAnsi="Times New Roman" w:cs="Times New Roman"/>
          <w:sz w:val="24"/>
          <w:szCs w:val="24"/>
          <w:lang w:val="ro-RO"/>
        </w:rPr>
        <w:t>. La art. 30 alin.2, lit. e)  în final  se completează cu următorul text: ,, În situațiile de risc grav și iminent pentru sănătatea consumatorilor, în baza Ordonanței emisă de șeful subdiviziunii teritoriale pentru siguranța alimentelor, se suspendă imediat activitatea unității  până la remedierea încălcărilor existente ale legislației sanitar-veterinare și pentru siguranța alimentelor, iar în cazul imposibilității remedierii, se interzice activitatea unității prin retragerea autorizației sanitar-veterinară de funcționare  sau certificatului de înregistrare oficială pentru siguranţa alimentelor” .</w:t>
      </w:r>
      <w:r w:rsidR="003A14ED" w:rsidRPr="008431BE">
        <w:rPr>
          <w:rFonts w:ascii="Times New Roman" w:eastAsia="Calibri" w:hAnsi="Times New Roman" w:cs="Times New Roman"/>
          <w:sz w:val="24"/>
          <w:szCs w:val="24"/>
          <w:lang w:val="ro-RO"/>
        </w:rPr>
        <w:t xml:space="preserve"> </w:t>
      </w:r>
    </w:p>
    <w:p w:rsidR="00930FE9" w:rsidRPr="008431BE" w:rsidRDefault="00930FE9" w:rsidP="00930FE9">
      <w:pPr>
        <w:tabs>
          <w:tab w:val="left" w:pos="426"/>
        </w:tabs>
        <w:spacing w:after="0"/>
        <w:jc w:val="both"/>
        <w:rPr>
          <w:rFonts w:ascii="Times New Roman" w:eastAsia="Times New Roman" w:hAnsi="Times New Roman" w:cs="Times New Roman"/>
          <w:iCs/>
          <w:sz w:val="24"/>
          <w:szCs w:val="24"/>
          <w:lang w:val="ro-RO" w:eastAsia="ro-RO"/>
        </w:rPr>
      </w:pPr>
    </w:p>
    <w:p w:rsidR="00930FE9" w:rsidRPr="008431BE" w:rsidRDefault="00930FE9" w:rsidP="00930FE9">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w:t>
      </w:r>
    </w:p>
    <w:p w:rsidR="00930FE9" w:rsidRPr="008431BE" w:rsidRDefault="00930FE9" w:rsidP="00930FE9">
      <w:pPr>
        <w:tabs>
          <w:tab w:val="left" w:pos="426"/>
          <w:tab w:val="left" w:pos="993"/>
        </w:tabs>
        <w:spacing w:after="0"/>
        <w:jc w:val="both"/>
        <w:rPr>
          <w:rFonts w:ascii="Times New Roman" w:eastAsia="Calibri" w:hAnsi="Times New Roman" w:cs="Times New Roman"/>
          <w:b/>
          <w:i/>
          <w:sz w:val="24"/>
          <w:szCs w:val="24"/>
          <w:lang w:val="ro-RO"/>
        </w:rPr>
      </w:pPr>
    </w:p>
    <w:p w:rsidR="00930FE9" w:rsidRPr="008431BE" w:rsidRDefault="00930FE9" w:rsidP="00930FE9">
      <w:pPr>
        <w:tabs>
          <w:tab w:val="left" w:pos="426"/>
          <w:tab w:val="left" w:pos="993"/>
        </w:tabs>
        <w:spacing w:after="0"/>
        <w:jc w:val="both"/>
        <w:rPr>
          <w:rFonts w:ascii="Times New Roman" w:eastAsia="Calibri" w:hAnsi="Times New Roman" w:cs="Times New Roman"/>
          <w:b/>
          <w:i/>
          <w:sz w:val="24"/>
          <w:szCs w:val="24"/>
          <w:lang w:val="ro-RO"/>
        </w:rPr>
      </w:pPr>
      <w:r w:rsidRPr="008431BE">
        <w:rPr>
          <w:rFonts w:ascii="Times New Roman" w:eastAsia="Calibri" w:hAnsi="Times New Roman" w:cs="Times New Roman"/>
          <w:b/>
          <w:i/>
          <w:sz w:val="24"/>
          <w:szCs w:val="24"/>
          <w:lang w:val="ro-RO"/>
        </w:rPr>
        <w:t>Agenția pentru Protecţia Consumatorului şi Supravegherea Pieței</w:t>
      </w:r>
    </w:p>
    <w:p w:rsidR="00930FE9" w:rsidRPr="008431BE" w:rsidRDefault="00930FE9" w:rsidP="00930FE9">
      <w:pPr>
        <w:tabs>
          <w:tab w:val="left" w:pos="426"/>
          <w:tab w:val="left" w:pos="993"/>
        </w:tabs>
        <w:spacing w:after="0"/>
        <w:jc w:val="both"/>
        <w:rPr>
          <w:rFonts w:ascii="Times New Roman" w:eastAsia="Times New Roman" w:hAnsi="Times New Roman" w:cs="Times New Roman"/>
          <w:b/>
          <w:bCs/>
          <w:sz w:val="24"/>
          <w:szCs w:val="24"/>
          <w:lang w:val="ro-RO"/>
        </w:rPr>
      </w:pPr>
    </w:p>
    <w:p w:rsidR="00930FE9" w:rsidRPr="008431BE" w:rsidRDefault="005D7F9D" w:rsidP="00930FE9">
      <w:pPr>
        <w:tabs>
          <w:tab w:val="left" w:pos="426"/>
          <w:tab w:val="left" w:pos="993"/>
        </w:tabs>
        <w:spacing w:after="0"/>
        <w:jc w:val="both"/>
        <w:rPr>
          <w:rFonts w:ascii="Times New Roman" w:eastAsia="Times New Roman" w:hAnsi="Times New Roman" w:cs="Times New Roman"/>
          <w:sz w:val="24"/>
          <w:szCs w:val="24"/>
          <w:lang w:val="ro-RO"/>
        </w:rPr>
      </w:pPr>
      <w:r w:rsidRPr="008431BE">
        <w:rPr>
          <w:rFonts w:ascii="Times New Roman" w:eastAsia="Times New Roman" w:hAnsi="Times New Roman" w:cs="Times New Roman"/>
          <w:b/>
          <w:bCs/>
          <w:sz w:val="24"/>
          <w:szCs w:val="24"/>
          <w:lang w:val="ro-RO"/>
        </w:rPr>
        <w:t>Art. I</w:t>
      </w:r>
      <w:r w:rsidR="00930FE9" w:rsidRPr="008431BE">
        <w:rPr>
          <w:rFonts w:ascii="Times New Roman" w:eastAsia="Times New Roman" w:hAnsi="Times New Roman" w:cs="Times New Roman"/>
          <w:b/>
          <w:bCs/>
          <w:sz w:val="24"/>
          <w:szCs w:val="24"/>
          <w:lang w:val="ro-RO"/>
        </w:rPr>
        <w:t>.</w:t>
      </w:r>
      <w:r w:rsidR="00930FE9" w:rsidRPr="008431BE">
        <w:rPr>
          <w:rFonts w:ascii="Times New Roman" w:eastAsia="Times New Roman" w:hAnsi="Times New Roman" w:cs="Times New Roman"/>
          <w:sz w:val="24"/>
          <w:szCs w:val="24"/>
          <w:lang w:val="ro-RO"/>
        </w:rPr>
        <w:t xml:space="preserve"> – Legea nr.105-XV din 13 martie 2003 privind protecţia consumatorilor (republicată în Monitorul Oficial al Republicii Moldova, 2011, nr.176–181, art.513), cu modificările ulterioare, se modifică şi se completează după cum urmează: </w:t>
      </w:r>
    </w:p>
    <w:p w:rsidR="00930FE9" w:rsidRPr="008431BE" w:rsidRDefault="005D7F9D" w:rsidP="00930FE9">
      <w:pPr>
        <w:numPr>
          <w:ilvl w:val="0"/>
          <w:numId w:val="3"/>
        </w:numPr>
        <w:tabs>
          <w:tab w:val="left" w:pos="426"/>
          <w:tab w:val="left" w:pos="993"/>
        </w:tabs>
        <w:spacing w:after="0"/>
        <w:jc w:val="both"/>
        <w:rPr>
          <w:rFonts w:ascii="Times New Roman" w:eastAsia="Times New Roman" w:hAnsi="Times New Roman" w:cs="Times New Roman"/>
          <w:sz w:val="24"/>
          <w:szCs w:val="24"/>
          <w:lang w:val="ro-RO"/>
        </w:rPr>
      </w:pPr>
      <w:r w:rsidRPr="008431BE">
        <w:rPr>
          <w:rFonts w:ascii="Times New Roman" w:eastAsia="Times New Roman" w:hAnsi="Times New Roman" w:cs="Times New Roman"/>
          <w:sz w:val="24"/>
          <w:szCs w:val="24"/>
          <w:lang w:val="ro-RO"/>
        </w:rPr>
        <w:lastRenderedPageBreak/>
        <w:t>La articolul 27</w:t>
      </w:r>
      <w:r w:rsidR="00930FE9" w:rsidRPr="008431BE">
        <w:rPr>
          <w:rFonts w:ascii="Times New Roman" w:eastAsia="Times New Roman" w:hAnsi="Times New Roman" w:cs="Times New Roman"/>
          <w:sz w:val="24"/>
          <w:szCs w:val="24"/>
          <w:lang w:val="ro-RO"/>
        </w:rPr>
        <w:t>:</w:t>
      </w:r>
    </w:p>
    <w:p w:rsidR="00930FE9" w:rsidRPr="008431BE" w:rsidRDefault="00930FE9" w:rsidP="00930FE9">
      <w:pPr>
        <w:tabs>
          <w:tab w:val="left" w:pos="426"/>
          <w:tab w:val="left" w:pos="993"/>
        </w:tabs>
        <w:spacing w:after="0"/>
        <w:jc w:val="both"/>
        <w:rPr>
          <w:rFonts w:ascii="Times New Roman" w:eastAsia="Times New Roman" w:hAnsi="Times New Roman" w:cs="Times New Roman"/>
          <w:sz w:val="24"/>
          <w:szCs w:val="24"/>
          <w:lang w:val="ro-RO"/>
        </w:rPr>
      </w:pPr>
      <w:r w:rsidRPr="008431BE">
        <w:rPr>
          <w:rFonts w:ascii="Times New Roman" w:eastAsia="Times New Roman" w:hAnsi="Times New Roman" w:cs="Times New Roman"/>
          <w:sz w:val="24"/>
          <w:szCs w:val="24"/>
          <w:lang w:val="ro-RO"/>
        </w:rPr>
        <w:t>se completează cu alineatul (4</w:t>
      </w:r>
      <w:r w:rsidRPr="008431BE">
        <w:rPr>
          <w:rFonts w:ascii="Times New Roman" w:eastAsia="Times New Roman" w:hAnsi="Times New Roman" w:cs="Times New Roman"/>
          <w:sz w:val="24"/>
          <w:szCs w:val="24"/>
          <w:vertAlign w:val="superscript"/>
          <w:lang w:val="ro-RO"/>
        </w:rPr>
        <w:t>1</w:t>
      </w:r>
      <w:r w:rsidRPr="008431BE">
        <w:rPr>
          <w:rFonts w:ascii="Times New Roman" w:eastAsia="Times New Roman" w:hAnsi="Times New Roman" w:cs="Times New Roman"/>
          <w:sz w:val="24"/>
          <w:szCs w:val="24"/>
          <w:lang w:val="ro-RO"/>
        </w:rPr>
        <w:t>) cu următorul conţinut:</w:t>
      </w:r>
    </w:p>
    <w:p w:rsidR="00930FE9" w:rsidRPr="008431BE" w:rsidRDefault="00930FE9" w:rsidP="00930FE9">
      <w:pPr>
        <w:tabs>
          <w:tab w:val="left" w:pos="426"/>
          <w:tab w:val="left" w:pos="993"/>
        </w:tabs>
        <w:spacing w:after="0"/>
        <w:jc w:val="both"/>
        <w:rPr>
          <w:rFonts w:ascii="Times New Roman" w:eastAsia="Times New Roman" w:hAnsi="Times New Roman" w:cs="Times New Roman"/>
          <w:sz w:val="24"/>
          <w:szCs w:val="24"/>
          <w:lang w:val="ro-RO"/>
        </w:rPr>
      </w:pPr>
      <w:r w:rsidRPr="008431BE">
        <w:rPr>
          <w:rFonts w:ascii="Times New Roman" w:eastAsia="Times New Roman" w:hAnsi="Times New Roman" w:cs="Times New Roman"/>
          <w:sz w:val="24"/>
          <w:szCs w:val="24"/>
          <w:lang w:val="ro-RO"/>
        </w:rPr>
        <w:t>„(4</w:t>
      </w:r>
      <w:r w:rsidRPr="008431BE">
        <w:rPr>
          <w:rFonts w:ascii="Times New Roman" w:eastAsia="Times New Roman" w:hAnsi="Times New Roman" w:cs="Times New Roman"/>
          <w:sz w:val="24"/>
          <w:szCs w:val="24"/>
          <w:vertAlign w:val="superscript"/>
          <w:lang w:val="ro-RO"/>
        </w:rPr>
        <w:t>1</w:t>
      </w:r>
      <w:r w:rsidRPr="008431BE">
        <w:rPr>
          <w:rFonts w:ascii="Times New Roman" w:eastAsia="Times New Roman" w:hAnsi="Times New Roman" w:cs="Times New Roman"/>
          <w:sz w:val="24"/>
          <w:szCs w:val="24"/>
          <w:lang w:val="ro-RO"/>
        </w:rPr>
        <w:t>) Controlul respectării, la toate etape lanţului alimentar, a prevederilor legislaţiei în domeniul protecţiei consumatorilor în partea ce se referă la produsele alimentare, a cerințelor</w:t>
      </w:r>
      <w:r w:rsidR="004857A3" w:rsidRPr="008431BE">
        <w:rPr>
          <w:rFonts w:ascii="Times New Roman" w:eastAsia="Times New Roman" w:hAnsi="Times New Roman" w:cs="Times New Roman"/>
          <w:sz w:val="24"/>
          <w:szCs w:val="24"/>
          <w:lang w:val="ro-RO"/>
        </w:rPr>
        <w:t xml:space="preserve"> privind siguranța produselor </w:t>
      </w:r>
      <w:r w:rsidRPr="008431BE">
        <w:rPr>
          <w:rFonts w:ascii="Times New Roman" w:eastAsia="Times New Roman" w:hAnsi="Times New Roman" w:cs="Times New Roman"/>
          <w:sz w:val="24"/>
          <w:szCs w:val="24"/>
          <w:lang w:val="ro-RO"/>
        </w:rPr>
        <w:t>alimentare, introduse sau puse la dispoziţie pe piaţă destinate consumatorilor se efectuează de Agenţia de Naţională pentru Siguranţa Alimentelor. ” .</w:t>
      </w:r>
    </w:p>
    <w:p w:rsidR="00930FE9" w:rsidRPr="008431BE" w:rsidRDefault="00930FE9" w:rsidP="00930FE9">
      <w:pPr>
        <w:tabs>
          <w:tab w:val="left" w:pos="426"/>
          <w:tab w:val="left" w:pos="993"/>
        </w:tabs>
        <w:spacing w:after="0"/>
        <w:jc w:val="both"/>
        <w:rPr>
          <w:rFonts w:ascii="Times New Roman" w:eastAsia="Times New Roman" w:hAnsi="Times New Roman" w:cs="Times New Roman"/>
          <w:b/>
          <w:bCs/>
          <w:sz w:val="24"/>
          <w:szCs w:val="24"/>
          <w:lang w:val="ro-RO"/>
        </w:rPr>
      </w:pPr>
    </w:p>
    <w:p w:rsidR="00930FE9" w:rsidRPr="008431BE" w:rsidRDefault="00C10405" w:rsidP="00930FE9">
      <w:pPr>
        <w:tabs>
          <w:tab w:val="left" w:pos="426"/>
          <w:tab w:val="left" w:pos="993"/>
        </w:tabs>
        <w:spacing w:after="0"/>
        <w:jc w:val="both"/>
        <w:rPr>
          <w:rFonts w:ascii="Times New Roman" w:eastAsia="Times New Roman" w:hAnsi="Times New Roman" w:cs="Times New Roman"/>
          <w:sz w:val="24"/>
          <w:szCs w:val="24"/>
          <w:lang w:val="ro-RO"/>
        </w:rPr>
      </w:pPr>
      <w:r w:rsidRPr="008431BE">
        <w:rPr>
          <w:rFonts w:ascii="Times New Roman" w:eastAsia="Times New Roman" w:hAnsi="Times New Roman" w:cs="Times New Roman"/>
          <w:b/>
          <w:bCs/>
          <w:sz w:val="24"/>
          <w:szCs w:val="24"/>
          <w:lang w:val="ro-RO"/>
        </w:rPr>
        <w:t xml:space="preserve">Art. </w:t>
      </w:r>
      <w:r w:rsidR="00930FE9" w:rsidRPr="008431BE">
        <w:rPr>
          <w:rFonts w:ascii="Times New Roman" w:eastAsia="Times New Roman" w:hAnsi="Times New Roman" w:cs="Times New Roman"/>
          <w:b/>
          <w:bCs/>
          <w:sz w:val="24"/>
          <w:szCs w:val="24"/>
          <w:lang w:val="ro-RO"/>
        </w:rPr>
        <w:t>II.</w:t>
      </w:r>
      <w:r w:rsidR="00930FE9" w:rsidRPr="008431BE">
        <w:rPr>
          <w:rFonts w:ascii="Times New Roman" w:eastAsia="Times New Roman" w:hAnsi="Times New Roman" w:cs="Times New Roman"/>
          <w:sz w:val="24"/>
          <w:szCs w:val="24"/>
          <w:lang w:val="ro-RO"/>
        </w:rPr>
        <w:t xml:space="preserve"> – La articolul 42 din Legea </w:t>
      </w:r>
      <w:r w:rsidR="00930FE9" w:rsidRPr="008431BE">
        <w:rPr>
          <w:rFonts w:ascii="Times New Roman" w:eastAsia="Times New Roman" w:hAnsi="Times New Roman" w:cs="Times New Roman"/>
          <w:bCs/>
          <w:sz w:val="24"/>
          <w:szCs w:val="24"/>
          <w:lang w:val="ro-RO"/>
        </w:rPr>
        <w:t>nr. 221-XVI din 19 octombrie 2007</w:t>
      </w:r>
      <w:r w:rsidR="00930FE9" w:rsidRPr="008431BE">
        <w:rPr>
          <w:rFonts w:ascii="Times New Roman" w:eastAsia="Times New Roman" w:hAnsi="Times New Roman" w:cs="Times New Roman"/>
          <w:b/>
          <w:bCs/>
          <w:sz w:val="24"/>
          <w:szCs w:val="24"/>
          <w:lang w:val="ro-RO"/>
        </w:rPr>
        <w:t xml:space="preserve"> </w:t>
      </w:r>
      <w:r w:rsidR="00930FE9" w:rsidRPr="008431BE">
        <w:rPr>
          <w:rFonts w:ascii="Times New Roman" w:eastAsia="Times New Roman" w:hAnsi="Times New Roman" w:cs="Times New Roman"/>
          <w:sz w:val="24"/>
          <w:szCs w:val="24"/>
          <w:lang w:val="ro-RO"/>
        </w:rPr>
        <w:t>privind activitatea sanitar-veterinară (republicat</w:t>
      </w:r>
      <w:r w:rsidR="00EC6B21" w:rsidRPr="008431BE">
        <w:rPr>
          <w:rFonts w:ascii="Times New Roman" w:eastAsia="Times New Roman" w:hAnsi="Times New Roman" w:cs="Times New Roman"/>
          <w:sz w:val="24"/>
          <w:szCs w:val="24"/>
          <w:lang w:val="ro-RO"/>
        </w:rPr>
        <w:t xml:space="preserve">ă </w:t>
      </w:r>
      <w:r w:rsidR="00930FE9" w:rsidRPr="008431BE">
        <w:rPr>
          <w:rFonts w:ascii="Times New Roman" w:eastAsia="Times New Roman" w:hAnsi="Times New Roman" w:cs="Times New Roman"/>
          <w:sz w:val="24"/>
          <w:szCs w:val="24"/>
          <w:lang w:val="ro-RO"/>
        </w:rPr>
        <w:t xml:space="preserve"> în Monitorul Oficial al Republicii Moldova, 2013, nr.125-129, art. 396), alineatul (3) se abrogă.</w:t>
      </w:r>
    </w:p>
    <w:p w:rsidR="00930FE9" w:rsidRPr="008431BE" w:rsidRDefault="00930FE9" w:rsidP="00930FE9">
      <w:pPr>
        <w:tabs>
          <w:tab w:val="left" w:pos="426"/>
          <w:tab w:val="left" w:pos="993"/>
        </w:tabs>
        <w:spacing w:after="0"/>
        <w:jc w:val="both"/>
        <w:rPr>
          <w:rFonts w:ascii="Times New Roman" w:eastAsia="Times New Roman" w:hAnsi="Times New Roman" w:cs="Times New Roman"/>
          <w:b/>
          <w:sz w:val="24"/>
          <w:szCs w:val="24"/>
          <w:lang w:val="ro-RO"/>
        </w:rPr>
      </w:pPr>
    </w:p>
    <w:p w:rsidR="00930FE9" w:rsidRPr="008431BE" w:rsidRDefault="00C10405" w:rsidP="00930FE9">
      <w:pPr>
        <w:tabs>
          <w:tab w:val="left" w:pos="426"/>
          <w:tab w:val="left" w:pos="993"/>
        </w:tabs>
        <w:spacing w:after="0"/>
        <w:jc w:val="both"/>
        <w:rPr>
          <w:rFonts w:ascii="Times New Roman" w:eastAsia="Times New Roman" w:hAnsi="Times New Roman" w:cs="Times New Roman"/>
          <w:sz w:val="24"/>
          <w:szCs w:val="24"/>
          <w:lang w:val="ro-RO"/>
        </w:rPr>
      </w:pPr>
      <w:r w:rsidRPr="008431BE">
        <w:rPr>
          <w:rFonts w:ascii="Times New Roman" w:eastAsia="Times New Roman" w:hAnsi="Times New Roman" w:cs="Times New Roman"/>
          <w:b/>
          <w:sz w:val="24"/>
          <w:szCs w:val="24"/>
          <w:lang w:val="ro-RO"/>
        </w:rPr>
        <w:t>Art. I</w:t>
      </w:r>
      <w:r w:rsidR="00930FE9" w:rsidRPr="008431BE">
        <w:rPr>
          <w:rFonts w:ascii="Times New Roman" w:eastAsia="Times New Roman" w:hAnsi="Times New Roman" w:cs="Times New Roman"/>
          <w:b/>
          <w:sz w:val="24"/>
          <w:szCs w:val="24"/>
          <w:lang w:val="ro-RO"/>
        </w:rPr>
        <w:t>II.</w:t>
      </w:r>
      <w:r w:rsidR="00930FE9" w:rsidRPr="008431BE">
        <w:rPr>
          <w:rFonts w:ascii="Times New Roman" w:eastAsia="Times New Roman" w:hAnsi="Times New Roman" w:cs="Times New Roman"/>
          <w:sz w:val="24"/>
          <w:szCs w:val="24"/>
          <w:lang w:val="ro-RO"/>
        </w:rPr>
        <w:t xml:space="preserve"> </w:t>
      </w:r>
      <w:r w:rsidR="00930FE9" w:rsidRPr="008431BE">
        <w:rPr>
          <w:rFonts w:ascii="Times New Roman" w:eastAsia="Times New Roman" w:hAnsi="Times New Roman" w:cs="Times New Roman"/>
          <w:b/>
          <w:sz w:val="24"/>
          <w:szCs w:val="24"/>
          <w:lang w:val="ro-RO"/>
        </w:rPr>
        <w:t>–</w:t>
      </w:r>
      <w:r w:rsidR="00930FE9" w:rsidRPr="008431BE">
        <w:rPr>
          <w:rFonts w:ascii="Times New Roman" w:eastAsia="Times New Roman" w:hAnsi="Times New Roman" w:cs="Times New Roman"/>
          <w:sz w:val="24"/>
          <w:szCs w:val="24"/>
          <w:lang w:val="ro-RO"/>
        </w:rPr>
        <w:t xml:space="preserve"> La articolul 19</w:t>
      </w:r>
      <w:r w:rsidR="00930FE9" w:rsidRPr="008431BE">
        <w:rPr>
          <w:rFonts w:ascii="Times New Roman" w:eastAsia="Times New Roman" w:hAnsi="Times New Roman" w:cs="Times New Roman"/>
          <w:sz w:val="24"/>
          <w:szCs w:val="24"/>
          <w:vertAlign w:val="superscript"/>
          <w:lang w:val="ro-RO"/>
        </w:rPr>
        <w:t>1</w:t>
      </w:r>
      <w:r w:rsidR="00930FE9" w:rsidRPr="008431BE">
        <w:rPr>
          <w:rFonts w:ascii="Times New Roman" w:eastAsia="Times New Roman" w:hAnsi="Times New Roman" w:cs="Times New Roman"/>
          <w:sz w:val="24"/>
          <w:szCs w:val="24"/>
          <w:lang w:val="ro-RO"/>
        </w:rPr>
        <w:t xml:space="preserve"> alineatul (2) din Legea </w:t>
      </w:r>
      <w:r w:rsidR="00930FE9" w:rsidRPr="008431BE">
        <w:rPr>
          <w:rFonts w:ascii="Times New Roman" w:eastAsia="Times New Roman" w:hAnsi="Times New Roman" w:cs="Times New Roman"/>
          <w:bCs/>
          <w:sz w:val="24"/>
          <w:szCs w:val="24"/>
          <w:lang w:val="ro-RO"/>
        </w:rPr>
        <w:t>nr. 113 din 18 mai 2012</w:t>
      </w:r>
      <w:r w:rsidR="00930FE9" w:rsidRPr="008431BE">
        <w:rPr>
          <w:rFonts w:ascii="Times New Roman" w:eastAsia="Times New Roman" w:hAnsi="Times New Roman" w:cs="Times New Roman"/>
          <w:sz w:val="24"/>
          <w:szCs w:val="24"/>
          <w:lang w:val="ro-RO"/>
        </w:rPr>
        <w:t xml:space="preserve"> cu privire la stabilirea principiilor şi a cerinţelor generale ale legislaţiei privind siguranţa alimentelor (Monitorul Oficial al Republicii Moldova, 2012, nr.143-148, art. 467), cuvintele „Agenția pentru Protecția Consumatorilor” se exclud.</w:t>
      </w:r>
    </w:p>
    <w:p w:rsidR="00852990" w:rsidRPr="008431BE" w:rsidRDefault="00852990" w:rsidP="00930FE9">
      <w:pPr>
        <w:tabs>
          <w:tab w:val="left" w:pos="426"/>
          <w:tab w:val="left" w:pos="993"/>
        </w:tabs>
        <w:spacing w:after="0"/>
        <w:jc w:val="both"/>
        <w:rPr>
          <w:rFonts w:ascii="Times New Roman" w:eastAsia="Times New Roman" w:hAnsi="Times New Roman" w:cs="Times New Roman"/>
          <w:sz w:val="24"/>
          <w:szCs w:val="24"/>
          <w:lang w:val="ro-RO"/>
        </w:rPr>
      </w:pPr>
    </w:p>
    <w:p w:rsidR="00852990" w:rsidRPr="008431BE" w:rsidRDefault="00852990" w:rsidP="00852990">
      <w:pPr>
        <w:tabs>
          <w:tab w:val="left" w:pos="426"/>
          <w:tab w:val="left" w:pos="993"/>
        </w:tabs>
        <w:spacing w:after="0"/>
        <w:contextualSpacing/>
        <w:jc w:val="both"/>
        <w:rPr>
          <w:rFonts w:ascii="Times New Roman" w:eastAsia="Calibri" w:hAnsi="Times New Roman" w:cs="Times New Roman"/>
          <w:sz w:val="24"/>
          <w:szCs w:val="24"/>
          <w:lang w:val="ro-RO"/>
        </w:rPr>
      </w:pPr>
      <w:r w:rsidRPr="008431BE">
        <w:rPr>
          <w:rFonts w:ascii="Times New Roman" w:eastAsia="Calibri" w:hAnsi="Times New Roman" w:cs="Times New Roman"/>
          <w:sz w:val="24"/>
          <w:szCs w:val="24"/>
          <w:lang w:val="ro-RO"/>
        </w:rPr>
        <w:t>--------------------------------------------------------------------------------------------------</w:t>
      </w:r>
    </w:p>
    <w:p w:rsidR="00852990" w:rsidRPr="008431BE" w:rsidRDefault="00852990" w:rsidP="00852990">
      <w:pPr>
        <w:tabs>
          <w:tab w:val="left" w:pos="426"/>
          <w:tab w:val="left" w:pos="993"/>
        </w:tabs>
        <w:spacing w:after="0"/>
        <w:contextualSpacing/>
        <w:jc w:val="both"/>
        <w:rPr>
          <w:rFonts w:ascii="Times New Roman" w:eastAsia="Calibri" w:hAnsi="Times New Roman" w:cs="Times New Roman"/>
          <w:b/>
          <w:i/>
          <w:sz w:val="24"/>
          <w:szCs w:val="24"/>
          <w:lang w:val="ro-RO"/>
        </w:rPr>
      </w:pPr>
    </w:p>
    <w:p w:rsidR="00852990" w:rsidRPr="008431BE" w:rsidRDefault="00852990" w:rsidP="00852990">
      <w:pPr>
        <w:tabs>
          <w:tab w:val="left" w:pos="426"/>
          <w:tab w:val="left" w:pos="993"/>
        </w:tabs>
        <w:spacing w:after="0"/>
        <w:contextualSpacing/>
        <w:jc w:val="both"/>
        <w:rPr>
          <w:rFonts w:ascii="Times New Roman" w:eastAsia="Calibri" w:hAnsi="Times New Roman" w:cs="Times New Roman"/>
          <w:b/>
          <w:i/>
          <w:sz w:val="24"/>
          <w:szCs w:val="24"/>
          <w:lang w:val="ro-RO"/>
        </w:rPr>
      </w:pPr>
      <w:r w:rsidRPr="008431BE">
        <w:rPr>
          <w:rFonts w:ascii="Times New Roman" w:eastAsia="Calibri" w:hAnsi="Times New Roman" w:cs="Times New Roman"/>
          <w:b/>
          <w:i/>
          <w:sz w:val="24"/>
          <w:szCs w:val="24"/>
          <w:lang w:val="ro-RO"/>
        </w:rPr>
        <w:t>Agenția Achiziții Publice</w:t>
      </w:r>
    </w:p>
    <w:p w:rsidR="00852990" w:rsidRPr="008431BE" w:rsidRDefault="00852990" w:rsidP="00852990">
      <w:pPr>
        <w:tabs>
          <w:tab w:val="left" w:pos="426"/>
          <w:tab w:val="left" w:pos="993"/>
        </w:tabs>
        <w:spacing w:after="0"/>
        <w:contextualSpacing/>
        <w:jc w:val="both"/>
        <w:rPr>
          <w:rFonts w:ascii="Times New Roman" w:eastAsia="Calibri" w:hAnsi="Times New Roman" w:cs="Times New Roman"/>
          <w:b/>
          <w:i/>
          <w:sz w:val="24"/>
          <w:szCs w:val="24"/>
          <w:lang w:val="ro-RO"/>
        </w:rPr>
      </w:pPr>
    </w:p>
    <w:p w:rsidR="00852990" w:rsidRPr="008431BE" w:rsidRDefault="00852990" w:rsidP="00852990">
      <w:pPr>
        <w:tabs>
          <w:tab w:val="left" w:pos="426"/>
          <w:tab w:val="left" w:pos="993"/>
        </w:tabs>
        <w:spacing w:after="0"/>
        <w:jc w:val="both"/>
        <w:rPr>
          <w:rFonts w:ascii="Times New Roman" w:eastAsia="Times New Roman" w:hAnsi="Times New Roman" w:cs="Times New Roman"/>
          <w:sz w:val="24"/>
          <w:szCs w:val="24"/>
          <w:lang w:val="ro-RO"/>
        </w:rPr>
      </w:pPr>
      <w:r w:rsidRPr="008431BE">
        <w:rPr>
          <w:rFonts w:ascii="Times New Roman" w:eastAsia="Times New Roman" w:hAnsi="Times New Roman" w:cs="Times New Roman"/>
          <w:b/>
          <w:bCs/>
          <w:sz w:val="24"/>
          <w:szCs w:val="24"/>
          <w:lang w:val="ro-RO"/>
        </w:rPr>
        <w:t>Art. I.</w:t>
      </w:r>
      <w:r w:rsidRPr="008431BE">
        <w:rPr>
          <w:rFonts w:ascii="Times New Roman" w:eastAsia="Times New Roman" w:hAnsi="Times New Roman" w:cs="Times New Roman"/>
          <w:sz w:val="24"/>
          <w:szCs w:val="24"/>
          <w:lang w:val="ro-RO"/>
        </w:rPr>
        <w:t xml:space="preserve"> –</w:t>
      </w:r>
      <w:r w:rsidRPr="008431BE">
        <w:rPr>
          <w:rFonts w:ascii="Times New Roman" w:hAnsi="Times New Roman" w:cs="Times New Roman"/>
          <w:b/>
          <w:sz w:val="28"/>
          <w:szCs w:val="28"/>
          <w:lang w:val="ro-RO"/>
        </w:rPr>
        <w:t xml:space="preserve"> </w:t>
      </w:r>
      <w:r w:rsidRPr="008431BE">
        <w:rPr>
          <w:rFonts w:ascii="Times New Roman" w:eastAsia="Times New Roman" w:hAnsi="Times New Roman" w:cs="Times New Roman"/>
          <w:sz w:val="24"/>
          <w:szCs w:val="24"/>
          <w:lang w:val="ro-RO"/>
        </w:rPr>
        <w:t xml:space="preserve">Legea nr. 131 din 03 iulie 2015 privind achizițiile publice (Monitorul Oficial al Republicii Moldova, 2015, </w:t>
      </w:r>
      <w:r w:rsidRPr="008431BE">
        <w:rPr>
          <w:rFonts w:ascii="Times New Roman" w:eastAsia="Times New Roman" w:hAnsi="Times New Roman" w:cs="Times New Roman"/>
          <w:sz w:val="24"/>
          <w:szCs w:val="24"/>
          <w:lang w:val="en-US"/>
        </w:rPr>
        <w:t>nr. 197-205, art. 402</w:t>
      </w:r>
      <w:r w:rsidRPr="008431BE">
        <w:rPr>
          <w:rFonts w:ascii="Times New Roman" w:eastAsia="Times New Roman" w:hAnsi="Times New Roman" w:cs="Times New Roman"/>
          <w:sz w:val="24"/>
          <w:szCs w:val="24"/>
          <w:lang w:val="ro-RO"/>
        </w:rPr>
        <w:t xml:space="preserve">) cu modificările ulterioare, se modifică şi se completează după cum urmează: </w:t>
      </w:r>
    </w:p>
    <w:p w:rsidR="00852990" w:rsidRPr="008431BE" w:rsidRDefault="00852990" w:rsidP="00852990">
      <w:pPr>
        <w:pStyle w:val="a5"/>
        <w:numPr>
          <w:ilvl w:val="0"/>
          <w:numId w:val="19"/>
        </w:numPr>
        <w:tabs>
          <w:tab w:val="left" w:pos="426"/>
          <w:tab w:val="left" w:pos="709"/>
        </w:tabs>
        <w:spacing w:after="0"/>
        <w:ind w:left="426" w:firstLine="0"/>
        <w:jc w:val="both"/>
        <w:rPr>
          <w:rFonts w:ascii="Times New Roman" w:eastAsia="Times New Roman" w:hAnsi="Times New Roman"/>
          <w:sz w:val="24"/>
          <w:szCs w:val="24"/>
        </w:rPr>
      </w:pPr>
      <w:r w:rsidRPr="008431BE">
        <w:rPr>
          <w:rFonts w:ascii="Times New Roman" w:hAnsi="Times New Roman"/>
          <w:sz w:val="24"/>
          <w:szCs w:val="24"/>
        </w:rPr>
        <w:t>La articolul 15 alineatul (1) după sintagma ,,achiziții publice” se completează cu sintagma ,,dacă acesta este autorizat/înregistrat sau licențiat în domeniul pentru care se organizează achiziția publică”;</w:t>
      </w:r>
    </w:p>
    <w:p w:rsidR="00852990" w:rsidRPr="008431BE" w:rsidRDefault="00852990" w:rsidP="00852990">
      <w:pPr>
        <w:pStyle w:val="a5"/>
        <w:numPr>
          <w:ilvl w:val="0"/>
          <w:numId w:val="19"/>
        </w:numPr>
        <w:tabs>
          <w:tab w:val="left" w:pos="426"/>
          <w:tab w:val="left" w:pos="709"/>
        </w:tabs>
        <w:spacing w:after="0"/>
        <w:ind w:left="426" w:firstLine="0"/>
        <w:jc w:val="both"/>
        <w:rPr>
          <w:rFonts w:ascii="Times New Roman" w:eastAsia="Times New Roman" w:hAnsi="Times New Roman"/>
          <w:sz w:val="24"/>
          <w:szCs w:val="24"/>
        </w:rPr>
      </w:pPr>
      <w:r w:rsidRPr="008431BE">
        <w:rPr>
          <w:rFonts w:ascii="Times New Roman" w:hAnsi="Times New Roman"/>
          <w:sz w:val="24"/>
          <w:szCs w:val="24"/>
        </w:rPr>
        <w:t xml:space="preserve">La articolul 17, se completează cu următorul text: </w:t>
      </w:r>
    </w:p>
    <w:p w:rsidR="00852990" w:rsidRPr="008431BE" w:rsidRDefault="00852990" w:rsidP="00852990">
      <w:pPr>
        <w:pStyle w:val="a5"/>
        <w:tabs>
          <w:tab w:val="left" w:pos="426"/>
          <w:tab w:val="left" w:pos="709"/>
        </w:tabs>
        <w:spacing w:after="0"/>
        <w:ind w:left="426"/>
        <w:jc w:val="both"/>
        <w:rPr>
          <w:rFonts w:ascii="Times New Roman" w:eastAsia="Times New Roman" w:hAnsi="Times New Roman"/>
          <w:sz w:val="24"/>
          <w:szCs w:val="24"/>
        </w:rPr>
      </w:pPr>
      <w:r w:rsidRPr="008431BE">
        <w:rPr>
          <w:rFonts w:ascii="Times New Roman" w:hAnsi="Times New Roman"/>
          <w:sz w:val="24"/>
          <w:szCs w:val="24"/>
        </w:rPr>
        <w:t>,,În cazul organizării achizițiilor de produse alimentare, suplimentar se vor aplica următoarele criterii, stabilite în conformitate cu legislația alimentară:</w:t>
      </w:r>
    </w:p>
    <w:p w:rsidR="00852990" w:rsidRPr="008431BE" w:rsidRDefault="00852990" w:rsidP="00852990">
      <w:pPr>
        <w:pStyle w:val="a5"/>
        <w:tabs>
          <w:tab w:val="left" w:pos="426"/>
          <w:tab w:val="left" w:pos="709"/>
        </w:tabs>
        <w:spacing w:after="0"/>
        <w:ind w:left="426"/>
        <w:jc w:val="both"/>
        <w:rPr>
          <w:rFonts w:ascii="Times New Roman" w:hAnsi="Times New Roman"/>
          <w:sz w:val="24"/>
          <w:szCs w:val="24"/>
        </w:rPr>
      </w:pPr>
      <w:r w:rsidRPr="008431BE">
        <w:rPr>
          <w:rFonts w:ascii="Times New Roman" w:hAnsi="Times New Roman"/>
          <w:sz w:val="24"/>
          <w:szCs w:val="24"/>
        </w:rPr>
        <w:t xml:space="preserve"> g) condiții sanitar-veterinare de funcționare, depozitare și transportare a produselor alimentare; </w:t>
      </w:r>
    </w:p>
    <w:p w:rsidR="00852990" w:rsidRPr="008431BE" w:rsidRDefault="00852990" w:rsidP="00852990">
      <w:pPr>
        <w:pStyle w:val="a5"/>
        <w:tabs>
          <w:tab w:val="left" w:pos="426"/>
          <w:tab w:val="left" w:pos="709"/>
        </w:tabs>
        <w:spacing w:after="0"/>
        <w:ind w:left="426"/>
        <w:jc w:val="both"/>
        <w:rPr>
          <w:rFonts w:ascii="Times New Roman" w:eastAsia="Times New Roman" w:hAnsi="Times New Roman"/>
          <w:sz w:val="24"/>
          <w:szCs w:val="24"/>
        </w:rPr>
      </w:pPr>
      <w:r w:rsidRPr="008431BE">
        <w:rPr>
          <w:rFonts w:ascii="Times New Roman" w:hAnsi="Times New Roman"/>
          <w:sz w:val="24"/>
          <w:szCs w:val="24"/>
        </w:rPr>
        <w:t>h) calitatea și siguranța produselor alimentare.”.</w:t>
      </w:r>
    </w:p>
    <w:p w:rsidR="00852990" w:rsidRPr="008431BE" w:rsidRDefault="00852990" w:rsidP="00852990">
      <w:pPr>
        <w:pStyle w:val="a5"/>
        <w:numPr>
          <w:ilvl w:val="0"/>
          <w:numId w:val="19"/>
        </w:numPr>
        <w:tabs>
          <w:tab w:val="left" w:pos="426"/>
        </w:tabs>
        <w:ind w:left="709" w:hanging="283"/>
        <w:jc w:val="both"/>
        <w:rPr>
          <w:rFonts w:ascii="Times New Roman" w:hAnsi="Times New Roman"/>
          <w:sz w:val="24"/>
          <w:szCs w:val="24"/>
        </w:rPr>
      </w:pPr>
      <w:r w:rsidRPr="008431BE">
        <w:rPr>
          <w:rFonts w:ascii="Times New Roman" w:hAnsi="Times New Roman"/>
          <w:sz w:val="24"/>
          <w:szCs w:val="24"/>
        </w:rPr>
        <w:t>La articolul 18 alineatul (1) se completează cu următoarea sintagmă: ,,precum și pentru introducerea pe piață a produselor alimentare periculoase pentru sănătatea consumatorilor”;</w:t>
      </w:r>
    </w:p>
    <w:p w:rsidR="00852990" w:rsidRPr="008431BE" w:rsidRDefault="00852990" w:rsidP="00852990">
      <w:pPr>
        <w:pStyle w:val="a5"/>
        <w:numPr>
          <w:ilvl w:val="0"/>
          <w:numId w:val="19"/>
        </w:numPr>
        <w:tabs>
          <w:tab w:val="left" w:pos="426"/>
        </w:tabs>
        <w:ind w:left="709" w:hanging="283"/>
        <w:jc w:val="both"/>
        <w:rPr>
          <w:rFonts w:ascii="Times New Roman" w:hAnsi="Times New Roman"/>
          <w:sz w:val="24"/>
          <w:szCs w:val="24"/>
        </w:rPr>
      </w:pPr>
      <w:r w:rsidRPr="008431BE">
        <w:rPr>
          <w:rFonts w:ascii="Times New Roman" w:hAnsi="Times New Roman"/>
          <w:sz w:val="24"/>
          <w:szCs w:val="24"/>
        </w:rPr>
        <w:t>La articolul 21 lit. d) după sintagma ,,care să ateste” se completează cu sintagma ,,calitatea și/sau”;</w:t>
      </w:r>
    </w:p>
    <w:p w:rsidR="00852990" w:rsidRPr="008431BE" w:rsidRDefault="00852990" w:rsidP="00852990">
      <w:pPr>
        <w:pStyle w:val="a5"/>
        <w:numPr>
          <w:ilvl w:val="0"/>
          <w:numId w:val="19"/>
        </w:numPr>
        <w:tabs>
          <w:tab w:val="left" w:pos="426"/>
        </w:tabs>
        <w:ind w:left="709" w:hanging="283"/>
        <w:jc w:val="both"/>
        <w:rPr>
          <w:rFonts w:ascii="Times New Roman" w:hAnsi="Times New Roman"/>
          <w:sz w:val="24"/>
          <w:szCs w:val="24"/>
        </w:rPr>
      </w:pPr>
      <w:r w:rsidRPr="008431BE">
        <w:rPr>
          <w:rFonts w:ascii="Times New Roman" w:hAnsi="Times New Roman"/>
          <w:sz w:val="24"/>
          <w:szCs w:val="24"/>
        </w:rPr>
        <w:t xml:space="preserve">La articolul 22 se completează cu un aliniat nou cu următorul conținut: </w:t>
      </w:r>
    </w:p>
    <w:p w:rsidR="00852990" w:rsidRPr="008431BE" w:rsidRDefault="00852990" w:rsidP="00852990">
      <w:pPr>
        <w:pStyle w:val="a5"/>
        <w:tabs>
          <w:tab w:val="left" w:pos="426"/>
        </w:tabs>
        <w:ind w:left="709"/>
        <w:jc w:val="both"/>
        <w:rPr>
          <w:rFonts w:ascii="Times New Roman" w:hAnsi="Times New Roman"/>
          <w:sz w:val="24"/>
          <w:szCs w:val="24"/>
        </w:rPr>
      </w:pPr>
      <w:r w:rsidRPr="008431BE">
        <w:rPr>
          <w:rFonts w:ascii="Times New Roman" w:hAnsi="Times New Roman"/>
          <w:sz w:val="24"/>
          <w:szCs w:val="24"/>
        </w:rPr>
        <w:t>,, (4) În cazul organizării achizițiilor de produse alimentare, operatorul economic va prezenta certificate care confirmă calitatea și siguranța produselor alimentare”;</w:t>
      </w:r>
    </w:p>
    <w:p w:rsidR="00852990" w:rsidRPr="008431BE" w:rsidRDefault="00852990" w:rsidP="00852990">
      <w:pPr>
        <w:pStyle w:val="a5"/>
        <w:numPr>
          <w:ilvl w:val="0"/>
          <w:numId w:val="19"/>
        </w:numPr>
        <w:tabs>
          <w:tab w:val="left" w:pos="426"/>
        </w:tabs>
        <w:ind w:left="709" w:hanging="283"/>
        <w:jc w:val="both"/>
        <w:rPr>
          <w:rFonts w:ascii="Times New Roman" w:hAnsi="Times New Roman"/>
          <w:sz w:val="24"/>
          <w:szCs w:val="24"/>
        </w:rPr>
      </w:pPr>
      <w:r w:rsidRPr="008431BE">
        <w:rPr>
          <w:rFonts w:ascii="Times New Roman" w:hAnsi="Times New Roman"/>
          <w:sz w:val="24"/>
          <w:szCs w:val="24"/>
        </w:rPr>
        <w:t xml:space="preserve">La articolul 37 alineatul (2) va avea următorul cuprins: </w:t>
      </w:r>
    </w:p>
    <w:p w:rsidR="00852990" w:rsidRPr="008431BE" w:rsidRDefault="00852990" w:rsidP="00852990">
      <w:pPr>
        <w:pStyle w:val="a5"/>
        <w:tabs>
          <w:tab w:val="left" w:pos="426"/>
        </w:tabs>
        <w:ind w:left="709"/>
        <w:jc w:val="both"/>
        <w:rPr>
          <w:rFonts w:ascii="Times New Roman" w:hAnsi="Times New Roman"/>
          <w:sz w:val="24"/>
          <w:szCs w:val="24"/>
        </w:rPr>
      </w:pPr>
      <w:r w:rsidRPr="008431BE">
        <w:rPr>
          <w:rFonts w:ascii="Times New Roman" w:hAnsi="Times New Roman"/>
          <w:sz w:val="24"/>
          <w:szCs w:val="24"/>
        </w:rPr>
        <w:t xml:space="preserve">,, </w:t>
      </w:r>
      <w:r w:rsidRPr="008431BE">
        <w:rPr>
          <w:rFonts w:ascii="Times New Roman" w:hAnsi="Times New Roman"/>
          <w:sz w:val="24"/>
          <w:szCs w:val="24"/>
          <w:lang w:val="en-US"/>
        </w:rPr>
        <w:t xml:space="preserve">Specificațiile tehnice ale obiectului achiziţiei trebuie să corespundă cerinţelor stabilite de autoritatea contractantă, în conformitate cu prevederile legislației în vigoare privind calitatea, eficienţa, testarea, securitatea, dimensiunile, simbolurile, terminologia, ambalajul, modul de transportare, marcarea, etichetarea, procesele şi metodele de producere, precum şi procedeele de determinare a conformităţii lui cu cerinţele din </w:t>
      </w:r>
      <w:r w:rsidRPr="008431BE">
        <w:rPr>
          <w:rFonts w:ascii="Times New Roman" w:hAnsi="Times New Roman"/>
          <w:sz w:val="24"/>
          <w:szCs w:val="24"/>
          <w:lang w:val="en-US"/>
        </w:rPr>
        <w:lastRenderedPageBreak/>
        <w:t xml:space="preserve">documentația de atribuire. </w:t>
      </w:r>
      <w:r w:rsidRPr="008431BE">
        <w:rPr>
          <w:rFonts w:ascii="Times New Roman" w:hAnsi="Times New Roman"/>
          <w:sz w:val="24"/>
          <w:szCs w:val="24"/>
        </w:rPr>
        <w:t>În cazul organizării achizițiilor de produse alimentare se vor lua în considerare cerințele stabilite în Reglementările tehnice pentru fiecare produs alimentar în parte , precum și recomandările Agenției Naționale pentru Siguranța Alimentelor.”</w:t>
      </w:r>
    </w:p>
    <w:p w:rsidR="00852990" w:rsidRPr="008431BE" w:rsidRDefault="00852990" w:rsidP="00852990">
      <w:pPr>
        <w:pStyle w:val="a5"/>
        <w:numPr>
          <w:ilvl w:val="0"/>
          <w:numId w:val="19"/>
        </w:numPr>
        <w:tabs>
          <w:tab w:val="left" w:pos="426"/>
        </w:tabs>
        <w:ind w:left="709" w:hanging="283"/>
        <w:jc w:val="both"/>
        <w:rPr>
          <w:rFonts w:ascii="Times New Roman" w:hAnsi="Times New Roman"/>
          <w:sz w:val="24"/>
          <w:szCs w:val="24"/>
        </w:rPr>
      </w:pPr>
      <w:r w:rsidRPr="008431BE">
        <w:rPr>
          <w:rFonts w:ascii="Times New Roman" w:hAnsi="Times New Roman"/>
          <w:sz w:val="24"/>
          <w:szCs w:val="24"/>
        </w:rPr>
        <w:t>La articolul 66 alineatul (4) se completează cu litera f) cu următorul cuprins: ,, f) calitatea și siguranța produselor”;</w:t>
      </w:r>
    </w:p>
    <w:p w:rsidR="00852990" w:rsidRPr="008431BE" w:rsidRDefault="00852990" w:rsidP="00852990">
      <w:pPr>
        <w:pStyle w:val="a5"/>
        <w:numPr>
          <w:ilvl w:val="0"/>
          <w:numId w:val="19"/>
        </w:numPr>
        <w:tabs>
          <w:tab w:val="left" w:pos="426"/>
        </w:tabs>
        <w:ind w:left="709" w:hanging="283"/>
        <w:jc w:val="both"/>
        <w:rPr>
          <w:rFonts w:ascii="Times New Roman" w:hAnsi="Times New Roman"/>
          <w:sz w:val="24"/>
          <w:szCs w:val="24"/>
        </w:rPr>
      </w:pPr>
      <w:r w:rsidRPr="008431BE">
        <w:rPr>
          <w:rFonts w:ascii="Times New Roman" w:hAnsi="Times New Roman"/>
          <w:sz w:val="24"/>
          <w:szCs w:val="24"/>
        </w:rPr>
        <w:t>La articolul 68 lit. b) se completează după sintagma ,,mai avantajoase” cu sintagma ,,în raport preț-calitate”;</w:t>
      </w:r>
    </w:p>
    <w:p w:rsidR="00852990" w:rsidRPr="008431BE" w:rsidRDefault="00852990" w:rsidP="00852990">
      <w:pPr>
        <w:pStyle w:val="a5"/>
        <w:numPr>
          <w:ilvl w:val="0"/>
          <w:numId w:val="19"/>
        </w:numPr>
        <w:tabs>
          <w:tab w:val="left" w:pos="426"/>
        </w:tabs>
        <w:ind w:left="709" w:hanging="283"/>
        <w:jc w:val="both"/>
        <w:rPr>
          <w:rFonts w:ascii="Times New Roman" w:hAnsi="Times New Roman"/>
          <w:sz w:val="24"/>
          <w:szCs w:val="24"/>
        </w:rPr>
      </w:pPr>
      <w:r w:rsidRPr="008431BE">
        <w:rPr>
          <w:rFonts w:ascii="Times New Roman" w:hAnsi="Times New Roman"/>
          <w:sz w:val="24"/>
          <w:szCs w:val="24"/>
        </w:rPr>
        <w:t xml:space="preserve">La articolul 70 se completează cu aliniatul (12) cu următorul cuprins: </w:t>
      </w:r>
    </w:p>
    <w:p w:rsidR="00852990" w:rsidRPr="00160C7C" w:rsidRDefault="00852990" w:rsidP="00852990">
      <w:pPr>
        <w:pStyle w:val="a5"/>
        <w:tabs>
          <w:tab w:val="left" w:pos="426"/>
        </w:tabs>
        <w:ind w:left="709"/>
        <w:jc w:val="both"/>
        <w:rPr>
          <w:rFonts w:ascii="Times New Roman" w:hAnsi="Times New Roman"/>
          <w:sz w:val="24"/>
          <w:szCs w:val="24"/>
        </w:rPr>
      </w:pPr>
      <w:r w:rsidRPr="008431BE">
        <w:rPr>
          <w:rFonts w:ascii="Times New Roman" w:hAnsi="Times New Roman"/>
          <w:sz w:val="24"/>
          <w:szCs w:val="24"/>
        </w:rPr>
        <w:t>,,(12) Ofertantul cîștigător este obligat să respecte condițiile stabilite în contractul de achiziții”.</w:t>
      </w:r>
    </w:p>
    <w:p w:rsidR="00930FE9" w:rsidRPr="00335EE7" w:rsidRDefault="00930FE9" w:rsidP="00930FE9">
      <w:pPr>
        <w:tabs>
          <w:tab w:val="left" w:pos="426"/>
          <w:tab w:val="left" w:pos="993"/>
        </w:tabs>
        <w:spacing w:after="0"/>
        <w:jc w:val="both"/>
        <w:rPr>
          <w:rFonts w:ascii="Times New Roman" w:eastAsia="Times New Roman" w:hAnsi="Times New Roman" w:cs="Times New Roman"/>
          <w:b/>
          <w:bCs/>
          <w:sz w:val="24"/>
          <w:szCs w:val="24"/>
          <w:lang w:val="ro-RO"/>
        </w:rPr>
      </w:pPr>
    </w:p>
    <w:sectPr w:rsidR="00930FE9" w:rsidRPr="00335EE7" w:rsidSect="00E32B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1725"/>
    <w:multiLevelType w:val="hybridMultilevel"/>
    <w:tmpl w:val="C81A24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9F9377B"/>
    <w:multiLevelType w:val="hybridMultilevel"/>
    <w:tmpl w:val="2194A9EC"/>
    <w:lvl w:ilvl="0" w:tplc="49D4BA50">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F542BC5"/>
    <w:multiLevelType w:val="hybridMultilevel"/>
    <w:tmpl w:val="C3A410F6"/>
    <w:lvl w:ilvl="0" w:tplc="097E7B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4413AF1"/>
    <w:multiLevelType w:val="hybridMultilevel"/>
    <w:tmpl w:val="CBD2AC40"/>
    <w:lvl w:ilvl="0" w:tplc="0419000F">
      <w:start w:val="1"/>
      <w:numFmt w:val="decimal"/>
      <w:lvlText w:val="%1."/>
      <w:lvlJc w:val="left"/>
      <w:pPr>
        <w:ind w:left="3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D410641"/>
    <w:multiLevelType w:val="hybridMultilevel"/>
    <w:tmpl w:val="3D403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F968D8"/>
    <w:multiLevelType w:val="hybridMultilevel"/>
    <w:tmpl w:val="60CE575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90675F0"/>
    <w:multiLevelType w:val="hybridMultilevel"/>
    <w:tmpl w:val="4C64E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F330173"/>
    <w:multiLevelType w:val="hybridMultilevel"/>
    <w:tmpl w:val="5D503F3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30E90B88"/>
    <w:multiLevelType w:val="hybridMultilevel"/>
    <w:tmpl w:val="EBEED2B4"/>
    <w:lvl w:ilvl="0" w:tplc="041C009E">
      <w:start w:val="1"/>
      <w:numFmt w:val="decimal"/>
      <w:lvlText w:val="%1."/>
      <w:lvlJc w:val="left"/>
      <w:pPr>
        <w:ind w:left="1353" w:hanging="360"/>
      </w:pPr>
      <w:rPr>
        <w:rFonts w:ascii="Times New Roman" w:hAnsi="Times New Roman" w:cs="Times New Roman" w:hint="default"/>
        <w:b/>
        <w:sz w:val="24"/>
        <w:szCs w:val="24"/>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9">
    <w:nsid w:val="39203E79"/>
    <w:multiLevelType w:val="hybridMultilevel"/>
    <w:tmpl w:val="62DCEB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A4A70F2"/>
    <w:multiLevelType w:val="hybridMultilevel"/>
    <w:tmpl w:val="7E6089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2FD236F"/>
    <w:multiLevelType w:val="hybridMultilevel"/>
    <w:tmpl w:val="85580628"/>
    <w:lvl w:ilvl="0" w:tplc="8452ABD8">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nsid w:val="460F00F7"/>
    <w:multiLevelType w:val="hybridMultilevel"/>
    <w:tmpl w:val="70C0E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C20F6A"/>
    <w:multiLevelType w:val="hybridMultilevel"/>
    <w:tmpl w:val="03AE6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2257C6"/>
    <w:multiLevelType w:val="hybridMultilevel"/>
    <w:tmpl w:val="7CAC3F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FB1645E"/>
    <w:multiLevelType w:val="hybridMultilevel"/>
    <w:tmpl w:val="049294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13B6E37"/>
    <w:multiLevelType w:val="hybridMultilevel"/>
    <w:tmpl w:val="40B827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6E4189D"/>
    <w:multiLevelType w:val="hybridMultilevel"/>
    <w:tmpl w:val="D7FA49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430D71"/>
    <w:multiLevelType w:val="hybridMultilevel"/>
    <w:tmpl w:val="CB2626A2"/>
    <w:lvl w:ilvl="0" w:tplc="88B4F93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nsid w:val="707629DF"/>
    <w:multiLevelType w:val="hybridMultilevel"/>
    <w:tmpl w:val="EA821A76"/>
    <w:lvl w:ilvl="0" w:tplc="77567C4C">
      <w:start w:val="1"/>
      <w:numFmt w:val="decimal"/>
      <w:lvlText w:val="%1."/>
      <w:lvlJc w:val="left"/>
      <w:pPr>
        <w:ind w:left="927" w:hanging="360"/>
      </w:pPr>
      <w:rPr>
        <w:rFonts w:hint="default"/>
        <w:b/>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nsid w:val="74DF68CE"/>
    <w:multiLevelType w:val="hybridMultilevel"/>
    <w:tmpl w:val="DF66ECD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11"/>
  </w:num>
  <w:num w:numId="5">
    <w:abstractNumId w:val="19"/>
  </w:num>
  <w:num w:numId="6">
    <w:abstractNumId w:val="18"/>
  </w:num>
  <w:num w:numId="7">
    <w:abstractNumId w:val="8"/>
  </w:num>
  <w:num w:numId="8">
    <w:abstractNumId w:val="20"/>
  </w:num>
  <w:num w:numId="9">
    <w:abstractNumId w:val="0"/>
  </w:num>
  <w:num w:numId="10">
    <w:abstractNumId w:val="6"/>
  </w:num>
  <w:num w:numId="11">
    <w:abstractNumId w:val="5"/>
  </w:num>
  <w:num w:numId="12">
    <w:abstractNumId w:val="16"/>
  </w:num>
  <w:num w:numId="13">
    <w:abstractNumId w:val="14"/>
  </w:num>
  <w:num w:numId="14">
    <w:abstractNumId w:val="15"/>
  </w:num>
  <w:num w:numId="15">
    <w:abstractNumId w:val="12"/>
  </w:num>
  <w:num w:numId="16">
    <w:abstractNumId w:val="2"/>
  </w:num>
  <w:num w:numId="17">
    <w:abstractNumId w:val="17"/>
  </w:num>
  <w:num w:numId="18">
    <w:abstractNumId w:val="4"/>
  </w:num>
  <w:num w:numId="19">
    <w:abstractNumId w:val="3"/>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AB7"/>
    <w:rsid w:val="00000B77"/>
    <w:rsid w:val="00035F16"/>
    <w:rsid w:val="00036251"/>
    <w:rsid w:val="00056F7D"/>
    <w:rsid w:val="00063AB7"/>
    <w:rsid w:val="00077006"/>
    <w:rsid w:val="000B2148"/>
    <w:rsid w:val="000E1C49"/>
    <w:rsid w:val="000E710C"/>
    <w:rsid w:val="000F06A8"/>
    <w:rsid w:val="00127278"/>
    <w:rsid w:val="00136A13"/>
    <w:rsid w:val="00160C7C"/>
    <w:rsid w:val="00172765"/>
    <w:rsid w:val="001772B1"/>
    <w:rsid w:val="00180432"/>
    <w:rsid w:val="001A3956"/>
    <w:rsid w:val="001A4F50"/>
    <w:rsid w:val="001B6645"/>
    <w:rsid w:val="001C5C7A"/>
    <w:rsid w:val="001D043A"/>
    <w:rsid w:val="001D15DA"/>
    <w:rsid w:val="00207589"/>
    <w:rsid w:val="00211E2F"/>
    <w:rsid w:val="00226735"/>
    <w:rsid w:val="002528C7"/>
    <w:rsid w:val="00255F18"/>
    <w:rsid w:val="00265F9E"/>
    <w:rsid w:val="00282184"/>
    <w:rsid w:val="00285A25"/>
    <w:rsid w:val="002B4187"/>
    <w:rsid w:val="002C4082"/>
    <w:rsid w:val="002E28EB"/>
    <w:rsid w:val="00310896"/>
    <w:rsid w:val="00314897"/>
    <w:rsid w:val="00320233"/>
    <w:rsid w:val="00324DB9"/>
    <w:rsid w:val="00374133"/>
    <w:rsid w:val="00375B5F"/>
    <w:rsid w:val="003A14ED"/>
    <w:rsid w:val="003B019A"/>
    <w:rsid w:val="003D38DB"/>
    <w:rsid w:val="004114D4"/>
    <w:rsid w:val="00414775"/>
    <w:rsid w:val="00426FE5"/>
    <w:rsid w:val="00427264"/>
    <w:rsid w:val="0043199F"/>
    <w:rsid w:val="00450106"/>
    <w:rsid w:val="004857A3"/>
    <w:rsid w:val="0048604C"/>
    <w:rsid w:val="00495244"/>
    <w:rsid w:val="004B71A6"/>
    <w:rsid w:val="004C02CB"/>
    <w:rsid w:val="004D1D96"/>
    <w:rsid w:val="005415E9"/>
    <w:rsid w:val="00546007"/>
    <w:rsid w:val="00572540"/>
    <w:rsid w:val="00573614"/>
    <w:rsid w:val="0058132C"/>
    <w:rsid w:val="005B1D01"/>
    <w:rsid w:val="005B3517"/>
    <w:rsid w:val="005C373E"/>
    <w:rsid w:val="005D1827"/>
    <w:rsid w:val="005D7F9D"/>
    <w:rsid w:val="005F5D45"/>
    <w:rsid w:val="0061105C"/>
    <w:rsid w:val="00623261"/>
    <w:rsid w:val="00646E38"/>
    <w:rsid w:val="00647AED"/>
    <w:rsid w:val="00653706"/>
    <w:rsid w:val="0065617F"/>
    <w:rsid w:val="00671EBF"/>
    <w:rsid w:val="00680787"/>
    <w:rsid w:val="006828D5"/>
    <w:rsid w:val="00696B95"/>
    <w:rsid w:val="006A73C2"/>
    <w:rsid w:val="006D5E8B"/>
    <w:rsid w:val="006D6065"/>
    <w:rsid w:val="006E4274"/>
    <w:rsid w:val="006F48FF"/>
    <w:rsid w:val="00712FD3"/>
    <w:rsid w:val="007200E4"/>
    <w:rsid w:val="00722E56"/>
    <w:rsid w:val="00732B1F"/>
    <w:rsid w:val="00740B10"/>
    <w:rsid w:val="00786F73"/>
    <w:rsid w:val="0079583D"/>
    <w:rsid w:val="00797680"/>
    <w:rsid w:val="007D0441"/>
    <w:rsid w:val="007E3556"/>
    <w:rsid w:val="007E3F08"/>
    <w:rsid w:val="007F3049"/>
    <w:rsid w:val="008011FD"/>
    <w:rsid w:val="00802A8D"/>
    <w:rsid w:val="00811466"/>
    <w:rsid w:val="008214C2"/>
    <w:rsid w:val="008302EF"/>
    <w:rsid w:val="0083764C"/>
    <w:rsid w:val="0084162F"/>
    <w:rsid w:val="008431BE"/>
    <w:rsid w:val="00852990"/>
    <w:rsid w:val="008A04A5"/>
    <w:rsid w:val="008A11A4"/>
    <w:rsid w:val="008D2255"/>
    <w:rsid w:val="008E10FA"/>
    <w:rsid w:val="008E4F85"/>
    <w:rsid w:val="008F3ACF"/>
    <w:rsid w:val="00930FE9"/>
    <w:rsid w:val="00947772"/>
    <w:rsid w:val="00957AD6"/>
    <w:rsid w:val="009B2EC5"/>
    <w:rsid w:val="009D73BD"/>
    <w:rsid w:val="00A149E7"/>
    <w:rsid w:val="00A24D24"/>
    <w:rsid w:val="00A3426E"/>
    <w:rsid w:val="00A416C6"/>
    <w:rsid w:val="00A603FF"/>
    <w:rsid w:val="00A873A4"/>
    <w:rsid w:val="00A91EA6"/>
    <w:rsid w:val="00A95BC4"/>
    <w:rsid w:val="00AA27FA"/>
    <w:rsid w:val="00AA2B15"/>
    <w:rsid w:val="00AA3A72"/>
    <w:rsid w:val="00AB28A9"/>
    <w:rsid w:val="00AD7C21"/>
    <w:rsid w:val="00AF58CD"/>
    <w:rsid w:val="00AF744F"/>
    <w:rsid w:val="00B17073"/>
    <w:rsid w:val="00B20204"/>
    <w:rsid w:val="00B24965"/>
    <w:rsid w:val="00B30B05"/>
    <w:rsid w:val="00B34C21"/>
    <w:rsid w:val="00B356DD"/>
    <w:rsid w:val="00B422BB"/>
    <w:rsid w:val="00B562DE"/>
    <w:rsid w:val="00B6336A"/>
    <w:rsid w:val="00B639F7"/>
    <w:rsid w:val="00B6646A"/>
    <w:rsid w:val="00BA124F"/>
    <w:rsid w:val="00BA4950"/>
    <w:rsid w:val="00BC6E77"/>
    <w:rsid w:val="00BE42AC"/>
    <w:rsid w:val="00C010B2"/>
    <w:rsid w:val="00C06AEB"/>
    <w:rsid w:val="00C10405"/>
    <w:rsid w:val="00C14870"/>
    <w:rsid w:val="00C172C0"/>
    <w:rsid w:val="00C272B3"/>
    <w:rsid w:val="00C37744"/>
    <w:rsid w:val="00C44154"/>
    <w:rsid w:val="00C4581A"/>
    <w:rsid w:val="00C552A6"/>
    <w:rsid w:val="00C677BC"/>
    <w:rsid w:val="00C67A41"/>
    <w:rsid w:val="00C77FFE"/>
    <w:rsid w:val="00CB441D"/>
    <w:rsid w:val="00CB61DB"/>
    <w:rsid w:val="00CC648F"/>
    <w:rsid w:val="00CD0283"/>
    <w:rsid w:val="00CE2B9A"/>
    <w:rsid w:val="00D12C0E"/>
    <w:rsid w:val="00D155D9"/>
    <w:rsid w:val="00D1775D"/>
    <w:rsid w:val="00D21CAC"/>
    <w:rsid w:val="00D42558"/>
    <w:rsid w:val="00D46588"/>
    <w:rsid w:val="00D63085"/>
    <w:rsid w:val="00D952F5"/>
    <w:rsid w:val="00D96019"/>
    <w:rsid w:val="00D9632A"/>
    <w:rsid w:val="00DD2D34"/>
    <w:rsid w:val="00DD3C7A"/>
    <w:rsid w:val="00DE4248"/>
    <w:rsid w:val="00E01277"/>
    <w:rsid w:val="00E02039"/>
    <w:rsid w:val="00E07A64"/>
    <w:rsid w:val="00E30FDD"/>
    <w:rsid w:val="00E32B46"/>
    <w:rsid w:val="00E5274F"/>
    <w:rsid w:val="00E66B8F"/>
    <w:rsid w:val="00E945AD"/>
    <w:rsid w:val="00EC6B21"/>
    <w:rsid w:val="00ED3F70"/>
    <w:rsid w:val="00F04353"/>
    <w:rsid w:val="00F1740F"/>
    <w:rsid w:val="00F94F5E"/>
    <w:rsid w:val="00FA2AE0"/>
    <w:rsid w:val="00FA6E39"/>
    <w:rsid w:val="00FC3D76"/>
    <w:rsid w:val="00FF6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2184"/>
    <w:rPr>
      <w:color w:val="0000FF"/>
      <w:u w:val="single"/>
    </w:rPr>
  </w:style>
  <w:style w:type="table" w:styleId="a4">
    <w:name w:val="Table Grid"/>
    <w:basedOn w:val="a1"/>
    <w:uiPriority w:val="59"/>
    <w:rsid w:val="001804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AB28A9"/>
    <w:pPr>
      <w:ind w:left="720"/>
      <w:contextualSpacing/>
    </w:pPr>
    <w:rPr>
      <w:rFonts w:ascii="Calibri" w:eastAsia="Calibri" w:hAnsi="Calibri" w:cs="Times New Roman"/>
      <w:lang w:val="ro-RO"/>
    </w:rPr>
  </w:style>
  <w:style w:type="paragraph" w:styleId="a6">
    <w:name w:val="Normal (Web)"/>
    <w:basedOn w:val="a"/>
    <w:uiPriority w:val="99"/>
    <w:unhideWhenUsed/>
    <w:rsid w:val="00AB28A9"/>
    <w:rPr>
      <w:rFonts w:ascii="Times New Roman" w:eastAsia="Calibri" w:hAnsi="Times New Roman" w:cs="Times New Roman"/>
      <w:sz w:val="24"/>
      <w:szCs w:val="24"/>
      <w:lang w:val="ro-RO"/>
    </w:rPr>
  </w:style>
  <w:style w:type="character" w:styleId="a7">
    <w:name w:val="annotation reference"/>
    <w:uiPriority w:val="99"/>
    <w:semiHidden/>
    <w:unhideWhenUsed/>
    <w:rsid w:val="00AB28A9"/>
    <w:rPr>
      <w:sz w:val="16"/>
      <w:szCs w:val="16"/>
    </w:rPr>
  </w:style>
  <w:style w:type="paragraph" w:styleId="a8">
    <w:name w:val="annotation text"/>
    <w:basedOn w:val="a"/>
    <w:link w:val="a9"/>
    <w:uiPriority w:val="99"/>
    <w:semiHidden/>
    <w:unhideWhenUsed/>
    <w:rsid w:val="00AB28A9"/>
    <w:pPr>
      <w:spacing w:line="240" w:lineRule="auto"/>
    </w:pPr>
    <w:rPr>
      <w:rFonts w:ascii="Calibri" w:eastAsia="Calibri" w:hAnsi="Calibri" w:cs="Times New Roman"/>
      <w:sz w:val="20"/>
      <w:szCs w:val="20"/>
    </w:rPr>
  </w:style>
  <w:style w:type="character" w:customStyle="1" w:styleId="a9">
    <w:name w:val="Текст примечания Знак"/>
    <w:basedOn w:val="a0"/>
    <w:link w:val="a8"/>
    <w:uiPriority w:val="99"/>
    <w:semiHidden/>
    <w:rsid w:val="00AB28A9"/>
    <w:rPr>
      <w:rFonts w:ascii="Calibri" w:eastAsia="Calibri" w:hAnsi="Calibri" w:cs="Times New Roman"/>
      <w:sz w:val="20"/>
      <w:szCs w:val="20"/>
    </w:rPr>
  </w:style>
  <w:style w:type="character" w:customStyle="1" w:styleId="apple-converted-space">
    <w:name w:val="apple-converted-space"/>
    <w:basedOn w:val="a0"/>
    <w:rsid w:val="006537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2184"/>
    <w:rPr>
      <w:color w:val="0000FF"/>
      <w:u w:val="single"/>
    </w:rPr>
  </w:style>
  <w:style w:type="table" w:styleId="a4">
    <w:name w:val="Table Grid"/>
    <w:basedOn w:val="a1"/>
    <w:uiPriority w:val="59"/>
    <w:rsid w:val="001804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AB28A9"/>
    <w:pPr>
      <w:ind w:left="720"/>
      <w:contextualSpacing/>
    </w:pPr>
    <w:rPr>
      <w:rFonts w:ascii="Calibri" w:eastAsia="Calibri" w:hAnsi="Calibri" w:cs="Times New Roman"/>
      <w:lang w:val="ro-RO"/>
    </w:rPr>
  </w:style>
  <w:style w:type="paragraph" w:styleId="a6">
    <w:name w:val="Normal (Web)"/>
    <w:basedOn w:val="a"/>
    <w:uiPriority w:val="99"/>
    <w:unhideWhenUsed/>
    <w:rsid w:val="00AB28A9"/>
    <w:rPr>
      <w:rFonts w:ascii="Times New Roman" w:eastAsia="Calibri" w:hAnsi="Times New Roman" w:cs="Times New Roman"/>
      <w:sz w:val="24"/>
      <w:szCs w:val="24"/>
      <w:lang w:val="ro-RO"/>
    </w:rPr>
  </w:style>
  <w:style w:type="character" w:styleId="a7">
    <w:name w:val="annotation reference"/>
    <w:uiPriority w:val="99"/>
    <w:semiHidden/>
    <w:unhideWhenUsed/>
    <w:rsid w:val="00AB28A9"/>
    <w:rPr>
      <w:sz w:val="16"/>
      <w:szCs w:val="16"/>
    </w:rPr>
  </w:style>
  <w:style w:type="paragraph" w:styleId="a8">
    <w:name w:val="annotation text"/>
    <w:basedOn w:val="a"/>
    <w:link w:val="a9"/>
    <w:uiPriority w:val="99"/>
    <w:semiHidden/>
    <w:unhideWhenUsed/>
    <w:rsid w:val="00AB28A9"/>
    <w:pPr>
      <w:spacing w:line="240" w:lineRule="auto"/>
    </w:pPr>
    <w:rPr>
      <w:rFonts w:ascii="Calibri" w:eastAsia="Calibri" w:hAnsi="Calibri" w:cs="Times New Roman"/>
      <w:sz w:val="20"/>
      <w:szCs w:val="20"/>
    </w:rPr>
  </w:style>
  <w:style w:type="character" w:customStyle="1" w:styleId="a9">
    <w:name w:val="Текст примечания Знак"/>
    <w:basedOn w:val="a0"/>
    <w:link w:val="a8"/>
    <w:uiPriority w:val="99"/>
    <w:semiHidden/>
    <w:rsid w:val="00AB28A9"/>
    <w:rPr>
      <w:rFonts w:ascii="Calibri" w:eastAsia="Calibri" w:hAnsi="Calibri" w:cs="Times New Roman"/>
      <w:sz w:val="20"/>
      <w:szCs w:val="20"/>
    </w:rPr>
  </w:style>
  <w:style w:type="character" w:customStyle="1" w:styleId="apple-converted-space">
    <w:name w:val="apple-converted-space"/>
    <w:basedOn w:val="a0"/>
    <w:rsid w:val="0065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8028">
      <w:bodyDiv w:val="1"/>
      <w:marLeft w:val="0"/>
      <w:marRight w:val="0"/>
      <w:marTop w:val="0"/>
      <w:marBottom w:val="0"/>
      <w:divBdr>
        <w:top w:val="none" w:sz="0" w:space="0" w:color="auto"/>
        <w:left w:val="none" w:sz="0" w:space="0" w:color="auto"/>
        <w:bottom w:val="none" w:sz="0" w:space="0" w:color="auto"/>
        <w:right w:val="none" w:sz="0" w:space="0" w:color="auto"/>
      </w:divBdr>
    </w:div>
    <w:div w:id="61177820">
      <w:bodyDiv w:val="1"/>
      <w:marLeft w:val="0"/>
      <w:marRight w:val="0"/>
      <w:marTop w:val="0"/>
      <w:marBottom w:val="0"/>
      <w:divBdr>
        <w:top w:val="none" w:sz="0" w:space="0" w:color="auto"/>
        <w:left w:val="none" w:sz="0" w:space="0" w:color="auto"/>
        <w:bottom w:val="none" w:sz="0" w:space="0" w:color="auto"/>
        <w:right w:val="none" w:sz="0" w:space="0" w:color="auto"/>
      </w:divBdr>
    </w:div>
    <w:div w:id="749355228">
      <w:bodyDiv w:val="1"/>
      <w:marLeft w:val="0"/>
      <w:marRight w:val="0"/>
      <w:marTop w:val="0"/>
      <w:marBottom w:val="0"/>
      <w:divBdr>
        <w:top w:val="none" w:sz="0" w:space="0" w:color="auto"/>
        <w:left w:val="none" w:sz="0" w:space="0" w:color="auto"/>
        <w:bottom w:val="none" w:sz="0" w:space="0" w:color="auto"/>
        <w:right w:val="none" w:sz="0" w:space="0" w:color="auto"/>
      </w:divBdr>
    </w:div>
    <w:div w:id="118863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51E2D-5105-442C-AB83-9BAF2602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8532</Words>
  <Characters>48638</Characters>
  <Application>Microsoft Office Word</Application>
  <DocSecurity>0</DocSecurity>
  <Lines>405</Lines>
  <Paragraphs>114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57056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User-42</dc:creator>
  <cp:lastModifiedBy>Iulia Mihalachi</cp:lastModifiedBy>
  <cp:revision>2</cp:revision>
  <cp:lastPrinted>2017-03-27T06:19:00Z</cp:lastPrinted>
  <dcterms:created xsi:type="dcterms:W3CDTF">2017-04-07T12:13:00Z</dcterms:created>
  <dcterms:modified xsi:type="dcterms:W3CDTF">2017-04-07T12:13:00Z</dcterms:modified>
</cp:coreProperties>
</file>