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DCD" w:rsidRPr="00B5761D" w:rsidRDefault="00D02DCD" w:rsidP="00D02DCD">
      <w:pPr>
        <w:spacing w:after="0" w:line="240" w:lineRule="auto"/>
        <w:jc w:val="right"/>
        <w:rPr>
          <w:rFonts w:eastAsia="Times New Roman" w:cs="Times New Roman"/>
          <w:bCs/>
          <w:i/>
          <w:iCs/>
          <w:szCs w:val="28"/>
          <w:lang w:val="ro-RO" w:eastAsia="ru-RU"/>
        </w:rPr>
      </w:pPr>
      <w:bookmarkStart w:id="0" w:name="_GoBack"/>
      <w:bookmarkEnd w:id="0"/>
      <w:r w:rsidRPr="00B5761D">
        <w:rPr>
          <w:rFonts w:eastAsia="Times New Roman" w:cs="Times New Roman"/>
          <w:bCs/>
          <w:i/>
          <w:iCs/>
          <w:szCs w:val="28"/>
          <w:lang w:val="ro-RO" w:eastAsia="ru-RU"/>
        </w:rPr>
        <w:t>Proiect</w:t>
      </w:r>
    </w:p>
    <w:p w:rsidR="00D02DCD" w:rsidRPr="00B5761D" w:rsidRDefault="00D02DCD" w:rsidP="00D02DCD">
      <w:pPr>
        <w:spacing w:after="0" w:line="240" w:lineRule="auto"/>
        <w:jc w:val="right"/>
        <w:rPr>
          <w:rFonts w:eastAsia="Times New Roman" w:cs="Times New Roman"/>
          <w:bCs/>
          <w:i/>
          <w:iCs/>
          <w:szCs w:val="28"/>
          <w:u w:val="single"/>
          <w:lang w:val="ro-RO" w:eastAsia="ru-RU"/>
        </w:rPr>
      </w:pPr>
    </w:p>
    <w:p w:rsidR="00D02DCD" w:rsidRPr="00D02DCD" w:rsidRDefault="00D02DCD" w:rsidP="00D02DCD">
      <w:pPr>
        <w:spacing w:after="0" w:line="240" w:lineRule="auto"/>
        <w:jc w:val="center"/>
        <w:rPr>
          <w:rFonts w:eastAsia="Times New Roman" w:cs="Times New Roman"/>
          <w:b/>
          <w:iCs/>
          <w:szCs w:val="20"/>
          <w:lang w:val="ro-RO" w:eastAsia="ru-RU"/>
        </w:rPr>
      </w:pPr>
      <w:r w:rsidRPr="00D02DCD">
        <w:rPr>
          <w:rFonts w:eastAsia="Times New Roman" w:cs="Times New Roman"/>
          <w:b/>
          <w:iCs/>
          <w:szCs w:val="20"/>
          <w:lang w:val="ro-RO" w:eastAsia="ru-RU"/>
        </w:rPr>
        <w:t>PARLAMENTUL REPUBLICII MOLDOVA</w:t>
      </w:r>
    </w:p>
    <w:p w:rsidR="00D02DCD" w:rsidRPr="00D02DCD" w:rsidRDefault="00D02DCD" w:rsidP="00D02DCD">
      <w:pPr>
        <w:spacing w:after="0" w:line="240" w:lineRule="auto"/>
        <w:jc w:val="center"/>
        <w:rPr>
          <w:rFonts w:eastAsia="Times New Roman" w:cs="Times New Roman"/>
          <w:b/>
          <w:iCs/>
          <w:szCs w:val="20"/>
          <w:lang w:val="ro-RO" w:eastAsia="ru-RU"/>
        </w:rPr>
      </w:pPr>
    </w:p>
    <w:p w:rsidR="00577F0D" w:rsidRPr="00D02DCD" w:rsidRDefault="00D02DCD" w:rsidP="00D02DCD">
      <w:pPr>
        <w:spacing w:after="0" w:line="240" w:lineRule="auto"/>
        <w:jc w:val="center"/>
        <w:rPr>
          <w:rFonts w:eastAsia="Times New Roman" w:cs="Times New Roman"/>
          <w:b/>
          <w:iCs/>
          <w:szCs w:val="20"/>
          <w:lang w:val="ro-RO" w:eastAsia="ru-RU"/>
        </w:rPr>
      </w:pPr>
      <w:r w:rsidRPr="00D02DCD">
        <w:rPr>
          <w:rFonts w:eastAsia="Times New Roman" w:cs="Times New Roman"/>
          <w:b/>
          <w:iCs/>
          <w:szCs w:val="20"/>
          <w:lang w:val="ro-RO" w:eastAsia="ru-RU"/>
        </w:rPr>
        <w:t>L E G E</w:t>
      </w:r>
      <w:r>
        <w:rPr>
          <w:rFonts w:eastAsia="Times New Roman" w:cs="Times New Roman"/>
          <w:b/>
          <w:iCs/>
          <w:szCs w:val="20"/>
          <w:lang w:val="ro-RO" w:eastAsia="ru-RU"/>
        </w:rPr>
        <w:t xml:space="preserve"> </w:t>
      </w:r>
    </w:p>
    <w:p w:rsidR="00D02DCD" w:rsidRDefault="00D02DCD" w:rsidP="00D02DCD">
      <w:pPr>
        <w:spacing w:after="0"/>
        <w:jc w:val="center"/>
      </w:pPr>
      <w:r>
        <w:t>pentru modificarea şi completarea Codului contravenţional</w:t>
      </w:r>
    </w:p>
    <w:p w:rsidR="00D02DCD" w:rsidRDefault="00D02DCD" w:rsidP="0063166B">
      <w:pPr>
        <w:spacing w:after="0"/>
        <w:jc w:val="center"/>
      </w:pPr>
      <w:r>
        <w:t>al Republicii Moldova nr. 218-XVI din 24 octombrie 2008</w:t>
      </w:r>
    </w:p>
    <w:p w:rsidR="00D02DCD" w:rsidRDefault="00D02DCD" w:rsidP="00D02DCD">
      <w:pPr>
        <w:spacing w:after="0"/>
        <w:jc w:val="both"/>
      </w:pPr>
      <w:r w:rsidRPr="00D02DCD">
        <w:t>Parlamentul adoptă prezenta lege organică.</w:t>
      </w:r>
    </w:p>
    <w:p w:rsidR="00D02DCD" w:rsidRPr="00D21EC5" w:rsidRDefault="00D02DCD" w:rsidP="00433DDE">
      <w:pPr>
        <w:spacing w:after="0"/>
        <w:ind w:firstLine="708"/>
        <w:jc w:val="both"/>
      </w:pPr>
      <w:r w:rsidRPr="00D21EC5">
        <w:t>Articol unic.  – Codul contravenţional al Republicii Moldova nr. 218-XVI din 24 octombrie 2008 (Monitorul Oficial al Republicii Moldova, 2009, nr. 3–6, art. 15), cu modificările</w:t>
      </w:r>
      <w:r w:rsidR="004C163C" w:rsidRPr="00D21EC5">
        <w:t xml:space="preserve"> și completările </w:t>
      </w:r>
      <w:r w:rsidRPr="00D21EC5">
        <w:t xml:space="preserve"> ulterioare, se modifică şi se completează după cum urmează:</w:t>
      </w:r>
    </w:p>
    <w:p w:rsidR="009D33BA" w:rsidRPr="00D21EC5" w:rsidRDefault="009D33BA" w:rsidP="00AD0C75">
      <w:pPr>
        <w:spacing w:after="0"/>
        <w:ind w:firstLine="708"/>
        <w:jc w:val="both"/>
        <w:rPr>
          <w:rFonts w:eastAsia="Times New Roman" w:cs="Times New Roman"/>
          <w:color w:val="000000"/>
          <w:szCs w:val="28"/>
          <w:lang w:val="ro-RO"/>
        </w:rPr>
      </w:pPr>
      <w:r w:rsidRPr="00D21EC5">
        <w:rPr>
          <w:rFonts w:eastAsia="Times New Roman" w:cs="Times New Roman"/>
          <w:color w:val="000000"/>
          <w:szCs w:val="28"/>
          <w:lang w:val="ro-RO"/>
        </w:rPr>
        <w:t>1. La articolul 80:</w:t>
      </w:r>
    </w:p>
    <w:p w:rsidR="009D33BA" w:rsidRPr="00D21EC5" w:rsidRDefault="00E362C6" w:rsidP="00434327">
      <w:pPr>
        <w:spacing w:after="0"/>
        <w:ind w:firstLine="708"/>
        <w:jc w:val="both"/>
        <w:rPr>
          <w:rFonts w:eastAsia="Times New Roman" w:cs="Times New Roman"/>
          <w:color w:val="000000"/>
          <w:szCs w:val="28"/>
          <w:lang w:val="ro-RO"/>
        </w:rPr>
      </w:pPr>
      <w:r w:rsidRPr="00D21EC5">
        <w:rPr>
          <w:rFonts w:eastAsia="Times New Roman" w:cs="Times New Roman"/>
          <w:color w:val="000000"/>
          <w:szCs w:val="28"/>
          <w:lang w:val="ro-RO"/>
        </w:rPr>
        <w:t>în tot cuprinsul articolului sintagma ”regulilor și a normelor sanitar-igienice și sanitar – antiepidemice” se substituie cu sintagma „legislației sanitare”;</w:t>
      </w:r>
    </w:p>
    <w:p w:rsidR="00E362C6" w:rsidRPr="00D21EC5" w:rsidRDefault="00E362C6" w:rsidP="00434327">
      <w:pPr>
        <w:spacing w:after="0"/>
        <w:ind w:firstLine="708"/>
        <w:jc w:val="both"/>
        <w:rPr>
          <w:rFonts w:eastAsia="Times New Roman" w:cs="Times New Roman"/>
          <w:color w:val="000000"/>
          <w:szCs w:val="28"/>
          <w:lang w:val="ro-RO"/>
        </w:rPr>
      </w:pPr>
      <w:r w:rsidRPr="00D21EC5">
        <w:rPr>
          <w:rFonts w:eastAsia="Times New Roman" w:cs="Times New Roman"/>
          <w:color w:val="000000"/>
          <w:szCs w:val="28"/>
          <w:lang w:val="ro-RO"/>
        </w:rPr>
        <w:t>în sancțiunea alineatului (1), după cuvintele „persoanei fizice,” se completează cu textul „cu amen</w:t>
      </w:r>
      <w:r w:rsidR="008F55E8" w:rsidRPr="00D21EC5">
        <w:rPr>
          <w:rFonts w:eastAsia="Times New Roman" w:cs="Times New Roman"/>
          <w:color w:val="000000"/>
          <w:szCs w:val="28"/>
          <w:lang w:val="ro-RO"/>
        </w:rPr>
        <w:t xml:space="preserve">dă de la 30 la 50 unități </w:t>
      </w:r>
      <w:r w:rsidR="008F55E8" w:rsidRPr="00BA667B">
        <w:rPr>
          <w:rFonts w:eastAsia="Times New Roman" w:cs="Times New Roman"/>
          <w:color w:val="000000"/>
          <w:szCs w:val="28"/>
          <w:lang w:val="ro-RO"/>
        </w:rPr>
        <w:t>con</w:t>
      </w:r>
      <w:r w:rsidRPr="00BA667B">
        <w:rPr>
          <w:rFonts w:eastAsia="Times New Roman" w:cs="Times New Roman"/>
          <w:color w:val="000000"/>
          <w:szCs w:val="28"/>
          <w:lang w:val="ro-RO"/>
        </w:rPr>
        <w:t>venționale</w:t>
      </w:r>
      <w:r w:rsidRPr="00D21EC5">
        <w:rPr>
          <w:rFonts w:eastAsia="Times New Roman" w:cs="Times New Roman"/>
          <w:color w:val="000000"/>
          <w:szCs w:val="28"/>
          <w:lang w:val="ro-RO"/>
        </w:rPr>
        <w:t xml:space="preserve"> aplicată persoanei cu funcție de răspundere”</w:t>
      </w:r>
    </w:p>
    <w:p w:rsidR="005D3B9A" w:rsidRPr="00D21EC5" w:rsidRDefault="00817AD6" w:rsidP="00910A5F">
      <w:pPr>
        <w:spacing w:after="0"/>
        <w:ind w:firstLine="708"/>
        <w:jc w:val="both"/>
      </w:pPr>
      <w:r w:rsidRPr="00D21EC5">
        <w:t xml:space="preserve">la </w:t>
      </w:r>
      <w:r w:rsidR="005D3B9A" w:rsidRPr="00D21EC5">
        <w:t xml:space="preserve">alineatul (3), cuvintele „legale” se substituie cu cuvintele „sanitare”; </w:t>
      </w:r>
    </w:p>
    <w:p w:rsidR="00FC22C6" w:rsidRPr="00D21EC5" w:rsidRDefault="00FC22C6" w:rsidP="00434327">
      <w:pPr>
        <w:spacing w:after="0"/>
        <w:ind w:firstLine="708"/>
        <w:jc w:val="both"/>
      </w:pPr>
      <w:r w:rsidRPr="00D21EC5">
        <w:t>se completează cu alineatele (6)</w:t>
      </w:r>
      <w:r w:rsidR="00213577" w:rsidRPr="00D21EC5">
        <w:t xml:space="preserve"> </w:t>
      </w:r>
      <w:r w:rsidR="00434327" w:rsidRPr="00D21EC5">
        <w:t>-</w:t>
      </w:r>
      <w:r w:rsidR="00213577" w:rsidRPr="00D21EC5">
        <w:t xml:space="preserve"> </w:t>
      </w:r>
      <w:r w:rsidR="00434327" w:rsidRPr="00D21EC5">
        <w:t>(1</w:t>
      </w:r>
      <w:r w:rsidR="003B0211" w:rsidRPr="00D21EC5">
        <w:t>4</w:t>
      </w:r>
      <w:r w:rsidR="00434327" w:rsidRPr="00D21EC5">
        <w:t>)</w:t>
      </w:r>
      <w:r w:rsidRPr="00D21EC5">
        <w:t xml:space="preserve"> cu următorul cuprins:</w:t>
      </w:r>
    </w:p>
    <w:p w:rsidR="00D34114" w:rsidRPr="00D21EC5" w:rsidRDefault="00817AD6" w:rsidP="00434327">
      <w:pPr>
        <w:spacing w:after="0"/>
        <w:ind w:firstLine="708"/>
        <w:jc w:val="both"/>
        <w:rPr>
          <w:lang w:val="ro-RO"/>
        </w:rPr>
      </w:pPr>
      <w:r w:rsidRPr="00D21EC5">
        <w:t>”</w:t>
      </w:r>
      <w:r w:rsidR="00D34114" w:rsidRPr="00D21EC5">
        <w:t xml:space="preserve">(6) </w:t>
      </w:r>
      <w:r w:rsidR="00D34114" w:rsidRPr="00D21EC5">
        <w:rPr>
          <w:lang w:val="ro-RO"/>
        </w:rPr>
        <w:t xml:space="preserve">Încălcarea legislației sanitare privind mențiunile nutriționale și de sănătate care apar la etichetarea produselor alimentare </w:t>
      </w:r>
    </w:p>
    <w:p w:rsidR="00D37F37" w:rsidRPr="00D21EC5" w:rsidRDefault="00D37F37" w:rsidP="00D37F37">
      <w:pPr>
        <w:spacing w:after="0"/>
        <w:ind w:firstLine="708"/>
        <w:jc w:val="both"/>
      </w:pPr>
      <w:r w:rsidRPr="00D21EC5">
        <w:t xml:space="preserve">se sancționează cu amendă de la </w:t>
      </w:r>
      <w:r w:rsidR="00172048" w:rsidRPr="00D21EC5">
        <w:t>1</w:t>
      </w:r>
      <w:r w:rsidRPr="00D21EC5">
        <w:t>0 la 2</w:t>
      </w:r>
      <w:r w:rsidR="00172048" w:rsidRPr="00D21EC5">
        <w:t>5</w:t>
      </w:r>
      <w:r w:rsidRPr="00D21EC5">
        <w:t xml:space="preserve"> unități convenționale aplicată persoanei fizice, cu amendă de la 50 la 80 de unități convenționale aplicată persoanei cu funcție de răspundere, cu amendă de la 1</w:t>
      </w:r>
      <w:r w:rsidR="00172048" w:rsidRPr="00D21EC5">
        <w:t>5</w:t>
      </w:r>
      <w:r w:rsidRPr="00D21EC5">
        <w:t xml:space="preserve">0 la </w:t>
      </w:r>
      <w:r w:rsidR="00172048" w:rsidRPr="00D21EC5">
        <w:t>20</w:t>
      </w:r>
      <w:r w:rsidRPr="00D21EC5">
        <w:t>0 de unități convenționale aplicată persoanei juridice.”</w:t>
      </w:r>
    </w:p>
    <w:p w:rsidR="003B0211" w:rsidRPr="00D21EC5" w:rsidRDefault="003B0211" w:rsidP="003B0211">
      <w:pPr>
        <w:spacing w:after="0"/>
        <w:ind w:firstLine="708"/>
        <w:jc w:val="both"/>
      </w:pPr>
      <w:r w:rsidRPr="00D21EC5">
        <w:t xml:space="preserve">(7) Activitatea comisiilor medicale pentru efectuarea examenelor medicale profilactice obligatorii ale persoanelor expuse acţiunii factorilor profesionali de risc, fără coordonarea Ministerului Sănătăţii </w:t>
      </w:r>
    </w:p>
    <w:p w:rsidR="003B0211" w:rsidRPr="00D21EC5" w:rsidRDefault="003B0211" w:rsidP="003B0211">
      <w:pPr>
        <w:spacing w:after="0"/>
        <w:ind w:firstLine="708"/>
        <w:jc w:val="both"/>
      </w:pPr>
      <w:r w:rsidRPr="00D21EC5">
        <w:t>se sancţionează cu amendă de la 100 la 150 de unităţi convenţionale aplicată persoanei cu funcţie d</w:t>
      </w:r>
      <w:r w:rsidR="00213577" w:rsidRPr="00D21EC5">
        <w:t>e răspundere, cu amendă de la 150 la 25</w:t>
      </w:r>
      <w:r w:rsidRPr="00D21EC5">
        <w:t>0 de unităţi convenţionale aplicată persoanei juridice.</w:t>
      </w:r>
    </w:p>
    <w:p w:rsidR="00CA065E" w:rsidRPr="00D21EC5" w:rsidRDefault="00CA065E" w:rsidP="00434327">
      <w:pPr>
        <w:spacing w:after="0"/>
        <w:ind w:firstLine="708"/>
        <w:jc w:val="both"/>
      </w:pPr>
      <w:r w:rsidRPr="00D21EC5">
        <w:t>(</w:t>
      </w:r>
      <w:r w:rsidR="003B0211" w:rsidRPr="00D21EC5">
        <w:t>8</w:t>
      </w:r>
      <w:r w:rsidRPr="00D21EC5">
        <w:t xml:space="preserve">) Eschivarea sau refuzul angajatului expus acţiunii factorilor profesionali de risc de la </w:t>
      </w:r>
      <w:r w:rsidR="00817AD6" w:rsidRPr="00D21EC5">
        <w:t>trecerea</w:t>
      </w:r>
      <w:r w:rsidR="00296B45" w:rsidRPr="00D21EC5">
        <w:t xml:space="preserve"> </w:t>
      </w:r>
      <w:r w:rsidRPr="00D21EC5">
        <w:t xml:space="preserve">examenului medical profilactic </w:t>
      </w:r>
    </w:p>
    <w:p w:rsidR="00434327" w:rsidRPr="00D21EC5" w:rsidRDefault="00CA065E" w:rsidP="00434327">
      <w:pPr>
        <w:spacing w:after="0"/>
        <w:ind w:firstLine="708"/>
        <w:jc w:val="both"/>
      </w:pPr>
      <w:r w:rsidRPr="00D21EC5">
        <w:t>se sancţ</w:t>
      </w:r>
      <w:r w:rsidR="00213577" w:rsidRPr="00D21EC5">
        <w:t>ionează cu amendă de la 10 la 20</w:t>
      </w:r>
      <w:r w:rsidRPr="00D21EC5">
        <w:t xml:space="preserve"> de unităţi convenţionale. </w:t>
      </w:r>
    </w:p>
    <w:p w:rsidR="00CA065E" w:rsidRPr="00D21EC5" w:rsidRDefault="00CA065E" w:rsidP="00434327">
      <w:pPr>
        <w:spacing w:after="0"/>
        <w:ind w:firstLine="708"/>
        <w:jc w:val="both"/>
      </w:pPr>
      <w:r w:rsidRPr="00D21EC5">
        <w:t>(</w:t>
      </w:r>
      <w:r w:rsidR="003B0211" w:rsidRPr="00D21EC5">
        <w:t>9</w:t>
      </w:r>
      <w:r w:rsidRPr="00D21EC5">
        <w:t xml:space="preserve">) Eliberarea datelor şi concluziilor eronate despre rezultatele examenului medical profilactic obligatoriu a persoanelor expuse acţiunii factorilor profesionali de risc </w:t>
      </w:r>
    </w:p>
    <w:p w:rsidR="00434327" w:rsidRPr="00D21EC5" w:rsidRDefault="004B357B" w:rsidP="00434327">
      <w:pPr>
        <w:tabs>
          <w:tab w:val="left" w:pos="709"/>
        </w:tabs>
        <w:spacing w:after="0"/>
        <w:jc w:val="both"/>
      </w:pPr>
      <w:r w:rsidRPr="00D21EC5">
        <w:rPr>
          <w:color w:val="FF0000"/>
        </w:rPr>
        <w:tab/>
      </w:r>
      <w:r w:rsidR="00CA065E" w:rsidRPr="00D21EC5">
        <w:t>se sancţ</w:t>
      </w:r>
      <w:r w:rsidR="009369A0" w:rsidRPr="00D21EC5">
        <w:t>ionează cu amendă de la 50 la 8</w:t>
      </w:r>
      <w:r w:rsidR="00CA065E" w:rsidRPr="00D21EC5">
        <w:t>0 de unităţi convenţionale aplicată persoanei cu funcţie de răspundere.</w:t>
      </w:r>
    </w:p>
    <w:p w:rsidR="00CA065E" w:rsidRPr="00D21EC5" w:rsidRDefault="00434327" w:rsidP="00E7530F">
      <w:pPr>
        <w:tabs>
          <w:tab w:val="left" w:pos="709"/>
        </w:tabs>
        <w:spacing w:after="0"/>
        <w:jc w:val="both"/>
      </w:pPr>
      <w:r w:rsidRPr="00D21EC5">
        <w:lastRenderedPageBreak/>
        <w:tab/>
      </w:r>
      <w:r w:rsidR="00CA065E" w:rsidRPr="00D21EC5">
        <w:t>(</w:t>
      </w:r>
      <w:r w:rsidR="003B0211" w:rsidRPr="00D21EC5">
        <w:t>10</w:t>
      </w:r>
      <w:r w:rsidR="00CA065E" w:rsidRPr="00D21EC5">
        <w:t xml:space="preserve">) Angajarea </w:t>
      </w:r>
      <w:r w:rsidR="00296B45" w:rsidRPr="00D21EC5">
        <w:t xml:space="preserve">în serviciu a </w:t>
      </w:r>
      <w:r w:rsidR="00CA065E" w:rsidRPr="00D21EC5">
        <w:t>persoanelor expuse acțiunii factorilor profesionali</w:t>
      </w:r>
      <w:r w:rsidR="00296B45" w:rsidRPr="00D21EC5">
        <w:t xml:space="preserve"> de risc, fără examen</w:t>
      </w:r>
      <w:r w:rsidR="00CA065E" w:rsidRPr="00D21EC5">
        <w:t xml:space="preserve"> medical, admiterea în câm</w:t>
      </w:r>
      <w:r w:rsidR="003B0211" w:rsidRPr="00D21EC5">
        <w:t>pul muncii</w:t>
      </w:r>
      <w:r w:rsidR="00CA065E" w:rsidRPr="00D21EC5">
        <w:t xml:space="preserve"> a </w:t>
      </w:r>
      <w:r w:rsidR="00296B45" w:rsidRPr="00D21EC5">
        <w:t>persoanelor cu contraindicații</w:t>
      </w:r>
      <w:r w:rsidR="00CA065E" w:rsidRPr="00D21EC5">
        <w:t xml:space="preserve"> stabilite în fişa de aptitudine în muncă sau nerespectarea termenilor </w:t>
      </w:r>
      <w:r w:rsidR="00296B45" w:rsidRPr="00D21EC5">
        <w:t xml:space="preserve">legali </w:t>
      </w:r>
      <w:r w:rsidR="00CA065E" w:rsidRPr="00D21EC5">
        <w:t>privind efectuarea examenelor medicale profilactice obligatorii</w:t>
      </w:r>
    </w:p>
    <w:p w:rsidR="00CA065E" w:rsidRPr="00D21EC5" w:rsidRDefault="00CA065E" w:rsidP="00E7530F">
      <w:pPr>
        <w:tabs>
          <w:tab w:val="left" w:pos="709"/>
        </w:tabs>
        <w:spacing w:after="0"/>
        <w:jc w:val="both"/>
      </w:pPr>
      <w:r w:rsidRPr="00D21EC5">
        <w:tab/>
        <w:t>se sancţionează cu amendă de la 150 la 200 de unităţi convenţionale aplicată persoanei cu funcţie de răspundere, cu amendă de la 200 la 250 de unităţi convenţionale aplicată persoanei juridice.</w:t>
      </w:r>
    </w:p>
    <w:p w:rsidR="00BE3115" w:rsidRPr="00D21EC5" w:rsidRDefault="00992722" w:rsidP="00E7530F">
      <w:pPr>
        <w:tabs>
          <w:tab w:val="left" w:pos="709"/>
        </w:tabs>
        <w:spacing w:after="0"/>
        <w:ind w:firstLine="708"/>
        <w:jc w:val="both"/>
      </w:pPr>
      <w:r w:rsidRPr="00D21EC5">
        <w:t>(1</w:t>
      </w:r>
      <w:r w:rsidR="003B0211" w:rsidRPr="00D21EC5">
        <w:t>1</w:t>
      </w:r>
      <w:r w:rsidRPr="00D21EC5">
        <w:t>) Desfășurarea activi</w:t>
      </w:r>
      <w:r w:rsidR="009369A0" w:rsidRPr="00D21EC5">
        <w:t>tăţilor nucleare şi radiologice</w:t>
      </w:r>
      <w:r w:rsidRPr="00D21EC5">
        <w:t xml:space="preserve"> fără determinarea dozelor de expunere la radiații ionizante a personalului aflat în sfera de acțiune a radiațiilor ionizante </w:t>
      </w:r>
    </w:p>
    <w:p w:rsidR="00CA065E" w:rsidRPr="00D21EC5" w:rsidRDefault="00992722" w:rsidP="00E7530F">
      <w:pPr>
        <w:tabs>
          <w:tab w:val="left" w:pos="709"/>
        </w:tabs>
        <w:spacing w:after="0"/>
        <w:ind w:firstLine="708"/>
        <w:jc w:val="both"/>
      </w:pPr>
      <w:r w:rsidRPr="00D21EC5">
        <w:t>se sancţionează cu amendă de la 20 la 50 de unităţi convenţionale aplicată persoanei cu funcţie de răspundere, cu amendă de la 80 la 150 de unităţi convenţionale aplicată persoanei juridice</w:t>
      </w:r>
      <w:r w:rsidR="00F03B09" w:rsidRPr="00D21EC5">
        <w:t>.</w:t>
      </w:r>
    </w:p>
    <w:p w:rsidR="00EF37A7" w:rsidRPr="00D21EC5" w:rsidRDefault="008F055B" w:rsidP="00EF37A7">
      <w:pPr>
        <w:tabs>
          <w:tab w:val="left" w:pos="709"/>
        </w:tabs>
        <w:spacing w:after="0"/>
        <w:ind w:firstLine="708"/>
        <w:jc w:val="both"/>
        <w:rPr>
          <w:rFonts w:eastAsia="Times New Roman" w:cs="Times New Roman"/>
          <w:color w:val="FF0000"/>
          <w:szCs w:val="28"/>
          <w:lang w:val="ro-RO"/>
        </w:rPr>
      </w:pPr>
      <w:r w:rsidRPr="00D21EC5">
        <w:rPr>
          <w:rFonts w:eastAsia="Times New Roman" w:cs="Times New Roman"/>
          <w:szCs w:val="28"/>
          <w:lang w:val="ro-RO"/>
        </w:rPr>
        <w:t>(1</w:t>
      </w:r>
      <w:r w:rsidR="003B0211" w:rsidRPr="00D21EC5">
        <w:rPr>
          <w:rFonts w:eastAsia="Times New Roman" w:cs="Times New Roman"/>
          <w:szCs w:val="28"/>
          <w:lang w:val="ro-RO"/>
        </w:rPr>
        <w:t>2</w:t>
      </w:r>
      <w:r w:rsidRPr="00D21EC5">
        <w:rPr>
          <w:rFonts w:eastAsia="Times New Roman" w:cs="Times New Roman"/>
          <w:szCs w:val="28"/>
          <w:lang w:val="ro-RO"/>
        </w:rPr>
        <w:t xml:space="preserve">) </w:t>
      </w:r>
      <w:r w:rsidR="00EF37A7" w:rsidRPr="00D21EC5">
        <w:rPr>
          <w:rFonts w:eastAsia="Times New Roman" w:cs="Times New Roman"/>
          <w:szCs w:val="28"/>
          <w:lang w:val="ro-RO"/>
        </w:rPr>
        <w:t xml:space="preserve">Nerespectarea cerinţelor de protecţie  a lucrătorilor împotriva riscurilor pentru sănătatea şi securitatea lor, care provin sau pot proveni din efectele agenţilor chimici prezenţi la locul de muncă ori ca rezultat al oricărei activităţi profesionale care implică agenţi chimici </w:t>
      </w:r>
    </w:p>
    <w:p w:rsidR="009350D2" w:rsidRPr="00D21EC5" w:rsidRDefault="00EF37A7" w:rsidP="00EF37A7">
      <w:pPr>
        <w:tabs>
          <w:tab w:val="left" w:pos="709"/>
        </w:tabs>
        <w:spacing w:after="0"/>
        <w:ind w:firstLine="708"/>
        <w:jc w:val="both"/>
        <w:rPr>
          <w:i/>
          <w:strike/>
        </w:rPr>
      </w:pPr>
      <w:r w:rsidRPr="00D21EC5">
        <w:rPr>
          <w:rFonts w:eastAsia="Times New Roman" w:cs="Times New Roman"/>
          <w:szCs w:val="28"/>
          <w:lang w:val="ro-RO"/>
        </w:rPr>
        <w:t>se sancţionează cu amendă de la 50 la 100 de unităţi convenţionale aplicată persoanei cu funcţie de răsp</w:t>
      </w:r>
      <w:r w:rsidR="009369A0" w:rsidRPr="00D21EC5">
        <w:rPr>
          <w:rFonts w:eastAsia="Times New Roman" w:cs="Times New Roman"/>
          <w:szCs w:val="28"/>
          <w:lang w:val="ro-RO"/>
        </w:rPr>
        <w:t>undere, cu amendă de la 200 la 3</w:t>
      </w:r>
      <w:r w:rsidRPr="00D21EC5">
        <w:rPr>
          <w:rFonts w:eastAsia="Times New Roman" w:cs="Times New Roman"/>
          <w:szCs w:val="28"/>
          <w:lang w:val="ro-RO"/>
        </w:rPr>
        <w:t>00 de unităţi convenţionale aplicată persoanei juridice.</w:t>
      </w:r>
    </w:p>
    <w:p w:rsidR="00FA6C1B" w:rsidRPr="00D21EC5" w:rsidRDefault="00434327" w:rsidP="00E7530F">
      <w:pPr>
        <w:tabs>
          <w:tab w:val="left" w:pos="0"/>
          <w:tab w:val="left" w:pos="709"/>
          <w:tab w:val="left" w:pos="851"/>
          <w:tab w:val="left" w:pos="993"/>
        </w:tabs>
        <w:spacing w:after="0"/>
        <w:jc w:val="both"/>
      </w:pPr>
      <w:r w:rsidRPr="00D21EC5">
        <w:tab/>
      </w:r>
      <w:r w:rsidR="00385B4D" w:rsidRPr="00D21EC5">
        <w:t>(1</w:t>
      </w:r>
      <w:r w:rsidR="003B0211" w:rsidRPr="00D21EC5">
        <w:t>3</w:t>
      </w:r>
      <w:r w:rsidR="00385B4D" w:rsidRPr="00D21EC5">
        <w:t xml:space="preserve">) Împiedicarea </w:t>
      </w:r>
      <w:r w:rsidR="00AD348C" w:rsidRPr="00D21EC5">
        <w:t xml:space="preserve">desfășurării </w:t>
      </w:r>
      <w:r w:rsidR="00385B4D" w:rsidRPr="00D21EC5">
        <w:t xml:space="preserve">activităţii legitime a personalului autorizat cu drept de control în sănătatea publică prin neadmiterea lor la efectuarea controlului iniţiat în limitele legii, prin împiedicarea accesului în încăperi sau pe teritoriul pasibil controlului, prin neprezentarea, în cadrul controlului, a documentelor/ informaţiei solicitate care </w:t>
      </w:r>
      <w:r w:rsidR="00B5761D" w:rsidRPr="00D21EC5">
        <w:t>sânt</w:t>
      </w:r>
      <w:r w:rsidR="00385B4D" w:rsidRPr="00D21EC5">
        <w:t xml:space="preserve"> obiectul controlului, prin </w:t>
      </w:r>
      <w:r w:rsidR="00AD348C" w:rsidRPr="00D21EC5">
        <w:t>prezentarea informaţiei eronate</w:t>
      </w:r>
      <w:r w:rsidR="00FA6C1B" w:rsidRPr="00D21EC5">
        <w:t xml:space="preserve"> </w:t>
      </w:r>
      <w:r w:rsidR="00AD348C" w:rsidRPr="00D21EC5">
        <w:t>sau</w:t>
      </w:r>
      <w:r w:rsidR="00FA6C1B" w:rsidRPr="00D21EC5">
        <w:t xml:space="preserve"> </w:t>
      </w:r>
      <w:r w:rsidR="00385B4D" w:rsidRPr="00D21EC5">
        <w:t>incomplete</w:t>
      </w:r>
    </w:p>
    <w:p w:rsidR="00BB00E9" w:rsidRPr="00D21EC5" w:rsidRDefault="00FA6C1B" w:rsidP="00995D62">
      <w:pPr>
        <w:tabs>
          <w:tab w:val="left" w:pos="0"/>
          <w:tab w:val="left" w:pos="709"/>
          <w:tab w:val="left" w:pos="851"/>
          <w:tab w:val="left" w:pos="993"/>
        </w:tabs>
        <w:spacing w:after="0"/>
        <w:jc w:val="both"/>
        <w:rPr>
          <w:color w:val="000000"/>
        </w:rPr>
      </w:pPr>
      <w:r w:rsidRPr="00D21EC5">
        <w:tab/>
      </w:r>
      <w:r w:rsidR="00385B4D" w:rsidRPr="00D21EC5">
        <w:rPr>
          <w:color w:val="000000"/>
        </w:rPr>
        <w:t>s</w:t>
      </w:r>
      <w:r w:rsidR="009369A0" w:rsidRPr="00D21EC5">
        <w:rPr>
          <w:color w:val="000000"/>
        </w:rPr>
        <w:t>e sancţionează cu amendă de la 10 la 25</w:t>
      </w:r>
      <w:r w:rsidR="00385B4D" w:rsidRPr="00D21EC5">
        <w:rPr>
          <w:color w:val="000000"/>
        </w:rPr>
        <w:t xml:space="preserve"> de unităţi convenţionale aplicată persoanei fizice, cu amendă d</w:t>
      </w:r>
      <w:r w:rsidR="009369A0" w:rsidRPr="00D21EC5">
        <w:rPr>
          <w:color w:val="000000"/>
        </w:rPr>
        <w:t>e la 100 la 2</w:t>
      </w:r>
      <w:r w:rsidR="00385B4D" w:rsidRPr="00D21EC5">
        <w:rPr>
          <w:color w:val="000000"/>
        </w:rPr>
        <w:t>00 de unităţi convenţionale aplicată persoanei cu funcţie de răspundere.</w:t>
      </w:r>
    </w:p>
    <w:p w:rsidR="00972747" w:rsidRPr="00D21EC5" w:rsidRDefault="00995D62" w:rsidP="00BB00E9">
      <w:pPr>
        <w:tabs>
          <w:tab w:val="left" w:pos="0"/>
          <w:tab w:val="left" w:pos="709"/>
          <w:tab w:val="left" w:pos="851"/>
          <w:tab w:val="left" w:pos="993"/>
        </w:tabs>
        <w:spacing w:after="0"/>
        <w:jc w:val="both"/>
      </w:pPr>
      <w:r w:rsidRPr="00D21EC5">
        <w:t xml:space="preserve"> </w:t>
      </w:r>
      <w:r w:rsidR="00BB00E9" w:rsidRPr="00D21EC5">
        <w:t xml:space="preserve">        (1</w:t>
      </w:r>
      <w:r w:rsidR="003B0211" w:rsidRPr="00D21EC5">
        <w:t>4</w:t>
      </w:r>
      <w:r w:rsidR="00BB00E9" w:rsidRPr="00D21EC5">
        <w:t>)</w:t>
      </w:r>
      <w:r w:rsidR="00972747" w:rsidRPr="00D21EC5">
        <w:t xml:space="preserve"> Neutilizarea în timpul muncii</w:t>
      </w:r>
      <w:r w:rsidR="00BB00E9" w:rsidRPr="00D21EC5">
        <w:t xml:space="preserve"> </w:t>
      </w:r>
      <w:r w:rsidR="00972747" w:rsidRPr="00D21EC5">
        <w:t xml:space="preserve">de către angajatului </w:t>
      </w:r>
      <w:r w:rsidR="00BB00E9" w:rsidRPr="00D21EC5">
        <w:t>a echipament</w:t>
      </w:r>
      <w:r w:rsidR="00972747" w:rsidRPr="00D21EC5">
        <w:t>ului</w:t>
      </w:r>
      <w:r w:rsidR="00BB00E9" w:rsidRPr="00D21EC5">
        <w:t xml:space="preserve"> </w:t>
      </w:r>
      <w:r w:rsidR="00972747" w:rsidRPr="00D21EC5">
        <w:t xml:space="preserve">individual </w:t>
      </w:r>
      <w:r w:rsidR="00BB00E9" w:rsidRPr="00D21EC5">
        <w:t>de protecție</w:t>
      </w:r>
    </w:p>
    <w:p w:rsidR="00385B4D" w:rsidRPr="00D21EC5" w:rsidRDefault="00BB00E9" w:rsidP="00BB00E9">
      <w:pPr>
        <w:tabs>
          <w:tab w:val="left" w:pos="0"/>
          <w:tab w:val="left" w:pos="709"/>
          <w:tab w:val="left" w:pos="851"/>
          <w:tab w:val="left" w:pos="993"/>
        </w:tabs>
        <w:spacing w:after="0"/>
        <w:jc w:val="both"/>
      </w:pPr>
      <w:r w:rsidRPr="00D21EC5">
        <w:tab/>
        <w:t>se sancţ</w:t>
      </w:r>
      <w:r w:rsidR="009369A0" w:rsidRPr="00D21EC5">
        <w:t>ionează cu amendă de la 50 la 8</w:t>
      </w:r>
      <w:r w:rsidRPr="00D21EC5">
        <w:t xml:space="preserve">0 de unităţi convenţionale aplicată persoanei cu funcţie </w:t>
      </w:r>
      <w:r w:rsidR="009369A0" w:rsidRPr="00D21EC5">
        <w:t>de răspundere, cu amendă de la 100 la 2</w:t>
      </w:r>
      <w:r w:rsidRPr="00D21EC5">
        <w:t>00 de unităţi convenţionale aplicată persoanei juridice.</w:t>
      </w:r>
      <w:r w:rsidR="00817AD6" w:rsidRPr="00D21EC5">
        <w:t>”</w:t>
      </w:r>
    </w:p>
    <w:p w:rsidR="00817AD6" w:rsidRPr="00D21EC5" w:rsidRDefault="00817AD6" w:rsidP="00BB00E9">
      <w:pPr>
        <w:tabs>
          <w:tab w:val="left" w:pos="0"/>
          <w:tab w:val="left" w:pos="709"/>
          <w:tab w:val="left" w:pos="851"/>
          <w:tab w:val="left" w:pos="993"/>
        </w:tabs>
        <w:spacing w:after="0"/>
        <w:jc w:val="both"/>
      </w:pPr>
      <w:r w:rsidRPr="00D21EC5">
        <w:t xml:space="preserve">       2. În sancțiunea articolului 80</w:t>
      </w:r>
      <w:r w:rsidRPr="00D21EC5">
        <w:rPr>
          <w:vertAlign w:val="superscript"/>
        </w:rPr>
        <w:t>1</w:t>
      </w:r>
      <w:r w:rsidRPr="00D21EC5">
        <w:t>, după cuvintele „persoanei fizice,” se completează cu textul „cu amendă de la 60 la 90 unități convenționale aplicată persoanei cu funcție de răspundere”</w:t>
      </w:r>
    </w:p>
    <w:p w:rsidR="007039D5" w:rsidRPr="00D21EC5" w:rsidRDefault="00647774" w:rsidP="00385B4D">
      <w:pPr>
        <w:spacing w:after="0"/>
        <w:jc w:val="both"/>
        <w:rPr>
          <w:color w:val="000000"/>
        </w:rPr>
      </w:pPr>
      <w:r w:rsidRPr="00D21EC5">
        <w:t xml:space="preserve">       </w:t>
      </w:r>
      <w:r w:rsidR="00817AD6" w:rsidRPr="00D21EC5">
        <w:t>3</w:t>
      </w:r>
      <w:r w:rsidR="00E71E0C" w:rsidRPr="00D21EC5">
        <w:t xml:space="preserve">. </w:t>
      </w:r>
      <w:r w:rsidR="00E71E0C" w:rsidRPr="00D21EC5">
        <w:rPr>
          <w:color w:val="000000"/>
        </w:rPr>
        <w:t>La articolul 91</w:t>
      </w:r>
      <w:r w:rsidR="00E71E0C" w:rsidRPr="00D21EC5">
        <w:rPr>
          <w:color w:val="000000"/>
          <w:vertAlign w:val="superscript"/>
        </w:rPr>
        <w:t>1</w:t>
      </w:r>
      <w:r w:rsidR="00E71E0C" w:rsidRPr="00D21EC5">
        <w:rPr>
          <w:color w:val="000000"/>
        </w:rPr>
        <w:t>, alineatul (8) se abrogă.</w:t>
      </w:r>
    </w:p>
    <w:p w:rsidR="006E3343" w:rsidRPr="00D21EC5" w:rsidRDefault="006E3343" w:rsidP="00385B4D">
      <w:pPr>
        <w:spacing w:after="0"/>
        <w:jc w:val="both"/>
        <w:rPr>
          <w:color w:val="000000"/>
          <w:lang w:val="ro-RO"/>
        </w:rPr>
      </w:pPr>
      <w:r w:rsidRPr="00D21EC5">
        <w:rPr>
          <w:color w:val="000000"/>
        </w:rPr>
        <w:lastRenderedPageBreak/>
        <w:t xml:space="preserve">       </w:t>
      </w:r>
      <w:r w:rsidR="00E03354" w:rsidRPr="00D21EC5">
        <w:rPr>
          <w:color w:val="000000"/>
        </w:rPr>
        <w:t>4</w:t>
      </w:r>
      <w:r w:rsidR="00800CA6" w:rsidRPr="00D21EC5">
        <w:rPr>
          <w:color w:val="000000"/>
        </w:rPr>
        <w:t>. La articolul 15</w:t>
      </w:r>
      <w:r w:rsidRPr="00D21EC5">
        <w:rPr>
          <w:color w:val="000000"/>
        </w:rPr>
        <w:t>5</w:t>
      </w:r>
      <w:r w:rsidR="00800CA6" w:rsidRPr="00D21EC5">
        <w:rPr>
          <w:color w:val="000000"/>
        </w:rPr>
        <w:t>,</w:t>
      </w:r>
      <w:r w:rsidRPr="00D21EC5">
        <w:rPr>
          <w:color w:val="000000"/>
        </w:rPr>
        <w:t xml:space="preserve"> </w:t>
      </w:r>
      <w:r w:rsidR="00E03354" w:rsidRPr="00D21EC5">
        <w:rPr>
          <w:color w:val="000000"/>
        </w:rPr>
        <w:t xml:space="preserve">în tot conținutul articolului </w:t>
      </w:r>
      <w:r w:rsidRPr="00D21EC5">
        <w:rPr>
          <w:color w:val="000000"/>
        </w:rPr>
        <w:t>dup</w:t>
      </w:r>
      <w:r w:rsidRPr="00D21EC5">
        <w:rPr>
          <w:color w:val="000000"/>
          <w:lang w:val="ro-RO"/>
        </w:rPr>
        <w:t xml:space="preserve">ă </w:t>
      </w:r>
      <w:r w:rsidR="00E03354" w:rsidRPr="00D21EC5">
        <w:rPr>
          <w:color w:val="000000"/>
          <w:lang w:val="ro-RO"/>
        </w:rPr>
        <w:t>cuvântul ”utilizare” s</w:t>
      </w:r>
      <w:r w:rsidR="00800CA6" w:rsidRPr="00D21EC5">
        <w:rPr>
          <w:color w:val="000000"/>
          <w:lang w:val="ro-RO"/>
        </w:rPr>
        <w:t xml:space="preserve">e </w:t>
      </w:r>
      <w:r w:rsidR="00E03354" w:rsidRPr="00D21EC5">
        <w:rPr>
          <w:color w:val="000000"/>
          <w:lang w:val="ro-RO"/>
        </w:rPr>
        <w:t>completează cu cuvântul ”comercializare”</w:t>
      </w:r>
      <w:r w:rsidR="00800CA6" w:rsidRPr="00D21EC5">
        <w:rPr>
          <w:color w:val="000000"/>
          <w:lang w:val="ro-RO"/>
        </w:rPr>
        <w:t>.</w:t>
      </w:r>
    </w:p>
    <w:p w:rsidR="00E71E0C" w:rsidRPr="00D21EC5" w:rsidRDefault="00E03354" w:rsidP="00E03354">
      <w:pPr>
        <w:spacing w:after="0"/>
        <w:jc w:val="both"/>
      </w:pPr>
      <w:r w:rsidRPr="00D21EC5">
        <w:rPr>
          <w:color w:val="000000"/>
        </w:rPr>
        <w:t xml:space="preserve">        5</w:t>
      </w:r>
      <w:r w:rsidR="007039D5" w:rsidRPr="00D21EC5">
        <w:rPr>
          <w:color w:val="000000"/>
        </w:rPr>
        <w:t>.</w:t>
      </w:r>
      <w:r w:rsidR="00647774" w:rsidRPr="00D21EC5">
        <w:rPr>
          <w:color w:val="000000"/>
        </w:rPr>
        <w:t xml:space="preserve"> </w:t>
      </w:r>
      <w:r w:rsidR="007039D5" w:rsidRPr="00D21EC5">
        <w:rPr>
          <w:color w:val="000000"/>
        </w:rPr>
        <w:t>La articolul 364</w:t>
      </w:r>
      <w:r w:rsidR="007039D5" w:rsidRPr="00D21EC5">
        <w:rPr>
          <w:color w:val="000000"/>
          <w:vertAlign w:val="superscript"/>
        </w:rPr>
        <w:t>1</w:t>
      </w:r>
      <w:r w:rsidR="007039D5" w:rsidRPr="00D21EC5">
        <w:rPr>
          <w:color w:val="000000"/>
        </w:rPr>
        <w:t xml:space="preserve">, alineatul (1), după cuvintele „și promovarea” se introduce cuvântul „ ,inclusiv”. </w:t>
      </w:r>
    </w:p>
    <w:p w:rsidR="009C5BC5" w:rsidRPr="00D21EC5" w:rsidRDefault="007039D5" w:rsidP="00C70880">
      <w:pPr>
        <w:spacing w:after="0"/>
        <w:ind w:firstLine="708"/>
        <w:jc w:val="both"/>
      </w:pPr>
      <w:r w:rsidRPr="00D21EC5">
        <w:t>4</w:t>
      </w:r>
      <w:r w:rsidR="009C5BC5" w:rsidRPr="00D21EC5">
        <w:t>. La articolul 400 alineatul (1)</w:t>
      </w:r>
      <w:r w:rsidR="00C70880" w:rsidRPr="00D21EC5">
        <w:t>,</w:t>
      </w:r>
      <w:r w:rsidR="00A9075A" w:rsidRPr="00D21EC5">
        <w:t xml:space="preserve"> cifra „80</w:t>
      </w:r>
      <w:r w:rsidR="00A9075A" w:rsidRPr="00D21EC5">
        <w:rPr>
          <w:vertAlign w:val="superscript"/>
        </w:rPr>
        <w:t>1</w:t>
      </w:r>
      <w:r w:rsidR="000468E3" w:rsidRPr="00D21EC5">
        <w:t>”</w:t>
      </w:r>
      <w:r w:rsidR="00A9075A" w:rsidRPr="00D21EC5">
        <w:rPr>
          <w:vertAlign w:val="superscript"/>
        </w:rPr>
        <w:t xml:space="preserve"> </w:t>
      </w:r>
      <w:r w:rsidR="00A9075A" w:rsidRPr="00D21EC5">
        <w:t xml:space="preserve"> se exclude, </w:t>
      </w:r>
      <w:r w:rsidR="000468E3" w:rsidRPr="00D21EC5">
        <w:t>iar textul „ , art.91</w:t>
      </w:r>
      <w:r w:rsidR="000468E3" w:rsidRPr="00D21EC5">
        <w:rPr>
          <w:vertAlign w:val="superscript"/>
        </w:rPr>
        <w:t>1</w:t>
      </w:r>
      <w:r w:rsidR="000468E3" w:rsidRPr="00D21EC5">
        <w:t xml:space="preserve"> alin. (16) și</w:t>
      </w:r>
      <w:r w:rsidR="00647774" w:rsidRPr="00D21EC5">
        <w:t xml:space="preserve"> (18)” se substituie cu textul </w:t>
      </w:r>
      <w:r w:rsidR="000468E3" w:rsidRPr="00D21EC5">
        <w:t>„ , art.91</w:t>
      </w:r>
      <w:r w:rsidR="000468E3" w:rsidRPr="00D21EC5">
        <w:rPr>
          <w:vertAlign w:val="superscript"/>
        </w:rPr>
        <w:t>1</w:t>
      </w:r>
      <w:r w:rsidR="000468E3" w:rsidRPr="00D21EC5">
        <w:t xml:space="preserve"> alin. (16), (17) și (18)”.</w:t>
      </w:r>
    </w:p>
    <w:p w:rsidR="00E71E0C" w:rsidRPr="00D21EC5" w:rsidRDefault="007039D5" w:rsidP="00C70880">
      <w:pPr>
        <w:spacing w:after="0"/>
        <w:ind w:firstLine="708"/>
        <w:jc w:val="both"/>
      </w:pPr>
      <w:r w:rsidRPr="00D21EC5">
        <w:t>5</w:t>
      </w:r>
      <w:r w:rsidR="000468E3" w:rsidRPr="00D21EC5">
        <w:t>. La articolul 406</w:t>
      </w:r>
      <w:r w:rsidR="00E71E0C" w:rsidRPr="00D21EC5">
        <w:t>:</w:t>
      </w:r>
    </w:p>
    <w:p w:rsidR="00B10455" w:rsidRPr="00D21EC5" w:rsidRDefault="000468E3" w:rsidP="0063166B">
      <w:pPr>
        <w:spacing w:after="0"/>
        <w:ind w:firstLine="708"/>
        <w:jc w:val="both"/>
      </w:pPr>
      <w:r w:rsidRPr="00D21EC5">
        <w:t>alineatul (1), după cifra „80” se introduce cifra „, 80</w:t>
      </w:r>
      <w:r w:rsidRPr="00D21EC5">
        <w:rPr>
          <w:vertAlign w:val="superscript"/>
        </w:rPr>
        <w:t>1</w:t>
      </w:r>
      <w:r w:rsidRPr="00D21EC5">
        <w:t xml:space="preserve">”, iar </w:t>
      </w:r>
      <w:r w:rsidR="002A6172" w:rsidRPr="00D21EC5">
        <w:t>cuvintele</w:t>
      </w:r>
      <w:r w:rsidR="0061134D" w:rsidRPr="00D21EC5">
        <w:t xml:space="preserve"> </w:t>
      </w:r>
      <w:r w:rsidR="002A6172" w:rsidRPr="00D21EC5">
        <w:t xml:space="preserve">„ </w:t>
      </w:r>
      <w:r w:rsidRPr="00D21EC5">
        <w:t xml:space="preserve">și (17)” se </w:t>
      </w:r>
      <w:r w:rsidR="002A6172" w:rsidRPr="00D21EC5">
        <w:t>exclud.</w:t>
      </w:r>
    </w:p>
    <w:p w:rsidR="0063166B" w:rsidRPr="00D21EC5" w:rsidRDefault="0063166B" w:rsidP="0063166B">
      <w:pPr>
        <w:spacing w:after="0"/>
        <w:ind w:firstLine="708"/>
        <w:jc w:val="both"/>
      </w:pPr>
    </w:p>
    <w:p w:rsidR="00800CA6" w:rsidRPr="00D21EC5" w:rsidRDefault="00800CA6" w:rsidP="0063166B">
      <w:pPr>
        <w:spacing w:after="0"/>
        <w:ind w:firstLine="708"/>
        <w:jc w:val="both"/>
      </w:pPr>
    </w:p>
    <w:p w:rsidR="00800CA6" w:rsidRPr="00D21EC5" w:rsidRDefault="00800CA6" w:rsidP="0063166B">
      <w:pPr>
        <w:spacing w:after="0"/>
        <w:ind w:firstLine="708"/>
        <w:jc w:val="both"/>
      </w:pPr>
    </w:p>
    <w:p w:rsidR="00800CA6" w:rsidRPr="00D21EC5" w:rsidRDefault="00800CA6" w:rsidP="0063166B">
      <w:pPr>
        <w:spacing w:after="0"/>
        <w:ind w:firstLine="708"/>
        <w:jc w:val="both"/>
      </w:pPr>
    </w:p>
    <w:p w:rsidR="00800CA6" w:rsidRPr="00D21EC5" w:rsidRDefault="00800CA6" w:rsidP="0063166B">
      <w:pPr>
        <w:spacing w:after="0"/>
        <w:ind w:firstLine="708"/>
        <w:jc w:val="both"/>
      </w:pPr>
    </w:p>
    <w:p w:rsidR="000C6607" w:rsidRPr="00D21EC5" w:rsidRDefault="000C6607" w:rsidP="00C03F60">
      <w:pPr>
        <w:tabs>
          <w:tab w:val="left" w:pos="0"/>
          <w:tab w:val="left" w:pos="851"/>
          <w:tab w:val="left" w:pos="993"/>
        </w:tabs>
        <w:spacing w:after="0"/>
        <w:jc w:val="both"/>
      </w:pPr>
    </w:p>
    <w:p w:rsidR="00B10455" w:rsidRPr="00B10455" w:rsidRDefault="00B10455" w:rsidP="00C03F60">
      <w:pPr>
        <w:tabs>
          <w:tab w:val="left" w:pos="0"/>
          <w:tab w:val="left" w:pos="851"/>
          <w:tab w:val="left" w:pos="993"/>
        </w:tabs>
        <w:spacing w:after="0"/>
        <w:jc w:val="both"/>
      </w:pPr>
      <w:r w:rsidRPr="00D21EC5">
        <w:t xml:space="preserve"> PREŞEDINTELE PARLAMEN</w:t>
      </w:r>
      <w:r w:rsidRPr="00B10455">
        <w:t xml:space="preserve">TULUI    </w:t>
      </w:r>
      <w:r w:rsidR="000C6607">
        <w:t xml:space="preserve">  </w:t>
      </w:r>
      <w:r w:rsidRPr="00B10455">
        <w:t xml:space="preserve">       </w:t>
      </w:r>
      <w:r>
        <w:t xml:space="preserve">                     ADRIAN CANDU</w:t>
      </w:r>
    </w:p>
    <w:sectPr w:rsidR="00B10455" w:rsidRPr="00B10455" w:rsidSect="00160B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63454"/>
    <w:multiLevelType w:val="hybridMultilevel"/>
    <w:tmpl w:val="DEC84AAA"/>
    <w:lvl w:ilvl="0" w:tplc="7792BD1E">
      <w:start w:val="751"/>
      <w:numFmt w:val="bullet"/>
      <w:lvlText w:val="-"/>
      <w:lvlJc w:val="left"/>
      <w:pPr>
        <w:ind w:left="92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740065BE"/>
    <w:multiLevelType w:val="hybridMultilevel"/>
    <w:tmpl w:val="95F8B3E6"/>
    <w:lvl w:ilvl="0" w:tplc="7A6870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FB"/>
    <w:rsid w:val="00014941"/>
    <w:rsid w:val="00022620"/>
    <w:rsid w:val="00022712"/>
    <w:rsid w:val="00036B67"/>
    <w:rsid w:val="00037970"/>
    <w:rsid w:val="000468E3"/>
    <w:rsid w:val="000C4CDA"/>
    <w:rsid w:val="000C6607"/>
    <w:rsid w:val="000D7607"/>
    <w:rsid w:val="000E034B"/>
    <w:rsid w:val="000E2F8D"/>
    <w:rsid w:val="00107E96"/>
    <w:rsid w:val="00114227"/>
    <w:rsid w:val="001212FF"/>
    <w:rsid w:val="00160BBF"/>
    <w:rsid w:val="00165DD6"/>
    <w:rsid w:val="00172048"/>
    <w:rsid w:val="001C1912"/>
    <w:rsid w:val="001E6F86"/>
    <w:rsid w:val="00207BD0"/>
    <w:rsid w:val="00213577"/>
    <w:rsid w:val="002223B7"/>
    <w:rsid w:val="002251FC"/>
    <w:rsid w:val="00296B45"/>
    <w:rsid w:val="00297EC4"/>
    <w:rsid w:val="002A6172"/>
    <w:rsid w:val="002E37BF"/>
    <w:rsid w:val="002E7E57"/>
    <w:rsid w:val="003229FB"/>
    <w:rsid w:val="003327B3"/>
    <w:rsid w:val="00376C2B"/>
    <w:rsid w:val="00385B4D"/>
    <w:rsid w:val="003B0211"/>
    <w:rsid w:val="003F0A29"/>
    <w:rsid w:val="00433DDE"/>
    <w:rsid w:val="00434327"/>
    <w:rsid w:val="00445BCE"/>
    <w:rsid w:val="00451118"/>
    <w:rsid w:val="00456D0A"/>
    <w:rsid w:val="004A3DF6"/>
    <w:rsid w:val="004B357B"/>
    <w:rsid w:val="004C163C"/>
    <w:rsid w:val="004D45B1"/>
    <w:rsid w:val="004D565C"/>
    <w:rsid w:val="004E066A"/>
    <w:rsid w:val="00540FA1"/>
    <w:rsid w:val="00543688"/>
    <w:rsid w:val="005650C0"/>
    <w:rsid w:val="005820B9"/>
    <w:rsid w:val="00586F59"/>
    <w:rsid w:val="005A2DE9"/>
    <w:rsid w:val="005D3B9A"/>
    <w:rsid w:val="005E7E89"/>
    <w:rsid w:val="0061134D"/>
    <w:rsid w:val="00624A62"/>
    <w:rsid w:val="0063166B"/>
    <w:rsid w:val="0063383A"/>
    <w:rsid w:val="00633E9B"/>
    <w:rsid w:val="00647774"/>
    <w:rsid w:val="006749A0"/>
    <w:rsid w:val="006A3192"/>
    <w:rsid w:val="006D19A0"/>
    <w:rsid w:val="006D2008"/>
    <w:rsid w:val="006E3343"/>
    <w:rsid w:val="006E4828"/>
    <w:rsid w:val="007039D5"/>
    <w:rsid w:val="00704BA5"/>
    <w:rsid w:val="007065A7"/>
    <w:rsid w:val="00741DFA"/>
    <w:rsid w:val="00770D1D"/>
    <w:rsid w:val="007E784A"/>
    <w:rsid w:val="00800CA6"/>
    <w:rsid w:val="00801DBF"/>
    <w:rsid w:val="00817AD6"/>
    <w:rsid w:val="00826A37"/>
    <w:rsid w:val="00837B98"/>
    <w:rsid w:val="00855C42"/>
    <w:rsid w:val="0086405E"/>
    <w:rsid w:val="008C30A7"/>
    <w:rsid w:val="008C3D1B"/>
    <w:rsid w:val="008D03A3"/>
    <w:rsid w:val="008F055B"/>
    <w:rsid w:val="008F55E8"/>
    <w:rsid w:val="00910A5F"/>
    <w:rsid w:val="0093272E"/>
    <w:rsid w:val="009350D2"/>
    <w:rsid w:val="009369A0"/>
    <w:rsid w:val="00972747"/>
    <w:rsid w:val="0098341C"/>
    <w:rsid w:val="00992722"/>
    <w:rsid w:val="00995D62"/>
    <w:rsid w:val="009C5BC5"/>
    <w:rsid w:val="009D33BA"/>
    <w:rsid w:val="009F0CC0"/>
    <w:rsid w:val="00A571CF"/>
    <w:rsid w:val="00A65D4D"/>
    <w:rsid w:val="00A72178"/>
    <w:rsid w:val="00A725C8"/>
    <w:rsid w:val="00A7469A"/>
    <w:rsid w:val="00A87FF8"/>
    <w:rsid w:val="00A9075A"/>
    <w:rsid w:val="00AD0C75"/>
    <w:rsid w:val="00AD1A52"/>
    <w:rsid w:val="00AD348C"/>
    <w:rsid w:val="00AF136F"/>
    <w:rsid w:val="00B10455"/>
    <w:rsid w:val="00B3299D"/>
    <w:rsid w:val="00B5102B"/>
    <w:rsid w:val="00B571B3"/>
    <w:rsid w:val="00B5761D"/>
    <w:rsid w:val="00B8513F"/>
    <w:rsid w:val="00BA667B"/>
    <w:rsid w:val="00BB00E9"/>
    <w:rsid w:val="00BB1F66"/>
    <w:rsid w:val="00BB62E6"/>
    <w:rsid w:val="00BD5F06"/>
    <w:rsid w:val="00BE3115"/>
    <w:rsid w:val="00C03F60"/>
    <w:rsid w:val="00C70880"/>
    <w:rsid w:val="00CA065E"/>
    <w:rsid w:val="00CC4B99"/>
    <w:rsid w:val="00CD3936"/>
    <w:rsid w:val="00D02DCD"/>
    <w:rsid w:val="00D067CA"/>
    <w:rsid w:val="00D21EC5"/>
    <w:rsid w:val="00D34114"/>
    <w:rsid w:val="00D37F37"/>
    <w:rsid w:val="00D919E9"/>
    <w:rsid w:val="00DE1D39"/>
    <w:rsid w:val="00E03354"/>
    <w:rsid w:val="00E14D95"/>
    <w:rsid w:val="00E362C6"/>
    <w:rsid w:val="00E55C32"/>
    <w:rsid w:val="00E623BF"/>
    <w:rsid w:val="00E71E0C"/>
    <w:rsid w:val="00E74C02"/>
    <w:rsid w:val="00E7530F"/>
    <w:rsid w:val="00E82865"/>
    <w:rsid w:val="00ED3147"/>
    <w:rsid w:val="00EE1B52"/>
    <w:rsid w:val="00EF37A7"/>
    <w:rsid w:val="00F03B09"/>
    <w:rsid w:val="00F51E74"/>
    <w:rsid w:val="00F5670C"/>
    <w:rsid w:val="00F85EF6"/>
    <w:rsid w:val="00FA6C1B"/>
    <w:rsid w:val="00FB0C98"/>
    <w:rsid w:val="00FB70B2"/>
    <w:rsid w:val="00FC2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DFA"/>
    <w:rPr>
      <w:rFonts w:ascii="Times New Roman" w:hAnsi="Times New Roman"/>
      <w:sz w:val="28"/>
      <w:lang w:val="ro-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DDE"/>
    <w:pPr>
      <w:ind w:left="720"/>
      <w:contextualSpacing/>
    </w:pPr>
  </w:style>
  <w:style w:type="paragraph" w:styleId="a4">
    <w:name w:val="Balloon Text"/>
    <w:basedOn w:val="a"/>
    <w:link w:val="a5"/>
    <w:uiPriority w:val="99"/>
    <w:semiHidden/>
    <w:unhideWhenUsed/>
    <w:rsid w:val="00445B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5BCE"/>
    <w:rPr>
      <w:rFonts w:ascii="Tahoma" w:hAnsi="Tahoma" w:cs="Tahoma"/>
      <w:sz w:val="16"/>
      <w:szCs w:val="16"/>
      <w:lang w:val="ro-MO"/>
    </w:rPr>
  </w:style>
  <w:style w:type="character" w:customStyle="1" w:styleId="apple-converted-space">
    <w:name w:val="apple-converted-space"/>
    <w:basedOn w:val="a0"/>
    <w:rsid w:val="00FC22C6"/>
  </w:style>
  <w:style w:type="character" w:customStyle="1" w:styleId="docblue">
    <w:name w:val="doc_blue"/>
    <w:basedOn w:val="a0"/>
    <w:rsid w:val="001E6F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DFA"/>
    <w:rPr>
      <w:rFonts w:ascii="Times New Roman" w:hAnsi="Times New Roman"/>
      <w:sz w:val="28"/>
      <w:lang w:val="ro-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DDE"/>
    <w:pPr>
      <w:ind w:left="720"/>
      <w:contextualSpacing/>
    </w:pPr>
  </w:style>
  <w:style w:type="paragraph" w:styleId="a4">
    <w:name w:val="Balloon Text"/>
    <w:basedOn w:val="a"/>
    <w:link w:val="a5"/>
    <w:uiPriority w:val="99"/>
    <w:semiHidden/>
    <w:unhideWhenUsed/>
    <w:rsid w:val="00445B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5BCE"/>
    <w:rPr>
      <w:rFonts w:ascii="Tahoma" w:hAnsi="Tahoma" w:cs="Tahoma"/>
      <w:sz w:val="16"/>
      <w:szCs w:val="16"/>
      <w:lang w:val="ro-MO"/>
    </w:rPr>
  </w:style>
  <w:style w:type="character" w:customStyle="1" w:styleId="apple-converted-space">
    <w:name w:val="apple-converted-space"/>
    <w:basedOn w:val="a0"/>
    <w:rsid w:val="00FC22C6"/>
  </w:style>
  <w:style w:type="character" w:customStyle="1" w:styleId="docblue">
    <w:name w:val="doc_blue"/>
    <w:basedOn w:val="a0"/>
    <w:rsid w:val="001E6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4581</Characters>
  <Application>Microsoft Office Word</Application>
  <DocSecurity>0</DocSecurity>
  <Lines>38</Lines>
  <Paragraphs>10</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by adguard</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Iulia Mihalachi</cp:lastModifiedBy>
  <cp:revision>2</cp:revision>
  <cp:lastPrinted>2017-02-15T12:43:00Z</cp:lastPrinted>
  <dcterms:created xsi:type="dcterms:W3CDTF">2017-03-09T12:25:00Z</dcterms:created>
  <dcterms:modified xsi:type="dcterms:W3CDTF">2017-03-09T12:25:00Z</dcterms:modified>
</cp:coreProperties>
</file>