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2C" w:rsidRDefault="00791D2C" w:rsidP="00791D2C">
      <w:pPr>
        <w:jc w:val="center"/>
        <w:rPr>
          <w:rFonts w:ascii="Times New Roman" w:hAnsi="Times New Roman"/>
          <w:b/>
          <w:sz w:val="28"/>
          <w:szCs w:val="28"/>
          <w:lang w:val="en-US"/>
        </w:rPr>
      </w:pPr>
    </w:p>
    <w:p w:rsidR="00791D2C" w:rsidRDefault="00791D2C" w:rsidP="00791D2C">
      <w:pPr>
        <w:jc w:val="center"/>
        <w:rPr>
          <w:rFonts w:ascii="Times New Roman" w:hAnsi="Times New Roman"/>
          <w:b/>
          <w:sz w:val="28"/>
          <w:szCs w:val="28"/>
          <w:lang w:val="en-US"/>
        </w:rPr>
      </w:pPr>
      <w:r>
        <w:rPr>
          <w:rFonts w:ascii="Times New Roman" w:hAnsi="Times New Roman"/>
          <w:b/>
          <w:sz w:val="28"/>
          <w:szCs w:val="28"/>
          <w:lang w:val="en-US"/>
        </w:rPr>
        <w:t>NOTA INFORMATIVĂ</w:t>
      </w:r>
    </w:p>
    <w:p w:rsidR="00791D2C" w:rsidRDefault="00791D2C" w:rsidP="00791D2C">
      <w:pPr>
        <w:jc w:val="both"/>
        <w:rPr>
          <w:rFonts w:ascii="Times New Roman" w:hAnsi="Times New Roman"/>
          <w:b/>
          <w:sz w:val="28"/>
          <w:szCs w:val="28"/>
          <w:lang w:val="ro-RO"/>
        </w:rPr>
      </w:pPr>
      <w:r w:rsidRPr="0060076A">
        <w:rPr>
          <w:rFonts w:ascii="Times New Roman" w:hAnsi="Times New Roman"/>
          <w:b/>
          <w:sz w:val="28"/>
          <w:szCs w:val="28"/>
          <w:lang w:val="ro-RO"/>
        </w:rPr>
        <w:t xml:space="preserve">la proiectul </w:t>
      </w:r>
      <w:r>
        <w:rPr>
          <w:rFonts w:ascii="Times New Roman" w:hAnsi="Times New Roman"/>
          <w:b/>
          <w:sz w:val="28"/>
          <w:szCs w:val="28"/>
          <w:lang w:val="ro-RO"/>
        </w:rPr>
        <w:t>h</w:t>
      </w:r>
      <w:r w:rsidRPr="0060076A">
        <w:rPr>
          <w:rFonts w:ascii="Times New Roman" w:hAnsi="Times New Roman"/>
          <w:b/>
          <w:sz w:val="28"/>
          <w:szCs w:val="28"/>
          <w:lang w:val="ro-RO"/>
        </w:rPr>
        <w:t xml:space="preserve">otărîrii Guvernului cu privire la </w:t>
      </w:r>
      <w:r>
        <w:rPr>
          <w:rFonts w:ascii="Times New Roman" w:hAnsi="Times New Roman"/>
          <w:b/>
          <w:sz w:val="28"/>
          <w:szCs w:val="28"/>
          <w:lang w:val="ro-RO"/>
        </w:rPr>
        <w:t>completarea anexei 18  la Hotărîrea Guvernului nr. 351 din 23 martie 2005.</w:t>
      </w:r>
    </w:p>
    <w:p w:rsidR="00791D2C" w:rsidRPr="008E594C" w:rsidRDefault="00791D2C" w:rsidP="00791D2C">
      <w:pPr>
        <w:pStyle w:val="a3"/>
        <w:jc w:val="both"/>
        <w:rPr>
          <w:rFonts w:ascii="Times New Roman" w:hAnsi="Times New Roman"/>
          <w:sz w:val="28"/>
          <w:szCs w:val="28"/>
          <w:lang w:val="en-US"/>
        </w:rPr>
      </w:pPr>
      <w:r>
        <w:rPr>
          <w:b/>
          <w:lang w:val="ro-RO"/>
        </w:rPr>
        <w:tab/>
      </w:r>
      <w:r w:rsidRPr="008E594C">
        <w:rPr>
          <w:rFonts w:ascii="Times New Roman" w:hAnsi="Times New Roman"/>
          <w:sz w:val="28"/>
          <w:szCs w:val="28"/>
          <w:lang w:val="ro-RO"/>
        </w:rPr>
        <w:t>Conform</w:t>
      </w:r>
      <w:r w:rsidRPr="008E594C">
        <w:rPr>
          <w:rFonts w:ascii="Times New Roman" w:hAnsi="Times New Roman"/>
          <w:sz w:val="28"/>
          <w:szCs w:val="28"/>
          <w:lang w:val="en-US"/>
        </w:rPr>
        <w:t xml:space="preserve"> Hotărîrii Comitetului Central a Partidului Comunist al Uniunii Sovietice şi Consiliul de Miniştri a URSS din 1968 nr.902-316 şi Hotărîrii Comitetului Central a Partidului Comunist a RSSM şi Consiliului de Miniştri a RSSM  nr. 434-16 din 20 decembrie 1968 „Întru lichidarea unor  lacune în activitatea organelor de miliţie”, în baza ordinelor MAI a URSS nr. 970 din 23 decembrie 1968 şi MAI RSSM nr. 9 ianuarie 1969 „Cu privire la reorganizarea autorităţilor organelor afacerilor interne în oraşele şi raioanele RSSM” a fost creată „Direcţia afacerilor interne a Comitetului Executiv al Sovietului de deputaţi al oamenilor muncii din or. Chişinău”.</w:t>
      </w:r>
    </w:p>
    <w:p w:rsidR="00791D2C" w:rsidRPr="008E594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Concomitent, s-a constatat că conform pct. 8 al Hotărîrii CC a PC a RSSM nr. 434-16 din 20 decembrie 1968, s-a indicat Comitetului Executiv al Sovietului de deputaţi al oamenilor muncii din oraşul Chişinău  pe parcursul anilor 1969-1970 să reamplaseze direcţia nou formată  într-un alt sediu care să asigure cu birouri de serviciu întreg efectivul direcţiei afacerilor interne a or. Chişinău. Astfel, în perioada respectivă efectivul DAI (</w:t>
      </w:r>
      <w:r w:rsidRPr="008E594C">
        <w:rPr>
          <w:rFonts w:ascii="Times New Roman" w:hAnsi="Times New Roman"/>
          <w:sz w:val="28"/>
          <w:szCs w:val="28"/>
        </w:rPr>
        <w:t>УВД</w:t>
      </w:r>
      <w:r w:rsidRPr="008E594C">
        <w:rPr>
          <w:rFonts w:ascii="Times New Roman" w:hAnsi="Times New Roman"/>
          <w:sz w:val="28"/>
          <w:szCs w:val="28"/>
          <w:lang w:val="en-US"/>
        </w:rPr>
        <w:t>) or. Chişinău a MAI, a fost plasat în edificiul din str. M. Frunze, 130, din or. Chişinău, iar ulterior Direcţia Generală Urmărire Penală a MAI  s-a aflat  la evidenţa contabilă a MAI fiind întreţinut 47 ani şi gestionat economic.</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Urmare discuţiilor cu foştii conducători ai subdiviziunilor MAI, amplasaţi iniţial în edificiile respective s-a constatat că  au fost transmise spre folosinţă către MAI în anul 1969, fiind plasat efectivul Direcţiei a organelor de miliţie a oraşului Chişinău. Blocul „E” a fost construit alăturat de blocurile A.B,V,G,D, în anul 1974 din mijloacele şi forţile de muncă (penitenciare) ale MAI.</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În perioada gestionării din anii precedenţi de către MAI au fost efectuate investiţii capitale la construcţia anexei la clădirea respectivă blocul E cu suprafaţa de 114,6 m.p.  (destinată pentru centrul de minori), ulterior amplasat Magazinul  de arme, reorganizat în Î.S. „Pulbere”. De menţionat că, Consiliul Municipiului Chişinău la adoptarea deciziilor şi încheierea contractului de comodat cu MAI nr. 5/06/003 din 12 decembrie 2006 pe un termen de 50 ani, urma să verifice drepturile anterioare şi să transmită imobilul menţionat cu respectarea procedurii de transmitere a proprietăţii municipale în proprietatea statului, prevăzut de art. 8 alin. ( 3) din Legea nr.523 din 16 iulie 1999 „ Cu privire la proprietatea publică a unităţilor administrativ-teritoriale”, deoarece proprietatea publică anterior  a fost transmisă în gestiunea MAI, în baza hotărîrilor invocate mai sus (la propunerea Guvernului).</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Re</w:t>
      </w:r>
      <w:r>
        <w:rPr>
          <w:rFonts w:ascii="Times New Roman" w:hAnsi="Times New Roman"/>
          <w:sz w:val="28"/>
          <w:szCs w:val="28"/>
          <w:lang w:val="en-US"/>
        </w:rPr>
        <w:t>ieşi</w:t>
      </w:r>
      <w:r w:rsidRPr="008E594C">
        <w:rPr>
          <w:rFonts w:ascii="Times New Roman" w:hAnsi="Times New Roman"/>
          <w:sz w:val="28"/>
          <w:szCs w:val="28"/>
          <w:lang w:val="en-US"/>
        </w:rPr>
        <w:t xml:space="preserve">nd din cele expuse se impune completarea anexei nr. 18 la Hotărîrea Guvernului nr. 351 din 23 martie 2005 „Cu privire la aprobarea listelor bunurilor imobile proprietate publică a statului”,  cu includerea bunului imobil din str. </w:t>
      </w:r>
      <w:r w:rsidRPr="008E594C">
        <w:rPr>
          <w:rFonts w:ascii="Times New Roman" w:hAnsi="Times New Roman"/>
          <w:sz w:val="28"/>
          <w:szCs w:val="28"/>
          <w:lang w:val="en-US"/>
        </w:rPr>
        <w:lastRenderedPageBreak/>
        <w:t>Columna, 130  cu toate constucţiile exitente  blocurile A, B,V,G,D,E şi terenul aferent.</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În clădirea administrativă amplasată în mun. Chişinău, str. V. Alecsandri, 83, din anul 1975 a fost dislocată subdiviziunea Ministerului Afacerilor Interne, Direcţia pază de Stat, sectorul Centru pînă în anul 2010, cînd a fost creată Întreprinderea de Stat „Servicii Pază” conform Hotărîrii Guvernului nr. 2 din 16 ianuarie 2010 „ Cu privire la crearea unei înreprinderi de stat”.  După formarea ÎS “Servicii Pază”  în clădirea nominalizată a fost amplasată ÎS „Tehnosec”, avînd contract de locaţiune încheiat cu Primăria mun.Chişinău.</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Prin Hotărîrea Guvernului nr. 12 din 10 ianuarie 2013 Cu privire la reorganizarea unor  Întreprinderi de Stat,  a fost reorganizată ÎS “Servicii Pază” prin fuziunea (absorbţie) Întreprinderii de Stat  „Tehnosec”, s-a stabilit că, Întreprinderea de Stat „Servicii Pază” este succesorul de drepturi şi obligaţii ale întreprinderii reorganizate.</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Astfel, din anul 2013 după lichidarea ÎS „Tehnosec” clădirea a fost transmisă de către primăria mun.Chişinău în locaţiune ÎS „Servicii Pază”.</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Clădirea administrativă (bloc Lit A, A</w:t>
      </w:r>
      <w:r w:rsidRPr="008E594C">
        <w:rPr>
          <w:rFonts w:ascii="Times New Roman" w:hAnsi="Times New Roman"/>
          <w:sz w:val="28"/>
          <w:szCs w:val="28"/>
          <w:vertAlign w:val="superscript"/>
          <w:lang w:val="en-US"/>
        </w:rPr>
        <w:t>1</w:t>
      </w:r>
      <w:r w:rsidRPr="008E594C">
        <w:rPr>
          <w:rFonts w:ascii="Times New Roman" w:hAnsi="Times New Roman"/>
          <w:sz w:val="28"/>
          <w:szCs w:val="28"/>
          <w:lang w:val="en-US"/>
        </w:rPr>
        <w:t>) are o suprafaţă totală de 472,5 m.p. garajuri Lit B, B</w:t>
      </w:r>
      <w:r w:rsidRPr="008E594C">
        <w:rPr>
          <w:rFonts w:ascii="Times New Roman" w:hAnsi="Times New Roman"/>
          <w:sz w:val="28"/>
          <w:szCs w:val="28"/>
          <w:vertAlign w:val="superscript"/>
          <w:lang w:val="en-US"/>
        </w:rPr>
        <w:t xml:space="preserve">1 </w:t>
      </w:r>
      <w:r w:rsidRPr="008E594C">
        <w:rPr>
          <w:rFonts w:ascii="Times New Roman" w:hAnsi="Times New Roman"/>
          <w:sz w:val="28"/>
          <w:szCs w:val="28"/>
          <w:lang w:val="en-US"/>
        </w:rPr>
        <w:t>), cu suprafaţa  la sol 84,0 m.p. garajuri Lit C cu suprafaţa de 74,9 m.p, cu terenul aferent şi un garaj cu ieşirea la str. M.Eminescu, 24, mun. Chişinău, suprafaţa 28,0 m.p., Lit D.</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Pentru locaţiunea imobilului nominalizat conform tarifelor se achită 530,9 mii lei anual, iar  pentru serviciile comunale anual se achită estimativ 112,7 mii lei, astfel suma totălă a cheltuielilor pentru întreţinerea acestui sediu constituie 643,6 mii lei, de aceste mijloace financiare MAI nu dispune.</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Actualmente, în clădirea din str. V.Alecsandri este  destinată pentru birourile de serviciu ale angajaţilor Serviciului protecţie internă şi anticorupţie a Ministerului Afacerilor Interne.</w:t>
      </w:r>
    </w:p>
    <w:p w:rsidR="00791D2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În present, imobilul din str. V. Alecsandri, 83 nu este înregistrat în registrul bunurilor imobile, nu este cunoscut propretarul, cum ar fi: „Administraţia publică locală” sau Republica Moldova, din ce rezultă că Consiliul Municipal Chişinău nu a avut temei juridic de a transmite în folosinţă şi a încheia contractul de locaţiune respectiv.</w:t>
      </w:r>
    </w:p>
    <w:p w:rsidR="00791D2C" w:rsidRPr="008E594C" w:rsidRDefault="00791D2C" w:rsidP="00791D2C">
      <w:pPr>
        <w:pStyle w:val="a3"/>
        <w:jc w:val="both"/>
        <w:rPr>
          <w:rFonts w:ascii="Times New Roman" w:hAnsi="Times New Roman"/>
          <w:sz w:val="28"/>
          <w:szCs w:val="28"/>
          <w:lang w:val="en-US"/>
        </w:rPr>
      </w:pPr>
      <w:r>
        <w:rPr>
          <w:rFonts w:ascii="Times New Roman" w:hAnsi="Times New Roman"/>
          <w:sz w:val="28"/>
          <w:szCs w:val="28"/>
          <w:lang w:val="en-US"/>
        </w:rPr>
        <w:tab/>
      </w:r>
      <w:r w:rsidRPr="008E594C">
        <w:rPr>
          <w:rFonts w:ascii="Times New Roman" w:hAnsi="Times New Roman"/>
          <w:sz w:val="28"/>
          <w:szCs w:val="28"/>
          <w:lang w:val="en-US"/>
        </w:rPr>
        <w:t>Re</w:t>
      </w:r>
      <w:r>
        <w:rPr>
          <w:rFonts w:ascii="Times New Roman" w:hAnsi="Times New Roman"/>
          <w:sz w:val="28"/>
          <w:szCs w:val="28"/>
          <w:lang w:val="en-US"/>
        </w:rPr>
        <w:t>i</w:t>
      </w:r>
      <w:r w:rsidRPr="008E594C">
        <w:rPr>
          <w:rFonts w:ascii="Times New Roman" w:hAnsi="Times New Roman"/>
          <w:sz w:val="28"/>
          <w:szCs w:val="28"/>
          <w:lang w:val="en-US"/>
        </w:rPr>
        <w:t>eşind din cele expuse, solicităm completarea anexei 18 la Hotărîrea Guvernului nr. 351 din 23 martie 2005 „Cu privire la aprobarea listelor bunurilor imobile proprietate publică a statului şi la transmiterea unor bunuri imobile”, cu includerea bunurile imobile din str. V.</w:t>
      </w:r>
      <w:r>
        <w:rPr>
          <w:rFonts w:ascii="Times New Roman" w:hAnsi="Times New Roman"/>
          <w:sz w:val="28"/>
          <w:szCs w:val="28"/>
          <w:lang w:val="en-US"/>
        </w:rPr>
        <w:t xml:space="preserve"> </w:t>
      </w:r>
      <w:r w:rsidRPr="008E594C">
        <w:rPr>
          <w:rFonts w:ascii="Times New Roman" w:hAnsi="Times New Roman"/>
          <w:sz w:val="28"/>
          <w:szCs w:val="28"/>
          <w:lang w:val="en-US"/>
        </w:rPr>
        <w:t>Alecsandri, 83 cu toate construcţiile cu terenul aferent lit A, A</w:t>
      </w:r>
      <w:r w:rsidRPr="008E594C">
        <w:rPr>
          <w:rFonts w:ascii="Times New Roman" w:hAnsi="Times New Roman"/>
          <w:sz w:val="28"/>
          <w:szCs w:val="28"/>
          <w:vertAlign w:val="superscript"/>
          <w:lang w:val="en-US"/>
        </w:rPr>
        <w:t>1</w:t>
      </w:r>
      <w:r w:rsidRPr="008E594C">
        <w:rPr>
          <w:rFonts w:ascii="Times New Roman" w:hAnsi="Times New Roman"/>
          <w:sz w:val="28"/>
          <w:szCs w:val="28"/>
          <w:lang w:val="en-US"/>
        </w:rPr>
        <w:t>,lit B, B</w:t>
      </w:r>
      <w:r w:rsidRPr="008E594C">
        <w:rPr>
          <w:rFonts w:ascii="Times New Roman" w:hAnsi="Times New Roman"/>
          <w:sz w:val="28"/>
          <w:szCs w:val="28"/>
          <w:vertAlign w:val="superscript"/>
          <w:lang w:val="en-US"/>
        </w:rPr>
        <w:t>1</w:t>
      </w:r>
      <w:r w:rsidRPr="008E594C">
        <w:rPr>
          <w:rFonts w:ascii="Times New Roman" w:hAnsi="Times New Roman"/>
          <w:sz w:val="28"/>
          <w:szCs w:val="28"/>
          <w:lang w:val="en-US"/>
        </w:rPr>
        <w:t>, lit G şi garajul cu ieşirea la str. M.Eminescu, 24, mun.Chişinău.</w:t>
      </w:r>
    </w:p>
    <w:p w:rsidR="00791D2C" w:rsidRPr="0057418F" w:rsidRDefault="00791D2C" w:rsidP="00791D2C">
      <w:pPr>
        <w:jc w:val="both"/>
        <w:rPr>
          <w:rFonts w:ascii="Times New Roman" w:hAnsi="Times New Roman"/>
          <w:sz w:val="28"/>
          <w:szCs w:val="28"/>
          <w:lang w:val="en-US"/>
        </w:rPr>
      </w:pPr>
    </w:p>
    <w:p w:rsidR="00791D2C" w:rsidRPr="0057418F" w:rsidRDefault="00791D2C" w:rsidP="00791D2C">
      <w:pPr>
        <w:pStyle w:val="a3"/>
        <w:rPr>
          <w:rFonts w:ascii="Times New Roman" w:hAnsi="Times New Roman"/>
          <w:b/>
          <w:sz w:val="28"/>
          <w:szCs w:val="28"/>
          <w:lang w:val="en-US"/>
        </w:rPr>
      </w:pPr>
    </w:p>
    <w:p w:rsidR="00791D2C" w:rsidRPr="00C35792" w:rsidRDefault="00791D2C" w:rsidP="00791D2C">
      <w:pPr>
        <w:jc w:val="center"/>
        <w:rPr>
          <w:rFonts w:ascii="Times New Roman" w:hAnsi="Times New Roman"/>
          <w:b/>
          <w:sz w:val="28"/>
          <w:szCs w:val="28"/>
          <w:lang w:val="en-US"/>
        </w:rPr>
      </w:pPr>
      <w:r w:rsidRPr="0060076A">
        <w:rPr>
          <w:rFonts w:ascii="Times New Roman" w:hAnsi="Times New Roman"/>
          <w:b/>
          <w:sz w:val="28"/>
          <w:szCs w:val="28"/>
          <w:lang w:val="en-US"/>
        </w:rPr>
        <w:t>M</w:t>
      </w:r>
      <w:r>
        <w:rPr>
          <w:rFonts w:ascii="Times New Roman" w:hAnsi="Times New Roman"/>
          <w:b/>
          <w:sz w:val="28"/>
          <w:szCs w:val="28"/>
          <w:lang w:val="en-US"/>
        </w:rPr>
        <w:t xml:space="preserve">inistru </w:t>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r>
      <w:r>
        <w:rPr>
          <w:rFonts w:ascii="Times New Roman" w:hAnsi="Times New Roman"/>
          <w:b/>
          <w:sz w:val="28"/>
          <w:szCs w:val="28"/>
          <w:lang w:val="en-US"/>
        </w:rPr>
        <w:tab/>
        <w:t xml:space="preserve">                                          </w:t>
      </w:r>
      <w:r w:rsidRPr="0060076A">
        <w:rPr>
          <w:rFonts w:ascii="Times New Roman" w:hAnsi="Times New Roman"/>
          <w:b/>
          <w:sz w:val="28"/>
          <w:szCs w:val="28"/>
          <w:lang w:val="en-US"/>
        </w:rPr>
        <w:t>Alexandru JIZDAN</w:t>
      </w:r>
    </w:p>
    <w:p w:rsidR="00791D2C" w:rsidRDefault="00791D2C" w:rsidP="00791D2C">
      <w:pPr>
        <w:rPr>
          <w:lang w:val="en-US"/>
        </w:rPr>
      </w:pPr>
    </w:p>
    <w:p w:rsidR="00336F38" w:rsidRDefault="00336F38"/>
    <w:sectPr w:rsidR="00336F38"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91D2C"/>
    <w:rsid w:val="00336F38"/>
    <w:rsid w:val="00791D2C"/>
    <w:rsid w:val="00D60993"/>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2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D2C"/>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4901</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2016-11-25T14:51:00Z</dcterms:created>
  <dcterms:modified xsi:type="dcterms:W3CDTF">2016-11-25T14:51:00Z</dcterms:modified>
</cp:coreProperties>
</file>