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19" w:type="dxa"/>
        <w:tblInd w:w="-318" w:type="dxa"/>
        <w:tblLayout w:type="fixed"/>
        <w:tblLook w:val="04A0"/>
      </w:tblPr>
      <w:tblGrid>
        <w:gridCol w:w="646"/>
        <w:gridCol w:w="2661"/>
        <w:gridCol w:w="1323"/>
        <w:gridCol w:w="2857"/>
        <w:gridCol w:w="1663"/>
        <w:gridCol w:w="1850"/>
        <w:gridCol w:w="2575"/>
        <w:gridCol w:w="1844"/>
      </w:tblGrid>
      <w:tr w:rsidR="0077605C" w:rsidRPr="008C1179" w:rsidTr="00EC08C0">
        <w:tc>
          <w:tcPr>
            <w:tcW w:w="646"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hAnsi="Times New Roman" w:cs="Times New Roman"/>
                <w:b/>
                <w:sz w:val="24"/>
                <w:szCs w:val="24"/>
              </w:rPr>
              <w:t>Nr. arti</w:t>
            </w:r>
            <w:r w:rsidRPr="00F74C8D">
              <w:rPr>
                <w:rFonts w:ascii="Times New Roman" w:eastAsia="Calibri" w:hAnsi="Times New Roman" w:cs="Times New Roman"/>
                <w:b/>
                <w:sz w:val="24"/>
                <w:szCs w:val="24"/>
              </w:rPr>
              <w:t xml:space="preserve">col-ului </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 xml:space="preserve">din </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Acord</w:t>
            </w:r>
          </w:p>
        </w:tc>
        <w:tc>
          <w:tcPr>
            <w:tcW w:w="2661"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Prevederile</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Acordului de Asociere/</w:t>
            </w:r>
          </w:p>
          <w:p w:rsidR="0077605C" w:rsidRPr="00F74C8D" w:rsidRDefault="0077605C" w:rsidP="0093058F">
            <w:pPr>
              <w:rPr>
                <w:rFonts w:ascii="Times New Roman" w:eastAsia="Calibri" w:hAnsi="Times New Roman" w:cs="Times New Roman"/>
                <w:b/>
                <w:i/>
                <w:sz w:val="24"/>
                <w:szCs w:val="24"/>
              </w:rPr>
            </w:pPr>
          </w:p>
        </w:tc>
        <w:tc>
          <w:tcPr>
            <w:tcW w:w="1323"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Prevederile Agendei de Asociere</w:t>
            </w:r>
          </w:p>
        </w:tc>
        <w:tc>
          <w:tcPr>
            <w:tcW w:w="2857"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 xml:space="preserve">Măsurile de implementare </w:t>
            </w:r>
          </w:p>
          <w:p w:rsidR="0077605C" w:rsidRPr="00F74C8D" w:rsidRDefault="0077605C" w:rsidP="0093058F">
            <w:pPr>
              <w:jc w:val="center"/>
              <w:rPr>
                <w:rFonts w:ascii="Times New Roman" w:eastAsia="Calibri" w:hAnsi="Times New Roman" w:cs="Times New Roman"/>
                <w:b/>
                <w:sz w:val="24"/>
                <w:szCs w:val="24"/>
              </w:rPr>
            </w:pPr>
          </w:p>
        </w:tc>
        <w:tc>
          <w:tcPr>
            <w:tcW w:w="1663"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Indicator de performanţă</w:t>
            </w:r>
          </w:p>
        </w:tc>
        <w:tc>
          <w:tcPr>
            <w:tcW w:w="1850"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Instituţiile responsabile</w:t>
            </w:r>
          </w:p>
        </w:tc>
        <w:tc>
          <w:tcPr>
            <w:tcW w:w="2575"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hAnsi="Times New Roman" w:cs="Times New Roman"/>
                <w:b/>
                <w:sz w:val="24"/>
                <w:szCs w:val="24"/>
              </w:rPr>
              <w:t>Termenul de realizare a măsurii/ și Termenul de implementare potrivit AA</w:t>
            </w:r>
          </w:p>
        </w:tc>
        <w:tc>
          <w:tcPr>
            <w:tcW w:w="1844"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Costuri estimative</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Sursa de acoperire a cheltuielilor</w:t>
            </w:r>
          </w:p>
        </w:tc>
      </w:tr>
      <w:tr w:rsidR="0077605C" w:rsidRPr="008C1179" w:rsidTr="00EC08C0">
        <w:tc>
          <w:tcPr>
            <w:tcW w:w="15419" w:type="dxa"/>
            <w:gridSpan w:val="8"/>
          </w:tcPr>
          <w:p w:rsidR="0077605C" w:rsidRPr="00F74C8D" w:rsidRDefault="0077605C" w:rsidP="0093058F">
            <w:pPr>
              <w:jc w:val="center"/>
              <w:rPr>
                <w:rFonts w:ascii="Times New Roman" w:eastAsia="Calibri" w:hAnsi="Times New Roman" w:cs="Times New Roman"/>
                <w:b/>
                <w:sz w:val="24"/>
                <w:szCs w:val="24"/>
              </w:rPr>
            </w:pPr>
            <w:r w:rsidRPr="00770701">
              <w:rPr>
                <w:rFonts w:ascii="Times New Roman" w:eastAsia="SimSun" w:hAnsi="Times New Roman"/>
                <w:b/>
                <w:sz w:val="20"/>
                <w:szCs w:val="20"/>
              </w:rPr>
              <w:t>TITLUL IV. COOPERAREA ECONOMICĂ ȘI ALTE TIPURI DE COOPERARE SECTORIALĂ</w:t>
            </w:r>
          </w:p>
        </w:tc>
      </w:tr>
      <w:tr w:rsidR="00066A28" w:rsidRPr="008C1179" w:rsidTr="00EC08C0">
        <w:tc>
          <w:tcPr>
            <w:tcW w:w="15419" w:type="dxa"/>
            <w:gridSpan w:val="8"/>
          </w:tcPr>
          <w:p w:rsidR="00135518" w:rsidRDefault="00066A28" w:rsidP="00135518">
            <w:pPr>
              <w:jc w:val="both"/>
              <w:rPr>
                <w:rFonts w:ascii="Times New Roman" w:eastAsia="Calibri" w:hAnsi="Times New Roman" w:cs="Times New Roman"/>
                <w:b/>
                <w:sz w:val="20"/>
                <w:szCs w:val="20"/>
              </w:rPr>
            </w:pPr>
            <w:r w:rsidRPr="003A0C18">
              <w:rPr>
                <w:rFonts w:ascii="Times New Roman" w:hAnsi="Times New Roman" w:cs="Times New Roman"/>
                <w:b/>
                <w:sz w:val="20"/>
                <w:szCs w:val="20"/>
              </w:rPr>
              <w:t>CAPITOLUL 20. DEZVOLTAREA REGIONALĂ, COOPERAREA LA NIVEL TRANSFRONTALIER ȘI REGIONAL</w:t>
            </w:r>
          </w:p>
        </w:tc>
      </w:tr>
      <w:tr w:rsidR="00066A28" w:rsidRPr="008C1179" w:rsidTr="00EC08C0">
        <w:tc>
          <w:tcPr>
            <w:tcW w:w="15419" w:type="dxa"/>
            <w:gridSpan w:val="8"/>
          </w:tcPr>
          <w:p w:rsidR="00135518" w:rsidRDefault="00066A28" w:rsidP="00135518">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rPr>
          <w:trHeight w:val="6580"/>
        </w:trPr>
        <w:tc>
          <w:tcPr>
            <w:tcW w:w="646" w:type="dxa"/>
            <w:vMerge w:val="restart"/>
          </w:tcPr>
          <w:p w:rsidR="00066A28" w:rsidRPr="00770701" w:rsidRDefault="00066A28" w:rsidP="006D4D28">
            <w:pPr>
              <w:jc w:val="center"/>
              <w:rPr>
                <w:rFonts w:ascii="Times New Roman" w:hAnsi="Times New Roman"/>
                <w:b/>
                <w:sz w:val="20"/>
                <w:szCs w:val="20"/>
              </w:rPr>
            </w:pPr>
            <w:r w:rsidRPr="00770701">
              <w:rPr>
                <w:rFonts w:ascii="Times New Roman" w:hAnsi="Times New Roman"/>
                <w:b/>
                <w:sz w:val="20"/>
                <w:szCs w:val="20"/>
              </w:rPr>
              <w:lastRenderedPageBreak/>
              <w:t>107</w:t>
            </w:r>
          </w:p>
        </w:tc>
        <w:tc>
          <w:tcPr>
            <w:tcW w:w="2661" w:type="dxa"/>
            <w:vMerge w:val="restart"/>
          </w:tcPr>
          <w:p w:rsidR="00135518" w:rsidRDefault="00066A28" w:rsidP="00135518">
            <w:pPr>
              <w:contextualSpacing/>
              <w:jc w:val="both"/>
              <w:rPr>
                <w:rFonts w:ascii="Times New Roman" w:hAnsi="Times New Roman" w:cs="Times New Roman"/>
                <w:b/>
                <w:sz w:val="20"/>
                <w:szCs w:val="20"/>
              </w:rPr>
            </w:pPr>
            <w:r w:rsidRPr="003A0C18">
              <w:rPr>
                <w:rFonts w:ascii="Times New Roman" w:hAnsi="Times New Roman" w:cs="Times New Roman"/>
                <w:b/>
                <w:sz w:val="20"/>
                <w:szCs w:val="20"/>
              </w:rPr>
              <w:t xml:space="preserve">(1) </w:t>
            </w:r>
            <w:r w:rsidRPr="003A0C18">
              <w:rPr>
                <w:rFonts w:ascii="Times New Roman" w:hAnsi="Times New Roman" w:cs="Times New Roman"/>
                <w:sz w:val="20"/>
                <w:szCs w:val="20"/>
              </w:rPr>
              <w:t>Părțile promovează înțelegerea reciprocă și cooperarea bilaterală în domeniul politicii regionale, inclusiv metodele de formulare și de punere în aplicare a politicilor regionale, guvernanța și parteneriatul pe mai multe niveluri, cu un accent deosebit pe dezvoltarea zonelor defavorizate și pe cooperarea teritorială, avînd ca obiectiv stabilirea canalelor de comunicare și îmbunătățirea schimburilor de informații și de experiență între autoritățile naționale, regionale și locale, actorii socioeconomici și societatea civilă</w:t>
            </w:r>
          </w:p>
        </w:tc>
        <w:tc>
          <w:tcPr>
            <w:tcW w:w="1323" w:type="dxa"/>
            <w:vMerge w:val="restart"/>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vAlign w:val="center"/>
          </w:tcPr>
          <w:p w:rsidR="00135518" w:rsidRPr="00135518" w:rsidRDefault="00135518" w:rsidP="00135518">
            <w:pPr>
              <w:spacing w:line="276" w:lineRule="auto"/>
              <w:jc w:val="both"/>
              <w:rPr>
                <w:rFonts w:ascii="Times New Roman" w:hAnsi="Times New Roman" w:cs="Times New Roman"/>
                <w:b/>
                <w:iCs/>
                <w:sz w:val="20"/>
                <w:szCs w:val="20"/>
              </w:rPr>
            </w:pPr>
            <w:r w:rsidRPr="00135518">
              <w:rPr>
                <w:rFonts w:ascii="Times New Roman" w:hAnsi="Times New Roman" w:cs="Times New Roman"/>
                <w:b/>
                <w:iCs/>
                <w:sz w:val="20"/>
                <w:szCs w:val="20"/>
              </w:rPr>
              <w:t>L1.. – Act nou</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iCs/>
                <w:sz w:val="20"/>
                <w:szCs w:val="20"/>
              </w:rPr>
              <w:t>Elaborarea proiectului de Lege privind dezvoltarea regională.</w:t>
            </w:r>
          </w:p>
        </w:tc>
        <w:tc>
          <w:tcPr>
            <w:tcW w:w="1663" w:type="dxa"/>
            <w:tcBorders>
              <w:bottom w:val="single" w:sz="4" w:space="0" w:color="auto"/>
            </w:tcBorders>
            <w:vAlign w:val="center"/>
          </w:tcPr>
          <w:p w:rsidR="00135518" w:rsidRPr="00135518" w:rsidRDefault="00066A28" w:rsidP="00135518">
            <w:pPr>
              <w:jc w:val="both"/>
              <w:rPr>
                <w:rFonts w:ascii="Times New Roman" w:hAnsi="Times New Roman" w:cs="Times New Roman"/>
                <w:sz w:val="20"/>
                <w:szCs w:val="20"/>
              </w:rPr>
            </w:pPr>
            <w:r>
              <w:rPr>
                <w:rFonts w:ascii="Times New Roman" w:hAnsi="Times New Roman" w:cs="Times New Roman"/>
                <w:sz w:val="20"/>
                <w:szCs w:val="20"/>
              </w:rPr>
              <w:t>Lege intrată în vigoare</w:t>
            </w:r>
          </w:p>
        </w:tc>
        <w:tc>
          <w:tcPr>
            <w:tcW w:w="1850" w:type="dxa"/>
            <w:tcBorders>
              <w:bottom w:val="single" w:sz="4" w:space="0" w:color="auto"/>
            </w:tcBorders>
            <w:vAlign w:val="center"/>
          </w:tcPr>
          <w:p w:rsidR="00135518" w:rsidRPr="00135518" w:rsidRDefault="00135518" w:rsidP="00135518">
            <w:pPr>
              <w:spacing w:before="120"/>
              <w:jc w:val="both"/>
              <w:rPr>
                <w:rFonts w:ascii="Times New Roman" w:hAnsi="Times New Roman" w:cs="Times New Roman"/>
                <w:sz w:val="20"/>
                <w:szCs w:val="20"/>
              </w:rPr>
            </w:pPr>
            <w:r w:rsidRPr="00135518">
              <w:rPr>
                <w:rFonts w:ascii="Times New Roman" w:hAnsi="Times New Roman" w:cs="Times New Roman"/>
                <w:sz w:val="20"/>
                <w:szCs w:val="20"/>
              </w:rPr>
              <w:t>Ministerul Dezvoltării Regionale și Construcțiilor,</w:t>
            </w:r>
          </w:p>
          <w:p w:rsidR="00135518" w:rsidRPr="00135518" w:rsidRDefault="00135518" w:rsidP="00135518">
            <w:pPr>
              <w:spacing w:before="120"/>
              <w:jc w:val="both"/>
              <w:rPr>
                <w:rFonts w:ascii="Times New Roman" w:hAnsi="Times New Roman" w:cs="Times New Roman"/>
                <w:sz w:val="20"/>
                <w:szCs w:val="20"/>
              </w:rPr>
            </w:pPr>
            <w:r w:rsidRPr="00135518">
              <w:rPr>
                <w:rFonts w:ascii="Times New Roman" w:hAnsi="Times New Roman" w:cs="Times New Roman"/>
                <w:sz w:val="20"/>
                <w:szCs w:val="20"/>
              </w:rPr>
              <w:t>Ministerul Economiei,</w:t>
            </w:r>
          </w:p>
          <w:p w:rsidR="00135518" w:rsidRPr="00135518" w:rsidRDefault="00135518" w:rsidP="00135518">
            <w:pPr>
              <w:spacing w:before="120"/>
              <w:jc w:val="both"/>
              <w:rPr>
                <w:rFonts w:ascii="Times New Roman" w:hAnsi="Times New Roman" w:cs="Times New Roman"/>
                <w:sz w:val="20"/>
                <w:szCs w:val="20"/>
              </w:rPr>
            </w:pPr>
            <w:r w:rsidRPr="00135518">
              <w:rPr>
                <w:rFonts w:ascii="Times New Roman" w:hAnsi="Times New Roman" w:cs="Times New Roman"/>
                <w:sz w:val="20"/>
                <w:szCs w:val="20"/>
              </w:rPr>
              <w:t>Cancelaria de Stat,</w:t>
            </w:r>
          </w:p>
          <w:p w:rsidR="00135518" w:rsidRPr="00135518" w:rsidRDefault="00135518" w:rsidP="00135518">
            <w:pPr>
              <w:spacing w:before="120" w:after="120"/>
              <w:jc w:val="both"/>
              <w:rPr>
                <w:rFonts w:ascii="Times New Roman" w:hAnsi="Times New Roman" w:cs="Times New Roman"/>
                <w:sz w:val="20"/>
                <w:szCs w:val="20"/>
              </w:rPr>
            </w:pPr>
            <w:r w:rsidRPr="00135518">
              <w:rPr>
                <w:rFonts w:ascii="Times New Roman" w:hAnsi="Times New Roman" w:cs="Times New Roman"/>
                <w:sz w:val="20"/>
                <w:szCs w:val="20"/>
              </w:rPr>
              <w:t>Ministerul Mediului,</w:t>
            </w:r>
          </w:p>
          <w:p w:rsidR="00135518" w:rsidRPr="00135518" w:rsidRDefault="00135518" w:rsidP="00135518">
            <w:pPr>
              <w:spacing w:before="120" w:after="120"/>
              <w:jc w:val="both"/>
              <w:rPr>
                <w:rFonts w:ascii="Times New Roman" w:hAnsi="Times New Roman" w:cs="Times New Roman"/>
                <w:sz w:val="20"/>
                <w:szCs w:val="20"/>
              </w:rPr>
            </w:pPr>
            <w:r w:rsidRPr="00135518">
              <w:rPr>
                <w:rFonts w:ascii="Times New Roman" w:hAnsi="Times New Roman" w:cs="Times New Roman"/>
                <w:sz w:val="20"/>
                <w:szCs w:val="20"/>
              </w:rPr>
              <w:t>Ministerul Transporturilor și Infrastructurii Drumurilor,</w:t>
            </w:r>
          </w:p>
          <w:p w:rsidR="00135518" w:rsidRPr="00135518" w:rsidRDefault="00135518" w:rsidP="00135518">
            <w:pPr>
              <w:spacing w:before="120" w:after="120"/>
              <w:jc w:val="both"/>
              <w:rPr>
                <w:rFonts w:ascii="Times New Roman" w:hAnsi="Times New Roman" w:cs="Times New Roman"/>
                <w:sz w:val="20"/>
                <w:szCs w:val="20"/>
              </w:rPr>
            </w:pPr>
            <w:r w:rsidRPr="00135518">
              <w:rPr>
                <w:rFonts w:ascii="Times New Roman" w:hAnsi="Times New Roman" w:cs="Times New Roman"/>
                <w:sz w:val="20"/>
                <w:szCs w:val="20"/>
              </w:rPr>
              <w:t>Agenția Turismului,</w:t>
            </w:r>
          </w:p>
          <w:p w:rsidR="00135518" w:rsidRPr="00135518" w:rsidRDefault="00135518" w:rsidP="00135518">
            <w:pPr>
              <w:spacing w:before="120" w:after="120"/>
              <w:jc w:val="both"/>
              <w:rPr>
                <w:rFonts w:ascii="Times New Roman" w:hAnsi="Times New Roman" w:cs="Times New Roman"/>
                <w:sz w:val="20"/>
                <w:szCs w:val="20"/>
              </w:rPr>
            </w:pPr>
            <w:r w:rsidRPr="00135518">
              <w:rPr>
                <w:rFonts w:ascii="Times New Roman" w:hAnsi="Times New Roman" w:cs="Times New Roman"/>
                <w:sz w:val="20"/>
                <w:szCs w:val="20"/>
              </w:rPr>
              <w:t>Ministerul Educației,</w:t>
            </w:r>
          </w:p>
          <w:p w:rsidR="00135518" w:rsidRPr="00135518" w:rsidRDefault="00135518" w:rsidP="00135518">
            <w:pPr>
              <w:spacing w:before="120" w:after="120"/>
              <w:jc w:val="both"/>
              <w:rPr>
                <w:rFonts w:ascii="Times New Roman" w:hAnsi="Times New Roman" w:cs="Times New Roman"/>
                <w:sz w:val="20"/>
                <w:szCs w:val="20"/>
              </w:rPr>
            </w:pPr>
            <w:r w:rsidRPr="00135518">
              <w:rPr>
                <w:rFonts w:ascii="Times New Roman" w:hAnsi="Times New Roman" w:cs="Times New Roman"/>
                <w:sz w:val="20"/>
                <w:szCs w:val="20"/>
              </w:rPr>
              <w:t>Ministerul Muncii și Protecției Sociale</w:t>
            </w:r>
          </w:p>
          <w:p w:rsidR="00135518" w:rsidRPr="00135518" w:rsidRDefault="00135518" w:rsidP="00135518">
            <w:pPr>
              <w:spacing w:before="120" w:after="120"/>
              <w:jc w:val="both"/>
              <w:rPr>
                <w:rFonts w:ascii="Times New Roman" w:hAnsi="Times New Roman" w:cs="Times New Roman"/>
                <w:sz w:val="20"/>
                <w:szCs w:val="20"/>
              </w:rPr>
            </w:pPr>
          </w:p>
        </w:tc>
        <w:tc>
          <w:tcPr>
            <w:tcW w:w="2575" w:type="dxa"/>
            <w:tcBorders>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II 2017</w:t>
            </w:r>
          </w:p>
        </w:tc>
        <w:tc>
          <w:tcPr>
            <w:tcW w:w="1844" w:type="dxa"/>
            <w:tcBorders>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estimativă 100 mii lei.</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Alocații bugetare – 50 mii lei,</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inclusiv:</w:t>
            </w:r>
            <w:r w:rsidRPr="00135518">
              <w:rPr>
                <w:rFonts w:ascii="Times New Roman" w:hAnsi="Times New Roman" w:cs="Times New Roman"/>
                <w:sz w:val="20"/>
                <w:szCs w:val="20"/>
              </w:rPr>
              <w:br/>
              <w:t>- proiecte finanțate din surse externe – 50 mii lei.</w:t>
            </w:r>
          </w:p>
        </w:tc>
      </w:tr>
      <w:tr w:rsidR="00066A28" w:rsidRPr="008C1179" w:rsidTr="00EC08C0">
        <w:trPr>
          <w:trHeight w:val="2377"/>
        </w:trPr>
        <w:tc>
          <w:tcPr>
            <w:tcW w:w="646" w:type="dxa"/>
            <w:vMerge/>
          </w:tcPr>
          <w:p w:rsidR="00066A28" w:rsidRPr="00770701" w:rsidRDefault="00066A28" w:rsidP="006D4D28">
            <w:pPr>
              <w:jc w:val="center"/>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P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135518" w:rsidRPr="00135518" w:rsidRDefault="00135518" w:rsidP="00135518">
            <w:pPr>
              <w:jc w:val="both"/>
              <w:rPr>
                <w:rFonts w:ascii="Times New Roman" w:hAnsi="Times New Roman" w:cs="Times New Roman"/>
                <w:b/>
                <w:i/>
                <w:iCs/>
                <w:sz w:val="20"/>
                <w:szCs w:val="20"/>
              </w:rPr>
            </w:pPr>
            <w:r w:rsidRPr="00135518">
              <w:rPr>
                <w:rFonts w:ascii="Times New Roman" w:hAnsi="Times New Roman" w:cs="Times New Roman"/>
                <w:b/>
                <w:i/>
                <w:iCs/>
                <w:sz w:val="20"/>
                <w:szCs w:val="20"/>
              </w:rPr>
              <w:t>SL1.</w:t>
            </w:r>
          </w:p>
          <w:p w:rsidR="00135518" w:rsidRPr="00135518" w:rsidRDefault="00135518" w:rsidP="00135518">
            <w:pPr>
              <w:jc w:val="both"/>
              <w:rPr>
                <w:rFonts w:ascii="Times New Roman" w:hAnsi="Times New Roman" w:cs="Times New Roman"/>
                <w:i/>
                <w:iCs/>
                <w:sz w:val="20"/>
                <w:szCs w:val="20"/>
              </w:rPr>
            </w:pPr>
            <w:r w:rsidRPr="00135518">
              <w:rPr>
                <w:rFonts w:ascii="Times New Roman" w:hAnsi="Times New Roman" w:cs="Times New Roman"/>
                <w:i/>
                <w:iCs/>
                <w:sz w:val="20"/>
                <w:szCs w:val="20"/>
              </w:rPr>
              <w:t>Notă: Actele subordonate legii (regulamentele) vor fi elaborate ulterior, după întocmirea proiectului de Lege privind dezvoltarea regională</w:t>
            </w:r>
          </w:p>
          <w:p w:rsidR="00135518" w:rsidRPr="00135518" w:rsidRDefault="00135518" w:rsidP="00135518">
            <w:pPr>
              <w:jc w:val="both"/>
              <w:rPr>
                <w:rFonts w:ascii="Times New Roman" w:hAnsi="Times New Roman" w:cs="Times New Roman"/>
                <w:i/>
                <w:iCs/>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tc>
        <w:tc>
          <w:tcPr>
            <w:tcW w:w="1663" w:type="dxa"/>
            <w:tcBorders>
              <w:top w:val="single" w:sz="4" w:space="0" w:color="auto"/>
              <w:bottom w:val="single" w:sz="4" w:space="0" w:color="auto"/>
            </w:tcBorders>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Hotărîri de Guvern intrate în vigoare.</w:t>
            </w:r>
          </w:p>
        </w:tc>
        <w:tc>
          <w:tcPr>
            <w:tcW w:w="1850" w:type="dxa"/>
            <w:tcBorders>
              <w:top w:val="single" w:sz="4" w:space="0" w:color="auto"/>
              <w:bottom w:val="single" w:sz="4" w:space="0" w:color="auto"/>
            </w:tcBorders>
          </w:tcPr>
          <w:p w:rsidR="00135518" w:rsidRPr="00135518" w:rsidRDefault="00135518" w:rsidP="00135518">
            <w:pPr>
              <w:jc w:val="both"/>
              <w:rPr>
                <w:rFonts w:ascii="Times New Roman" w:hAnsi="Times New Roman" w:cs="Times New Roman"/>
                <w:sz w:val="20"/>
                <w:szCs w:val="20"/>
              </w:rPr>
            </w:pP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IV 2019</w:t>
            </w: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r>
      <w:tr w:rsidR="00066A28" w:rsidRPr="008C1179" w:rsidTr="00EC08C0">
        <w:trPr>
          <w:trHeight w:val="469"/>
        </w:trPr>
        <w:tc>
          <w:tcPr>
            <w:tcW w:w="646" w:type="dxa"/>
            <w:vMerge/>
          </w:tcPr>
          <w:p w:rsidR="00066A28" w:rsidRPr="00770701" w:rsidRDefault="00066A28" w:rsidP="006D4D28">
            <w:pPr>
              <w:jc w:val="center"/>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P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b/>
                <w:sz w:val="20"/>
                <w:szCs w:val="20"/>
              </w:rPr>
              <w:t>I1..</w:t>
            </w:r>
            <w:r w:rsidRPr="00135518">
              <w:rPr>
                <w:rFonts w:ascii="Times New Roman" w:hAnsi="Times New Roman" w:cs="Times New Roman"/>
                <w:sz w:val="20"/>
                <w:szCs w:val="20"/>
              </w:rPr>
              <w:t xml:space="preserve"> Suport în dezvoltarea portofoliului de proiecte.</w:t>
            </w:r>
          </w:p>
        </w:tc>
        <w:tc>
          <w:tcPr>
            <w:tcW w:w="1663" w:type="dxa"/>
            <w:tcBorders>
              <w:top w:val="single" w:sz="4" w:space="0" w:color="auto"/>
              <w:bottom w:val="single" w:sz="4" w:space="0" w:color="auto"/>
            </w:tcBorders>
          </w:tcPr>
          <w:p w:rsidR="00135518" w:rsidRPr="00135518" w:rsidRDefault="00135518" w:rsidP="00135518">
            <w:pPr>
              <w:spacing w:after="120"/>
              <w:jc w:val="both"/>
              <w:rPr>
                <w:rFonts w:ascii="Times New Roman" w:hAnsi="Times New Roman" w:cs="Times New Roman"/>
                <w:sz w:val="20"/>
                <w:szCs w:val="20"/>
              </w:rPr>
            </w:pPr>
            <w:r w:rsidRPr="00135518">
              <w:rPr>
                <w:rFonts w:ascii="Times New Roman" w:hAnsi="Times New Roman" w:cs="Times New Roman"/>
                <w:sz w:val="20"/>
                <w:szCs w:val="20"/>
              </w:rPr>
              <w:t>12 proiecte în domeniul AAC cu studii de fezabilitate elaborate;</w:t>
            </w:r>
            <w:r w:rsidRPr="00135518">
              <w:rPr>
                <w:rFonts w:ascii="Times New Roman" w:hAnsi="Times New Roman" w:cs="Times New Roman"/>
                <w:sz w:val="20"/>
                <w:szCs w:val="20"/>
              </w:rPr>
              <w:br/>
              <w:t>12 proiecte în domeniul DRL cu studii de fezabilitate elaborate;</w:t>
            </w:r>
            <w:r w:rsidRPr="00135518">
              <w:rPr>
                <w:rFonts w:ascii="Times New Roman" w:hAnsi="Times New Roman" w:cs="Times New Roman"/>
                <w:sz w:val="20"/>
                <w:szCs w:val="20"/>
              </w:rPr>
              <w:br/>
              <w:t>12 proiecte în domeniul EE cu studii de fezabilitate elaborate;</w:t>
            </w:r>
            <w:r w:rsidRPr="00135518">
              <w:rPr>
                <w:rFonts w:ascii="Times New Roman" w:hAnsi="Times New Roman" w:cs="Times New Roman"/>
                <w:sz w:val="20"/>
                <w:szCs w:val="20"/>
              </w:rPr>
              <w:br/>
              <w:t>3 proiecte în domeniul MDS cu studii de fezabilitate elaborate.</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Lista consolidată a portofoliului  de proiecte regionale elaborată.</w:t>
            </w: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br w:type="page"/>
              <w:t>MEc</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br w:type="page"/>
              <w:t>MM</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br w:type="page"/>
              <w:t xml:space="preserve">MTID </w:t>
            </w: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II 2017</w:t>
            </w:r>
          </w:p>
        </w:tc>
        <w:tc>
          <w:tcPr>
            <w:tcW w:w="1844" w:type="dxa"/>
            <w:tcBorders>
              <w:top w:val="single" w:sz="4" w:space="0" w:color="auto"/>
              <w:bottom w:val="single" w:sz="4" w:space="0" w:color="auto"/>
            </w:tcBorders>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estimativă</w:t>
            </w:r>
            <w:r w:rsidRPr="00135518">
              <w:rPr>
                <w:rFonts w:ascii="Times New Roman" w:hAnsi="Times New Roman" w:cs="Times New Roman"/>
                <w:sz w:val="20"/>
                <w:szCs w:val="20"/>
              </w:rPr>
              <w:br/>
              <w:t>200 milioane lei.</w:t>
            </w:r>
            <w:r w:rsidRPr="00135518">
              <w:rPr>
                <w:rFonts w:ascii="Times New Roman" w:hAnsi="Times New Roman" w:cs="Times New Roman"/>
                <w:sz w:val="20"/>
                <w:szCs w:val="20"/>
              </w:rPr>
              <w:br/>
            </w:r>
            <w:r w:rsidRPr="00135518">
              <w:rPr>
                <w:rFonts w:ascii="Times New Roman" w:hAnsi="Times New Roman" w:cs="Times New Roman"/>
                <w:sz w:val="20"/>
                <w:szCs w:val="20"/>
              </w:rPr>
              <w:br/>
              <w:t>Proiecte finanțate din surse externe – 200 milioane lei.</w:t>
            </w:r>
          </w:p>
        </w:tc>
      </w:tr>
      <w:tr w:rsidR="00066A28" w:rsidRPr="008C1179" w:rsidTr="00EC08C0">
        <w:trPr>
          <w:trHeight w:val="2414"/>
        </w:trPr>
        <w:tc>
          <w:tcPr>
            <w:tcW w:w="646" w:type="dxa"/>
            <w:vMerge/>
          </w:tcPr>
          <w:p w:rsidR="00066A28" w:rsidRPr="00770701" w:rsidRDefault="00066A28" w:rsidP="006D4D28">
            <w:pPr>
              <w:jc w:val="center"/>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P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b/>
                <w:sz w:val="20"/>
                <w:szCs w:val="20"/>
              </w:rPr>
              <w:t>I.2.</w:t>
            </w:r>
            <w:r w:rsidRPr="00135518">
              <w:rPr>
                <w:rFonts w:ascii="Times New Roman" w:hAnsi="Times New Roman" w:cs="Times New Roman"/>
                <w:sz w:val="20"/>
                <w:szCs w:val="20"/>
              </w:rPr>
              <w:t xml:space="preserve"> Implementarea portofoliului de proiecte prioritare de dezvoltare regională aprobate în DUP în domeniile MDS, EE, DRL, AAC.</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tc>
        <w:tc>
          <w:tcPr>
            <w:tcW w:w="1663"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Raport privind implementarea portofoliului de proiecte aprobat în cadrul CNCDR.</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br w:type="page"/>
              <w:t>MEc</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br w:type="page"/>
              <w:t>MM</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br w:type="page"/>
              <w:t>MTID</w:t>
            </w:r>
            <w:r w:rsidRPr="00135518">
              <w:rPr>
                <w:rFonts w:ascii="Times New Roman" w:hAnsi="Times New Roman" w:cs="Times New Roman"/>
                <w:sz w:val="20"/>
                <w:szCs w:val="20"/>
              </w:rPr>
              <w:br w:type="page"/>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IV 2019</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Suma estimativă </w:t>
            </w:r>
            <w:r w:rsidRPr="00135518">
              <w:rPr>
                <w:rFonts w:ascii="Times New Roman" w:hAnsi="Times New Roman" w:cs="Times New Roman"/>
                <w:sz w:val="20"/>
                <w:szCs w:val="20"/>
              </w:rPr>
              <w:br w:type="page"/>
              <w:t>1.6 miliarde lei</w:t>
            </w:r>
            <w:r w:rsidRPr="00135518">
              <w:rPr>
                <w:rFonts w:ascii="Times New Roman" w:hAnsi="Times New Roman" w:cs="Times New Roman"/>
                <w:sz w:val="20"/>
                <w:szCs w:val="20"/>
              </w:rPr>
              <w:br w:type="page"/>
              <w:t>.</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br w:type="page"/>
              <w:t>Alocații bugetare 1 miliard lei,</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inclusiv</w:t>
            </w:r>
            <w:r w:rsidRPr="00135518">
              <w:rPr>
                <w:rFonts w:ascii="Times New Roman" w:hAnsi="Times New Roman" w:cs="Times New Roman"/>
                <w:sz w:val="20"/>
                <w:szCs w:val="20"/>
              </w:rPr>
              <w:br w:type="page"/>
              <w:t>:</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proiecte finanțate din surse externe – 600 milioane lei.</w:t>
            </w:r>
            <w:r w:rsidRPr="00135518">
              <w:rPr>
                <w:rFonts w:ascii="Times New Roman" w:hAnsi="Times New Roman" w:cs="Times New Roman"/>
                <w:sz w:val="20"/>
                <w:szCs w:val="20"/>
              </w:rPr>
              <w:br w:type="page"/>
            </w:r>
          </w:p>
          <w:p w:rsidR="00135518" w:rsidRPr="00135518" w:rsidRDefault="00135518" w:rsidP="00135518">
            <w:pPr>
              <w:jc w:val="both"/>
              <w:rPr>
                <w:rFonts w:ascii="Times New Roman" w:hAnsi="Times New Roman" w:cs="Times New Roman"/>
                <w:sz w:val="20"/>
                <w:szCs w:val="20"/>
              </w:rPr>
            </w:pPr>
          </w:p>
        </w:tc>
      </w:tr>
      <w:tr w:rsidR="00066A28" w:rsidRPr="008C1179" w:rsidTr="00EC08C0">
        <w:trPr>
          <w:trHeight w:val="435"/>
        </w:trPr>
        <w:tc>
          <w:tcPr>
            <w:tcW w:w="646" w:type="dxa"/>
            <w:vMerge/>
          </w:tcPr>
          <w:p w:rsidR="00066A28" w:rsidRPr="00770701" w:rsidRDefault="00066A28" w:rsidP="006D4D28">
            <w:pPr>
              <w:jc w:val="center"/>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P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b/>
                <w:sz w:val="20"/>
                <w:szCs w:val="20"/>
              </w:rPr>
            </w:pPr>
            <w:r w:rsidRPr="00135518">
              <w:rPr>
                <w:rFonts w:ascii="Times New Roman" w:hAnsi="Times New Roman" w:cs="Times New Roman"/>
                <w:b/>
                <w:sz w:val="20"/>
                <w:szCs w:val="20"/>
              </w:rPr>
              <w:t>I.3.</w:t>
            </w:r>
            <w:r w:rsidRPr="00135518">
              <w:rPr>
                <w:rFonts w:ascii="Times New Roman" w:hAnsi="Times New Roman" w:cs="Times New Roman"/>
                <w:sz w:val="20"/>
                <w:szCs w:val="20"/>
              </w:rPr>
              <w:t xml:space="preserve"> Participarea la elaborarea și aprobarea unui Plan de acțiuni privind regionalizarea serviciilor de AAS în baza criteriilor CIC.</w:t>
            </w:r>
          </w:p>
        </w:tc>
        <w:tc>
          <w:tcPr>
            <w:tcW w:w="1663"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Un Plan de Acțiuni elaborat și aprobat în cadrul CNCDR</w:t>
            </w: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MM </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r w:rsidRPr="00135518">
              <w:rPr>
                <w:rFonts w:ascii="Times New Roman" w:hAnsi="Times New Roman" w:cs="Times New Roman"/>
                <w:sz w:val="20"/>
                <w:szCs w:val="20"/>
              </w:rPr>
              <w:br/>
            </w: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 2017</w:t>
            </w: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estimativă</w:t>
            </w:r>
            <w:r w:rsidRPr="00135518">
              <w:rPr>
                <w:rFonts w:ascii="Times New Roman" w:hAnsi="Times New Roman" w:cs="Times New Roman"/>
                <w:sz w:val="20"/>
                <w:szCs w:val="20"/>
              </w:rPr>
              <w:br/>
              <w:t>200 mii lei.</w:t>
            </w:r>
            <w:r w:rsidRPr="00135518">
              <w:rPr>
                <w:rFonts w:ascii="Times New Roman" w:hAnsi="Times New Roman" w:cs="Times New Roman"/>
                <w:sz w:val="20"/>
                <w:szCs w:val="20"/>
              </w:rPr>
              <w:br/>
              <w:t>Alocații bugetare – 100 mii lei,</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lastRenderedPageBreak/>
              <w:t>inclusiv:</w:t>
            </w:r>
            <w:r w:rsidRPr="00135518">
              <w:rPr>
                <w:rFonts w:ascii="Times New Roman" w:hAnsi="Times New Roman" w:cs="Times New Roman"/>
                <w:sz w:val="20"/>
                <w:szCs w:val="20"/>
              </w:rPr>
              <w:br/>
              <w:t>proiecte finanțate din surse externe – 100 mii lei.</w:t>
            </w:r>
          </w:p>
        </w:tc>
      </w:tr>
      <w:tr w:rsidR="00066A28" w:rsidRPr="008C1179" w:rsidTr="00EC08C0">
        <w:trPr>
          <w:trHeight w:val="687"/>
        </w:trPr>
        <w:tc>
          <w:tcPr>
            <w:tcW w:w="646" w:type="dxa"/>
            <w:vMerge/>
          </w:tcPr>
          <w:p w:rsidR="00066A28" w:rsidRPr="00770701" w:rsidRDefault="00066A28" w:rsidP="006D4D28">
            <w:pPr>
              <w:jc w:val="center"/>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P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b/>
                <w:sz w:val="20"/>
                <w:szCs w:val="20"/>
              </w:rPr>
              <w:t>I.4.</w:t>
            </w:r>
            <w:r w:rsidRPr="00135518">
              <w:rPr>
                <w:rFonts w:ascii="Times New Roman" w:hAnsi="Times New Roman" w:cs="Times New Roman"/>
                <w:sz w:val="20"/>
                <w:szCs w:val="20"/>
              </w:rPr>
              <w:t xml:space="preserve"> Participarea la elaborarea principiilor de regionalizare a serviciilor publice în domeniul MDS și AAS.</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i/>
                <w:sz w:val="20"/>
                <w:szCs w:val="20"/>
              </w:rPr>
              <w:t>(Notă: Propunem preluarea acestor măsuri de către Ministerul Mediuluiîn competența căruia sunt domeniile MDS și AAS; și fiind instituția principală care va dezvolta principiile respective.)</w:t>
            </w:r>
          </w:p>
        </w:tc>
        <w:tc>
          <w:tcPr>
            <w:tcW w:w="1663"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4 ședințe regionale de sensibilizare desfășurate</w:t>
            </w: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MM </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r w:rsidRPr="00135518">
              <w:rPr>
                <w:rFonts w:ascii="Times New Roman" w:hAnsi="Times New Roman" w:cs="Times New Roman"/>
                <w:sz w:val="20"/>
                <w:szCs w:val="20"/>
              </w:rPr>
              <w:br/>
              <w:t>CS</w:t>
            </w: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IV 2017</w:t>
            </w: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estimativă</w:t>
            </w:r>
            <w:r w:rsidRPr="00135518">
              <w:rPr>
                <w:rFonts w:ascii="Times New Roman" w:hAnsi="Times New Roman" w:cs="Times New Roman"/>
                <w:sz w:val="20"/>
                <w:szCs w:val="20"/>
              </w:rPr>
              <w:br/>
              <w:t>100 mii lei.</w:t>
            </w:r>
            <w:r w:rsidRPr="00135518">
              <w:rPr>
                <w:rFonts w:ascii="Times New Roman" w:hAnsi="Times New Roman" w:cs="Times New Roman"/>
                <w:sz w:val="20"/>
                <w:szCs w:val="20"/>
              </w:rPr>
              <w:br/>
              <w:t>Alocații bugetare – 50 mii lei,</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inclusiv:</w:t>
            </w:r>
            <w:r w:rsidRPr="00135518">
              <w:rPr>
                <w:rFonts w:ascii="Times New Roman" w:hAnsi="Times New Roman" w:cs="Times New Roman"/>
                <w:sz w:val="20"/>
                <w:szCs w:val="20"/>
              </w:rPr>
              <w:br/>
              <w:t>proiecte finanțate din surse externe – 50 mii lei.</w:t>
            </w:r>
          </w:p>
        </w:tc>
      </w:tr>
      <w:tr w:rsidR="00066A28" w:rsidRPr="008C1179" w:rsidTr="00EC08C0">
        <w:trPr>
          <w:trHeight w:val="2394"/>
        </w:trPr>
        <w:tc>
          <w:tcPr>
            <w:tcW w:w="646" w:type="dxa"/>
            <w:vMerge w:val="restart"/>
          </w:tcPr>
          <w:p w:rsidR="00066A28" w:rsidRPr="00770701" w:rsidRDefault="00066A28" w:rsidP="006D4D28">
            <w:pPr>
              <w:jc w:val="both"/>
              <w:rPr>
                <w:rFonts w:ascii="Times New Roman" w:hAnsi="Times New Roman"/>
                <w:b/>
                <w:sz w:val="20"/>
                <w:szCs w:val="20"/>
              </w:rPr>
            </w:pPr>
          </w:p>
        </w:tc>
        <w:tc>
          <w:tcPr>
            <w:tcW w:w="2661" w:type="dxa"/>
            <w:vMerge w:val="restart"/>
          </w:tcPr>
          <w:p w:rsidR="00135518" w:rsidRDefault="00066A28" w:rsidP="00135518">
            <w:pPr>
              <w:contextualSpacing/>
              <w:jc w:val="both"/>
              <w:rPr>
                <w:rFonts w:ascii="Times New Roman" w:hAnsi="Times New Roman" w:cs="Times New Roman"/>
                <w:sz w:val="20"/>
                <w:szCs w:val="20"/>
              </w:rPr>
            </w:pPr>
            <w:r w:rsidRPr="003A0C18">
              <w:rPr>
                <w:rFonts w:ascii="Times New Roman" w:hAnsi="Times New Roman" w:cs="Times New Roman"/>
                <w:b/>
                <w:sz w:val="20"/>
                <w:szCs w:val="20"/>
              </w:rPr>
              <w:t>(2)</w:t>
            </w:r>
            <w:r w:rsidRPr="003A0C18">
              <w:rPr>
                <w:rFonts w:ascii="Times New Roman" w:hAnsi="Times New Roman" w:cs="Times New Roman"/>
                <w:sz w:val="20"/>
                <w:szCs w:val="20"/>
              </w:rPr>
              <w:t xml:space="preserve"> În special, părţile cooperează în vederea alinierii practicii Republicii Moldova la următoarele principii: </w:t>
            </w:r>
          </w:p>
          <w:p w:rsidR="00135518" w:rsidRDefault="00066A28" w:rsidP="00135518">
            <w:pPr>
              <w:jc w:val="both"/>
              <w:rPr>
                <w:rFonts w:ascii="Times New Roman" w:hAnsi="Times New Roman" w:cs="Times New Roman"/>
                <w:sz w:val="20"/>
                <w:szCs w:val="20"/>
              </w:rPr>
            </w:pPr>
            <w:r w:rsidRPr="003A0C18">
              <w:rPr>
                <w:rFonts w:ascii="Times New Roman" w:hAnsi="Times New Roman" w:cs="Times New Roman"/>
                <w:b/>
                <w:sz w:val="20"/>
                <w:szCs w:val="20"/>
              </w:rPr>
              <w:t>(a)</w:t>
            </w:r>
            <w:r w:rsidRPr="003A0C18">
              <w:rPr>
                <w:rFonts w:ascii="Times New Roman" w:hAnsi="Times New Roman" w:cs="Times New Roman"/>
                <w:sz w:val="20"/>
                <w:szCs w:val="20"/>
              </w:rPr>
              <w:t xml:space="preserve"> Descentralizarea procesului de luare a deciziilor de la nivelul central la nivelul comunităților regionale</w:t>
            </w:r>
          </w:p>
        </w:tc>
        <w:tc>
          <w:tcPr>
            <w:tcW w:w="1323" w:type="dxa"/>
            <w:vMerge w:val="restart"/>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vAlign w:val="center"/>
          </w:tcPr>
          <w:p w:rsidR="00135518" w:rsidRPr="00135518" w:rsidRDefault="00066A28" w:rsidP="00135518">
            <w:pPr>
              <w:jc w:val="both"/>
              <w:rPr>
                <w:rFonts w:ascii="Times New Roman" w:hAnsi="Times New Roman" w:cs="Times New Roman"/>
                <w:sz w:val="20"/>
                <w:szCs w:val="20"/>
              </w:rPr>
            </w:pPr>
            <w:r>
              <w:rPr>
                <w:rFonts w:ascii="Times New Roman" w:hAnsi="Times New Roman" w:cs="Times New Roman"/>
                <w:b/>
                <w:sz w:val="20"/>
                <w:szCs w:val="20"/>
              </w:rPr>
              <w:t>5</w:t>
            </w:r>
            <w:r w:rsidR="00135518" w:rsidRPr="00135518">
              <w:rPr>
                <w:rFonts w:ascii="Times New Roman" w:hAnsi="Times New Roman" w:cs="Times New Roman"/>
                <w:sz w:val="20"/>
                <w:szCs w:val="20"/>
              </w:rPr>
              <w:t xml:space="preserve"> Conceptualizarea rețelei de centre urbaneși a politicii naționale urbane: </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Elaborarea și aprobarea analizei ex-ante privind identificarea centrelor urbane de dezvoltare.</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tc>
        <w:tc>
          <w:tcPr>
            <w:tcW w:w="1663" w:type="dxa"/>
            <w:tcBorders>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1 analiză ex-ante aprobată.</w:t>
            </w:r>
          </w:p>
        </w:tc>
        <w:tc>
          <w:tcPr>
            <w:tcW w:w="1850" w:type="dxa"/>
            <w:tcBorders>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p>
        </w:tc>
        <w:tc>
          <w:tcPr>
            <w:tcW w:w="2575" w:type="dxa"/>
            <w:tcBorders>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II 2018</w:t>
            </w:r>
          </w:p>
        </w:tc>
        <w:tc>
          <w:tcPr>
            <w:tcW w:w="1844" w:type="dxa"/>
            <w:tcBorders>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estimativă</w:t>
            </w:r>
            <w:r w:rsidRPr="00135518">
              <w:rPr>
                <w:rFonts w:ascii="Times New Roman" w:hAnsi="Times New Roman" w:cs="Times New Roman"/>
                <w:sz w:val="20"/>
                <w:szCs w:val="20"/>
              </w:rPr>
              <w:br/>
              <w:t>120 mii lei</w:t>
            </w:r>
            <w:r w:rsidRPr="00135518">
              <w:rPr>
                <w:rFonts w:ascii="Times New Roman" w:hAnsi="Times New Roman" w:cs="Times New Roman"/>
                <w:sz w:val="20"/>
                <w:szCs w:val="20"/>
              </w:rPr>
              <w:br/>
              <w:t>Alocații bugetare – 84 mii lei,</w:t>
            </w:r>
            <w:r w:rsidRPr="00135518">
              <w:rPr>
                <w:rFonts w:ascii="Times New Roman" w:hAnsi="Times New Roman" w:cs="Times New Roman"/>
                <w:sz w:val="20"/>
                <w:szCs w:val="20"/>
              </w:rPr>
              <w:br/>
            </w:r>
            <w:r w:rsidRPr="00135518">
              <w:rPr>
                <w:rFonts w:ascii="Times New Roman" w:hAnsi="Times New Roman" w:cs="Times New Roman"/>
                <w:sz w:val="20"/>
                <w:szCs w:val="20"/>
              </w:rPr>
              <w:br/>
              <w:t>Alte surse (asistență tehnică) – TAIEX 36 mii lei.</w:t>
            </w:r>
          </w:p>
        </w:tc>
      </w:tr>
      <w:tr w:rsidR="00066A28" w:rsidRPr="008C1179" w:rsidTr="00EC08C0">
        <w:trPr>
          <w:trHeight w:val="591"/>
        </w:trPr>
        <w:tc>
          <w:tcPr>
            <w:tcW w:w="646" w:type="dxa"/>
            <w:vMerge/>
          </w:tcPr>
          <w:p w:rsidR="00066A28" w:rsidRPr="00770701" w:rsidRDefault="00066A28" w:rsidP="006D4D28">
            <w:pPr>
              <w:jc w:val="both"/>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P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vAlign w:val="center"/>
          </w:tcPr>
          <w:p w:rsidR="00135518" w:rsidRPr="00135518" w:rsidRDefault="00066A28" w:rsidP="00135518">
            <w:pPr>
              <w:jc w:val="both"/>
              <w:rPr>
                <w:rFonts w:ascii="Times New Roman" w:hAnsi="Times New Roman" w:cs="Times New Roman"/>
                <w:sz w:val="20"/>
                <w:szCs w:val="20"/>
              </w:rPr>
            </w:pPr>
            <w:r>
              <w:rPr>
                <w:rFonts w:ascii="Times New Roman" w:hAnsi="Times New Roman" w:cs="Times New Roman"/>
                <w:b/>
                <w:sz w:val="20"/>
                <w:szCs w:val="20"/>
              </w:rPr>
              <w:t>I6.</w:t>
            </w:r>
            <w:r w:rsidR="00135518" w:rsidRPr="00135518">
              <w:rPr>
                <w:rFonts w:ascii="Times New Roman" w:hAnsi="Times New Roman" w:cs="Times New Roman"/>
                <w:b/>
                <w:sz w:val="20"/>
                <w:szCs w:val="20"/>
              </w:rPr>
              <w:t>.</w:t>
            </w:r>
            <w:r w:rsidR="00135518" w:rsidRPr="00135518">
              <w:rPr>
                <w:rFonts w:ascii="Times New Roman" w:hAnsi="Times New Roman" w:cs="Times New Roman"/>
                <w:sz w:val="20"/>
                <w:szCs w:val="20"/>
              </w:rPr>
              <w:t xml:space="preserve"> Pregătirea Programelor Regionale Sectoriale pentru susținerea potențialului dezvoltării economice competitive în regiuni.</w:t>
            </w:r>
          </w:p>
        </w:tc>
        <w:tc>
          <w:tcPr>
            <w:tcW w:w="1663"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4 PRS aprobate în cadrul CRD</w:t>
            </w: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r w:rsidRPr="00135518">
              <w:rPr>
                <w:rFonts w:ascii="Times New Roman" w:hAnsi="Times New Roman" w:cs="Times New Roman"/>
                <w:sz w:val="20"/>
                <w:szCs w:val="20"/>
              </w:rPr>
              <w:br/>
              <w:t>MEc</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Ministerul Educației</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Ministerul Muncii</w:t>
            </w: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 2018</w:t>
            </w: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estimativă</w:t>
            </w:r>
            <w:r w:rsidRPr="00135518">
              <w:rPr>
                <w:rFonts w:ascii="Times New Roman" w:hAnsi="Times New Roman" w:cs="Times New Roman"/>
                <w:sz w:val="20"/>
                <w:szCs w:val="20"/>
              </w:rPr>
              <w:br/>
              <w:t>400 mii lei.</w:t>
            </w:r>
            <w:r w:rsidRPr="00135518">
              <w:rPr>
                <w:rFonts w:ascii="Times New Roman" w:hAnsi="Times New Roman" w:cs="Times New Roman"/>
                <w:sz w:val="20"/>
                <w:szCs w:val="20"/>
              </w:rPr>
              <w:br/>
              <w:t>Alocații bugetare – 100 mii lei,</w:t>
            </w:r>
            <w:r w:rsidRPr="00135518">
              <w:rPr>
                <w:rFonts w:ascii="Times New Roman" w:hAnsi="Times New Roman" w:cs="Times New Roman"/>
                <w:sz w:val="20"/>
                <w:szCs w:val="20"/>
              </w:rPr>
              <w:br/>
              <w:t>inclusiv:</w:t>
            </w:r>
            <w:r w:rsidRPr="00135518">
              <w:rPr>
                <w:rFonts w:ascii="Times New Roman" w:hAnsi="Times New Roman" w:cs="Times New Roman"/>
                <w:sz w:val="20"/>
                <w:szCs w:val="20"/>
              </w:rPr>
              <w:br/>
              <w:t>proiecte finanțate din surse externe – 300 mii lei.</w:t>
            </w:r>
          </w:p>
        </w:tc>
      </w:tr>
      <w:tr w:rsidR="00066A28" w:rsidRPr="008C1179" w:rsidTr="00EC08C0">
        <w:trPr>
          <w:trHeight w:val="485"/>
        </w:trPr>
        <w:tc>
          <w:tcPr>
            <w:tcW w:w="646" w:type="dxa"/>
            <w:vMerge/>
          </w:tcPr>
          <w:p w:rsidR="00066A28" w:rsidRPr="00770701" w:rsidRDefault="00066A28" w:rsidP="006D4D28">
            <w:pPr>
              <w:jc w:val="both"/>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P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c>
          <w:tcPr>
            <w:tcW w:w="1663"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r>
      <w:tr w:rsidR="00066A28" w:rsidRPr="008C1179" w:rsidTr="00EC08C0">
        <w:trPr>
          <w:trHeight w:val="653"/>
        </w:trPr>
        <w:tc>
          <w:tcPr>
            <w:tcW w:w="646" w:type="dxa"/>
            <w:vMerge/>
          </w:tcPr>
          <w:p w:rsidR="00066A28" w:rsidRPr="00770701" w:rsidRDefault="00066A28" w:rsidP="006D4D28">
            <w:pPr>
              <w:jc w:val="both"/>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P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b/>
                <w:sz w:val="20"/>
                <w:szCs w:val="20"/>
              </w:rPr>
              <w:t>I</w:t>
            </w:r>
            <w:r w:rsidR="00066A28">
              <w:rPr>
                <w:rFonts w:ascii="Times New Roman" w:hAnsi="Times New Roman" w:cs="Times New Roman"/>
                <w:b/>
                <w:sz w:val="20"/>
                <w:szCs w:val="20"/>
              </w:rPr>
              <w:t>8</w:t>
            </w:r>
            <w:r w:rsidRPr="00135518">
              <w:rPr>
                <w:rFonts w:ascii="Times New Roman" w:hAnsi="Times New Roman" w:cs="Times New Roman"/>
                <w:b/>
                <w:sz w:val="20"/>
                <w:szCs w:val="20"/>
              </w:rPr>
              <w:t>.</w:t>
            </w:r>
            <w:r w:rsidRPr="00135518">
              <w:rPr>
                <w:rFonts w:ascii="Times New Roman" w:hAnsi="Times New Roman" w:cs="Times New Roman"/>
                <w:sz w:val="20"/>
                <w:szCs w:val="20"/>
              </w:rPr>
              <w:t xml:space="preserve"> Consolidarea și dezvoltarea infrastructurii și a serviciilor turistice în regiunile de </w:t>
            </w:r>
            <w:r w:rsidRPr="00135518">
              <w:rPr>
                <w:rFonts w:ascii="Times New Roman" w:hAnsi="Times New Roman" w:cs="Times New Roman"/>
                <w:sz w:val="20"/>
                <w:szCs w:val="20"/>
              </w:rPr>
              <w:lastRenderedPageBreak/>
              <w:t>dezvoltare: Elaborarea Programelor Regionale Sectoriale de dezvoltare a turismului în regiunile de dezvoltare.</w:t>
            </w:r>
          </w:p>
        </w:tc>
        <w:tc>
          <w:tcPr>
            <w:tcW w:w="1663"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lastRenderedPageBreak/>
              <w:t>4 PRS aprobate în cadrul CRD</w:t>
            </w: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r w:rsidRPr="00135518">
              <w:rPr>
                <w:rFonts w:ascii="Times New Roman" w:hAnsi="Times New Roman" w:cs="Times New Roman"/>
                <w:sz w:val="20"/>
                <w:szCs w:val="20"/>
              </w:rPr>
              <w:br/>
              <w:t>Ag. Turismului</w:t>
            </w: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IV 2017</w:t>
            </w: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Suma estimativă 300 mii lei Alocații bugetare – 300 mii </w:t>
            </w:r>
            <w:r w:rsidRPr="00135518">
              <w:rPr>
                <w:rFonts w:ascii="Times New Roman" w:hAnsi="Times New Roman" w:cs="Times New Roman"/>
                <w:sz w:val="20"/>
                <w:szCs w:val="20"/>
              </w:rPr>
              <w:lastRenderedPageBreak/>
              <w:t>lei.</w:t>
            </w:r>
          </w:p>
        </w:tc>
      </w:tr>
      <w:tr w:rsidR="00066A28" w:rsidRPr="008C1179" w:rsidTr="00EC08C0">
        <w:trPr>
          <w:trHeight w:val="552"/>
        </w:trPr>
        <w:tc>
          <w:tcPr>
            <w:tcW w:w="646" w:type="dxa"/>
            <w:vMerge/>
          </w:tcPr>
          <w:p w:rsidR="00066A28" w:rsidRPr="00770701" w:rsidRDefault="00066A28" w:rsidP="006D4D28">
            <w:pPr>
              <w:jc w:val="both"/>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P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135518" w:rsidRPr="00135518" w:rsidRDefault="00135518" w:rsidP="00135518">
            <w:pPr>
              <w:jc w:val="both"/>
              <w:rPr>
                <w:rFonts w:ascii="Times New Roman" w:hAnsi="Times New Roman" w:cs="Times New Roman"/>
                <w:sz w:val="20"/>
                <w:szCs w:val="20"/>
              </w:rPr>
            </w:pPr>
          </w:p>
        </w:tc>
        <w:tc>
          <w:tcPr>
            <w:tcW w:w="1663"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c>
          <w:tcPr>
            <w:tcW w:w="2575" w:type="dxa"/>
            <w:tcBorders>
              <w:top w:val="single" w:sz="4" w:space="0" w:color="auto"/>
              <w:bottom w:val="single" w:sz="4" w:space="0" w:color="auto"/>
            </w:tcBorders>
          </w:tcPr>
          <w:p w:rsidR="00135518" w:rsidRPr="00135518" w:rsidRDefault="00135518" w:rsidP="00135518">
            <w:pPr>
              <w:jc w:val="both"/>
              <w:rPr>
                <w:rFonts w:ascii="Times New Roman" w:hAnsi="Times New Roman" w:cs="Times New Roman"/>
                <w:sz w:val="20"/>
                <w:szCs w:val="20"/>
              </w:rPr>
            </w:pP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r>
      <w:tr w:rsidR="00066A28" w:rsidRPr="008C1179" w:rsidTr="00EC08C0">
        <w:tc>
          <w:tcPr>
            <w:tcW w:w="646" w:type="dxa"/>
          </w:tcPr>
          <w:p w:rsidR="00066A28" w:rsidRPr="00770701" w:rsidRDefault="00066A28" w:rsidP="006D4D28">
            <w:pPr>
              <w:jc w:val="both"/>
              <w:rPr>
                <w:rFonts w:ascii="Times New Roman" w:hAnsi="Times New Roman"/>
                <w:b/>
                <w:sz w:val="20"/>
                <w:szCs w:val="20"/>
              </w:rPr>
            </w:pPr>
          </w:p>
        </w:tc>
        <w:tc>
          <w:tcPr>
            <w:tcW w:w="2661" w:type="dxa"/>
          </w:tcPr>
          <w:p w:rsidR="00135518" w:rsidRDefault="00066A28" w:rsidP="00135518">
            <w:pPr>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(b) </w:t>
            </w:r>
            <w:r w:rsidRPr="003A0C18">
              <w:rPr>
                <w:rFonts w:ascii="Times New Roman" w:hAnsi="Times New Roman" w:cs="Times New Roman"/>
                <w:sz w:val="20"/>
                <w:szCs w:val="20"/>
              </w:rPr>
              <w:t>Consolidarea parteneriatului dintre toate părțile implicate în dezvoltarea regională</w:t>
            </w: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850"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575"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844" w:type="dxa"/>
          </w:tcPr>
          <w:p w:rsidR="00135518" w:rsidRDefault="00135518" w:rsidP="00135518">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D4D28">
            <w:pPr>
              <w:jc w:val="both"/>
              <w:rPr>
                <w:rFonts w:ascii="Times New Roman" w:hAnsi="Times New Roman"/>
                <w:b/>
                <w:sz w:val="20"/>
                <w:szCs w:val="20"/>
              </w:rPr>
            </w:pPr>
          </w:p>
        </w:tc>
        <w:tc>
          <w:tcPr>
            <w:tcW w:w="2661" w:type="dxa"/>
          </w:tcPr>
          <w:p w:rsidR="00135518" w:rsidRDefault="00066A28" w:rsidP="00135518">
            <w:pPr>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(c) </w:t>
            </w:r>
            <w:r w:rsidRPr="003A0C18">
              <w:rPr>
                <w:rFonts w:ascii="Times New Roman" w:hAnsi="Times New Roman" w:cs="Times New Roman"/>
                <w:sz w:val="20"/>
                <w:szCs w:val="20"/>
              </w:rPr>
              <w:t>Cofinanțarea prin intermediul contribuției financiare a părților implicate în implementarea programelor și a proiectelor de dezvoltare regională</w:t>
            </w: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850"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575"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844" w:type="dxa"/>
          </w:tcPr>
          <w:p w:rsidR="00135518" w:rsidRDefault="00135518" w:rsidP="00135518">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D4D28">
            <w:pPr>
              <w:jc w:val="both"/>
              <w:rPr>
                <w:rFonts w:ascii="Times New Roman" w:hAnsi="Times New Roman"/>
                <w:b/>
                <w:sz w:val="20"/>
                <w:szCs w:val="20"/>
              </w:rPr>
            </w:pPr>
          </w:p>
        </w:tc>
        <w:tc>
          <w:tcPr>
            <w:tcW w:w="2661" w:type="dxa"/>
          </w:tcPr>
          <w:p w:rsidR="00135518" w:rsidRDefault="00135518" w:rsidP="00135518">
            <w:pPr>
              <w:contextualSpacing/>
              <w:jc w:val="both"/>
              <w:rPr>
                <w:rFonts w:ascii="Times New Roman" w:eastAsiaTheme="majorEastAsia" w:hAnsi="Times New Roman" w:cs="Times New Roman"/>
                <w:b/>
                <w:bCs/>
                <w:color w:val="4F81BD" w:themeColor="accent1"/>
                <w:sz w:val="20"/>
                <w:szCs w:val="20"/>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066A28" w:rsidP="00135518">
            <w:pPr>
              <w:jc w:val="both"/>
              <w:rPr>
                <w:rFonts w:ascii="Times New Roman" w:eastAsia="Calibri" w:hAnsi="Times New Roman" w:cs="Times New Roman"/>
                <w:b/>
                <w:sz w:val="20"/>
                <w:szCs w:val="20"/>
              </w:rPr>
            </w:pPr>
            <w:r>
              <w:rPr>
                <w:rFonts w:ascii="Times New Roman" w:hAnsi="Times New Roman" w:cs="Times New Roman"/>
                <w:b/>
                <w:sz w:val="20"/>
                <w:szCs w:val="20"/>
              </w:rPr>
              <w:t>I10</w:t>
            </w:r>
            <w:r w:rsidR="00135518" w:rsidRPr="00135518">
              <w:rPr>
                <w:rFonts w:ascii="Times New Roman" w:hAnsi="Times New Roman" w:cs="Times New Roman"/>
                <w:b/>
                <w:sz w:val="20"/>
                <w:szCs w:val="20"/>
              </w:rPr>
              <w:t>.</w:t>
            </w:r>
            <w:r w:rsidR="00135518" w:rsidRPr="00135518">
              <w:rPr>
                <w:rFonts w:ascii="Times New Roman" w:hAnsi="Times New Roman" w:cs="Times New Roman"/>
                <w:sz w:val="20"/>
                <w:szCs w:val="20"/>
              </w:rPr>
              <w:t xml:space="preserve"> Evaluarea necesităților de consolidare a capacităților actorilor la nivel local și regional.</w:t>
            </w:r>
          </w:p>
        </w:tc>
        <w:tc>
          <w:tcPr>
            <w:tcW w:w="1663" w:type="dxa"/>
            <w:vAlign w:val="center"/>
          </w:tcPr>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1 raport privind evaluarea necesităților de instruire elaborat.</w:t>
            </w:r>
          </w:p>
        </w:tc>
        <w:tc>
          <w:tcPr>
            <w:tcW w:w="1850" w:type="dxa"/>
            <w:vAlign w:val="center"/>
          </w:tcPr>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 xml:space="preserve">  MDRC</w:t>
            </w:r>
          </w:p>
        </w:tc>
        <w:tc>
          <w:tcPr>
            <w:tcW w:w="2575" w:type="dxa"/>
            <w:vAlign w:val="center"/>
          </w:tcPr>
          <w:p w:rsidR="00135518" w:rsidRDefault="00135518" w:rsidP="00135518">
            <w:pPr>
              <w:jc w:val="both"/>
              <w:rPr>
                <w:rFonts w:ascii="Times New Roman" w:hAnsi="Times New Roman" w:cs="Times New Roman"/>
                <w:b/>
                <w:sz w:val="20"/>
                <w:szCs w:val="20"/>
              </w:rPr>
            </w:pPr>
            <w:r w:rsidRPr="00135518">
              <w:rPr>
                <w:rFonts w:ascii="Times New Roman" w:hAnsi="Times New Roman" w:cs="Times New Roman"/>
                <w:sz w:val="20"/>
                <w:szCs w:val="20"/>
              </w:rPr>
              <w:t>Trimestrul II 2017</w:t>
            </w:r>
          </w:p>
        </w:tc>
        <w:tc>
          <w:tcPr>
            <w:tcW w:w="1844" w:type="dxa"/>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estimativă 100 mii lei.</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Alocații bugetare – 50 mii lei, inclusiv:</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proiecte finanțate din surse externe -50 mii lei.</w:t>
            </w:r>
          </w:p>
        </w:tc>
      </w:tr>
      <w:tr w:rsidR="00066A28" w:rsidRPr="008C1179" w:rsidTr="00EC08C0">
        <w:tc>
          <w:tcPr>
            <w:tcW w:w="646" w:type="dxa"/>
          </w:tcPr>
          <w:p w:rsidR="00066A28" w:rsidRPr="00770701" w:rsidRDefault="00066A28" w:rsidP="00F44945">
            <w:pPr>
              <w:jc w:val="both"/>
              <w:rPr>
                <w:rFonts w:ascii="Times New Roman" w:hAnsi="Times New Roman"/>
                <w:b/>
                <w:sz w:val="20"/>
                <w:szCs w:val="20"/>
              </w:rPr>
            </w:pPr>
          </w:p>
        </w:tc>
        <w:tc>
          <w:tcPr>
            <w:tcW w:w="2661" w:type="dxa"/>
          </w:tcPr>
          <w:p w:rsidR="00135518" w:rsidRDefault="00135518" w:rsidP="00135518">
            <w:pPr>
              <w:contextualSpacing/>
              <w:jc w:val="both"/>
              <w:rPr>
                <w:rFonts w:ascii="Times New Roman" w:hAnsi="Times New Roman" w:cs="Times New Roman"/>
                <w:b/>
                <w:sz w:val="20"/>
                <w:szCs w:val="20"/>
              </w:rPr>
            </w:pPr>
          </w:p>
        </w:tc>
        <w:tc>
          <w:tcPr>
            <w:tcW w:w="1323" w:type="dxa"/>
          </w:tcPr>
          <w:p w:rsidR="00135518" w:rsidRDefault="00135518" w:rsidP="00135518">
            <w:pPr>
              <w:jc w:val="both"/>
              <w:rPr>
                <w:rFonts w:ascii="Times New Roman" w:eastAsia="Calibri" w:hAnsi="Times New Roman" w:cs="Times New Roman"/>
                <w:b/>
                <w:sz w:val="20"/>
                <w:szCs w:val="20"/>
              </w:rPr>
            </w:pPr>
          </w:p>
        </w:tc>
        <w:tc>
          <w:tcPr>
            <w:tcW w:w="2857" w:type="dxa"/>
            <w:vAlign w:val="center"/>
          </w:tcPr>
          <w:p w:rsidR="00135518" w:rsidRDefault="00066A28" w:rsidP="00135518">
            <w:pPr>
              <w:jc w:val="both"/>
              <w:rPr>
                <w:rFonts w:ascii="Times New Roman" w:eastAsia="Calibri" w:hAnsi="Times New Roman" w:cs="Times New Roman"/>
                <w:b/>
                <w:sz w:val="20"/>
                <w:szCs w:val="20"/>
              </w:rPr>
            </w:pPr>
            <w:r>
              <w:rPr>
                <w:rFonts w:ascii="Times New Roman" w:hAnsi="Times New Roman" w:cs="Times New Roman"/>
                <w:b/>
                <w:sz w:val="20"/>
                <w:szCs w:val="20"/>
              </w:rPr>
              <w:t>I11</w:t>
            </w:r>
            <w:r w:rsidR="00135518" w:rsidRPr="00135518">
              <w:rPr>
                <w:rFonts w:ascii="Times New Roman" w:hAnsi="Times New Roman" w:cs="Times New Roman"/>
                <w:b/>
                <w:sz w:val="20"/>
                <w:szCs w:val="20"/>
              </w:rPr>
              <w:t>.</w:t>
            </w:r>
            <w:r w:rsidR="00135518" w:rsidRPr="00135518">
              <w:rPr>
                <w:rFonts w:ascii="Times New Roman" w:hAnsi="Times New Roman" w:cs="Times New Roman"/>
                <w:sz w:val="20"/>
                <w:szCs w:val="20"/>
              </w:rPr>
              <w:t xml:space="preserve"> Elaborarea programului de Instruiri.</w:t>
            </w:r>
          </w:p>
        </w:tc>
        <w:tc>
          <w:tcPr>
            <w:tcW w:w="1663" w:type="dxa"/>
            <w:vAlign w:val="center"/>
          </w:tcPr>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1 Program de dezvoltare a capacităților elaborat anual.</w:t>
            </w:r>
          </w:p>
        </w:tc>
        <w:tc>
          <w:tcPr>
            <w:tcW w:w="1850" w:type="dxa"/>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MDRC</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Cancelaria de Stat</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Academia de Administrare Publică</w:t>
            </w:r>
          </w:p>
        </w:tc>
        <w:tc>
          <w:tcPr>
            <w:tcW w:w="2575" w:type="dxa"/>
            <w:vAlign w:val="center"/>
          </w:tcPr>
          <w:p w:rsidR="00135518" w:rsidRDefault="00135518" w:rsidP="00135518">
            <w:pPr>
              <w:jc w:val="both"/>
              <w:rPr>
                <w:rFonts w:ascii="Times New Roman" w:hAnsi="Times New Roman" w:cs="Times New Roman"/>
                <w:b/>
                <w:sz w:val="20"/>
                <w:szCs w:val="20"/>
              </w:rPr>
            </w:pPr>
            <w:r w:rsidRPr="00135518">
              <w:rPr>
                <w:rFonts w:ascii="Times New Roman" w:hAnsi="Times New Roman" w:cs="Times New Roman"/>
                <w:sz w:val="20"/>
                <w:szCs w:val="20"/>
              </w:rPr>
              <w:t>Trimestrul IV 2019</w:t>
            </w:r>
          </w:p>
        </w:tc>
        <w:tc>
          <w:tcPr>
            <w:tcW w:w="1844" w:type="dxa"/>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Suma estimativă 150 mii lei. Alocații bugetare - 50 mii lei, inclusiv: </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proiecte finanțate din surse externe -100 mii lei.</w:t>
            </w:r>
          </w:p>
        </w:tc>
      </w:tr>
      <w:tr w:rsidR="00066A28" w:rsidRPr="008C1179" w:rsidTr="00EC08C0">
        <w:tc>
          <w:tcPr>
            <w:tcW w:w="646" w:type="dxa"/>
          </w:tcPr>
          <w:p w:rsidR="00066A28" w:rsidRPr="00770701" w:rsidRDefault="00066A28" w:rsidP="00F44945">
            <w:pPr>
              <w:jc w:val="center"/>
              <w:rPr>
                <w:rFonts w:ascii="Times New Roman" w:hAnsi="Times New Roman"/>
                <w:b/>
                <w:sz w:val="20"/>
                <w:szCs w:val="20"/>
              </w:rPr>
            </w:pPr>
          </w:p>
        </w:tc>
        <w:tc>
          <w:tcPr>
            <w:tcW w:w="2661" w:type="dxa"/>
          </w:tcPr>
          <w:p w:rsidR="00135518" w:rsidRDefault="00135518" w:rsidP="00135518">
            <w:pPr>
              <w:contextualSpacing/>
              <w:jc w:val="both"/>
              <w:rPr>
                <w:rFonts w:ascii="Times New Roman" w:hAnsi="Times New Roman" w:cs="Times New Roman"/>
                <w:b/>
                <w:sz w:val="20"/>
                <w:szCs w:val="20"/>
              </w:rPr>
            </w:pPr>
          </w:p>
        </w:tc>
        <w:tc>
          <w:tcPr>
            <w:tcW w:w="1323" w:type="dxa"/>
          </w:tcPr>
          <w:p w:rsidR="00135518" w:rsidRDefault="00135518" w:rsidP="00135518">
            <w:pPr>
              <w:jc w:val="both"/>
              <w:rPr>
                <w:rFonts w:ascii="Times New Roman" w:eastAsia="Calibri" w:hAnsi="Times New Roman" w:cs="Times New Roman"/>
                <w:b/>
                <w:sz w:val="20"/>
                <w:szCs w:val="20"/>
              </w:rPr>
            </w:pPr>
          </w:p>
        </w:tc>
        <w:tc>
          <w:tcPr>
            <w:tcW w:w="2857" w:type="dxa"/>
            <w:vAlign w:val="center"/>
          </w:tcPr>
          <w:p w:rsidR="00135518" w:rsidRPr="00135518" w:rsidRDefault="00066A28" w:rsidP="00135518">
            <w:pPr>
              <w:shd w:val="clear" w:color="auto" w:fill="D99594" w:themeFill="accent2" w:themeFillTint="99"/>
              <w:jc w:val="both"/>
              <w:rPr>
                <w:rFonts w:ascii="Times New Roman" w:hAnsi="Times New Roman" w:cs="Times New Roman"/>
                <w:sz w:val="20"/>
                <w:szCs w:val="20"/>
              </w:rPr>
            </w:pPr>
            <w:r>
              <w:rPr>
                <w:rFonts w:ascii="Times New Roman" w:hAnsi="Times New Roman" w:cs="Times New Roman"/>
                <w:b/>
                <w:sz w:val="20"/>
                <w:szCs w:val="20"/>
              </w:rPr>
              <w:t>I12</w:t>
            </w:r>
            <w:r w:rsidR="00135518" w:rsidRPr="00135518">
              <w:rPr>
                <w:rFonts w:ascii="Times New Roman" w:hAnsi="Times New Roman" w:cs="Times New Roman"/>
                <w:b/>
                <w:sz w:val="20"/>
                <w:szCs w:val="20"/>
              </w:rPr>
              <w:t>.</w:t>
            </w:r>
            <w:r w:rsidR="00135518" w:rsidRPr="00135518">
              <w:rPr>
                <w:rFonts w:ascii="Times New Roman" w:hAnsi="Times New Roman" w:cs="Times New Roman"/>
                <w:sz w:val="20"/>
                <w:szCs w:val="20"/>
              </w:rPr>
              <w:t xml:space="preserve"> Consolidarea capacităților instituționale ale colaboratorilor MDRC responsabili de politica regională, ADR și beneficiarilor locali.</w:t>
            </w:r>
          </w:p>
          <w:p w:rsidR="00135518" w:rsidRPr="00135518" w:rsidRDefault="00135518" w:rsidP="00135518">
            <w:pPr>
              <w:jc w:val="both"/>
              <w:rPr>
                <w:rFonts w:ascii="Times New Roman" w:hAnsi="Times New Roman" w:cs="Times New Roman"/>
                <w:sz w:val="20"/>
                <w:szCs w:val="20"/>
              </w:rPr>
            </w:pP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 xml:space="preserve">Suport direct pentru dezvoltarea </w:t>
            </w:r>
            <w:r w:rsidRPr="00135518">
              <w:rPr>
                <w:rFonts w:ascii="Times New Roman" w:hAnsi="Times New Roman" w:cs="Times New Roman"/>
                <w:sz w:val="20"/>
                <w:szCs w:val="20"/>
              </w:rPr>
              <w:lastRenderedPageBreak/>
              <w:t>capacităților operaționale ale ADR UTA Găgăuzia nou formate.</w:t>
            </w:r>
          </w:p>
        </w:tc>
        <w:tc>
          <w:tcPr>
            <w:tcW w:w="1663" w:type="dxa"/>
            <w:vAlign w:val="center"/>
          </w:tcPr>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lastRenderedPageBreak/>
              <w:t>1 agenție de dezvoltare regională funcțională</w:t>
            </w:r>
          </w:p>
        </w:tc>
        <w:tc>
          <w:tcPr>
            <w:tcW w:w="1850" w:type="dxa"/>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MEc</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CS</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MM</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MTID</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Ministerul Educației</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lastRenderedPageBreak/>
              <w:t>Ministerul Muncii și Protecției Sociale</w:t>
            </w:r>
          </w:p>
        </w:tc>
        <w:tc>
          <w:tcPr>
            <w:tcW w:w="2575" w:type="dxa"/>
            <w:vAlign w:val="center"/>
          </w:tcPr>
          <w:p w:rsidR="00135518" w:rsidRDefault="00135518" w:rsidP="00135518">
            <w:pPr>
              <w:jc w:val="both"/>
              <w:rPr>
                <w:rFonts w:ascii="Times New Roman" w:hAnsi="Times New Roman" w:cs="Times New Roman"/>
                <w:b/>
                <w:sz w:val="20"/>
                <w:szCs w:val="20"/>
              </w:rPr>
            </w:pPr>
            <w:r w:rsidRPr="00135518">
              <w:rPr>
                <w:rFonts w:ascii="Times New Roman" w:hAnsi="Times New Roman" w:cs="Times New Roman"/>
                <w:sz w:val="20"/>
                <w:szCs w:val="20"/>
              </w:rPr>
              <w:lastRenderedPageBreak/>
              <w:t>Trimestrul IV 2017</w:t>
            </w:r>
          </w:p>
        </w:tc>
        <w:tc>
          <w:tcPr>
            <w:tcW w:w="1844" w:type="dxa"/>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estimativă 1 milion lei.</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alocată în 2016 – 500 mii lei.</w:t>
            </w:r>
          </w:p>
          <w:p w:rsidR="00135518" w:rsidRDefault="00135518" w:rsidP="00135518">
            <w:pPr>
              <w:jc w:val="both"/>
              <w:rPr>
                <w:rFonts w:ascii="Times New Roman" w:eastAsia="Calibri" w:hAnsi="Times New Roman" w:cs="Times New Roman"/>
                <w:b/>
                <w:sz w:val="20"/>
                <w:szCs w:val="20"/>
              </w:rPr>
            </w:pPr>
          </w:p>
        </w:tc>
      </w:tr>
      <w:tr w:rsidR="00066A28" w:rsidRPr="008C1179" w:rsidTr="00EC08C0">
        <w:tc>
          <w:tcPr>
            <w:tcW w:w="646" w:type="dxa"/>
          </w:tcPr>
          <w:p w:rsidR="00066A28" w:rsidRPr="00770701" w:rsidRDefault="00066A28" w:rsidP="00F44945">
            <w:pPr>
              <w:jc w:val="center"/>
              <w:rPr>
                <w:rFonts w:ascii="Times New Roman" w:hAnsi="Times New Roman"/>
                <w:b/>
                <w:sz w:val="20"/>
                <w:szCs w:val="20"/>
              </w:rPr>
            </w:pPr>
          </w:p>
        </w:tc>
        <w:tc>
          <w:tcPr>
            <w:tcW w:w="2661" w:type="dxa"/>
          </w:tcPr>
          <w:p w:rsidR="00135518" w:rsidRDefault="00135518" w:rsidP="00135518">
            <w:pPr>
              <w:contextualSpacing/>
              <w:jc w:val="both"/>
              <w:rPr>
                <w:rFonts w:ascii="Times New Roman" w:hAnsi="Times New Roman" w:cs="Times New Roman"/>
                <w:b/>
                <w:sz w:val="20"/>
                <w:szCs w:val="20"/>
              </w:rPr>
            </w:pPr>
          </w:p>
        </w:tc>
        <w:tc>
          <w:tcPr>
            <w:tcW w:w="1323" w:type="dxa"/>
            <w:vAlign w:val="center"/>
          </w:tcPr>
          <w:p w:rsidR="00135518" w:rsidRDefault="00135518" w:rsidP="00135518">
            <w:pPr>
              <w:jc w:val="both"/>
              <w:rPr>
                <w:rFonts w:ascii="Times New Roman" w:eastAsia="Calibri" w:hAnsi="Times New Roman" w:cs="Times New Roman"/>
                <w:b/>
                <w:sz w:val="20"/>
                <w:szCs w:val="20"/>
              </w:rPr>
            </w:pPr>
          </w:p>
        </w:tc>
        <w:tc>
          <w:tcPr>
            <w:tcW w:w="2857" w:type="dxa"/>
            <w:vAlign w:val="center"/>
          </w:tcPr>
          <w:p w:rsidR="00135518" w:rsidRDefault="00066A28" w:rsidP="00135518">
            <w:pPr>
              <w:jc w:val="both"/>
              <w:rPr>
                <w:rFonts w:ascii="Times New Roman" w:eastAsia="Calibri" w:hAnsi="Times New Roman" w:cs="Times New Roman"/>
                <w:b/>
                <w:sz w:val="20"/>
                <w:szCs w:val="20"/>
              </w:rPr>
            </w:pPr>
            <w:r>
              <w:rPr>
                <w:rFonts w:ascii="Times New Roman" w:hAnsi="Times New Roman" w:cs="Times New Roman"/>
                <w:b/>
                <w:sz w:val="20"/>
                <w:szCs w:val="20"/>
              </w:rPr>
              <w:t>I13</w:t>
            </w:r>
          </w:p>
        </w:tc>
        <w:tc>
          <w:tcPr>
            <w:tcW w:w="1663" w:type="dxa"/>
            <w:vAlign w:val="center"/>
          </w:tcPr>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1 mecanism de colaborare stabilit.</w:t>
            </w:r>
          </w:p>
        </w:tc>
        <w:tc>
          <w:tcPr>
            <w:tcW w:w="1850" w:type="dxa"/>
            <w:vAlign w:val="center"/>
          </w:tcPr>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MDRC</w:t>
            </w:r>
            <w:r w:rsidRPr="00135518">
              <w:rPr>
                <w:rFonts w:ascii="Times New Roman" w:hAnsi="Times New Roman" w:cs="Times New Roman"/>
                <w:sz w:val="20"/>
                <w:szCs w:val="20"/>
              </w:rPr>
              <w:br/>
              <w:t>CS</w:t>
            </w:r>
            <w:r w:rsidRPr="00135518">
              <w:rPr>
                <w:rFonts w:ascii="Times New Roman" w:hAnsi="Times New Roman" w:cs="Times New Roman"/>
                <w:sz w:val="20"/>
                <w:szCs w:val="20"/>
              </w:rPr>
              <w:br/>
              <w:t>Mec</w:t>
            </w:r>
            <w:r w:rsidRPr="00135518">
              <w:rPr>
                <w:rFonts w:ascii="Times New Roman" w:hAnsi="Times New Roman" w:cs="Times New Roman"/>
                <w:sz w:val="20"/>
                <w:szCs w:val="20"/>
              </w:rPr>
              <w:br/>
              <w:t>MM</w:t>
            </w:r>
            <w:r w:rsidRPr="00135518">
              <w:rPr>
                <w:rFonts w:ascii="Times New Roman" w:hAnsi="Times New Roman" w:cs="Times New Roman"/>
                <w:sz w:val="20"/>
                <w:szCs w:val="20"/>
              </w:rPr>
              <w:br/>
              <w:t>MTID</w:t>
            </w:r>
            <w:r w:rsidRPr="00135518">
              <w:rPr>
                <w:rFonts w:ascii="Times New Roman" w:hAnsi="Times New Roman" w:cs="Times New Roman"/>
                <w:sz w:val="20"/>
                <w:szCs w:val="20"/>
              </w:rPr>
              <w:br/>
              <w:t>Ag. Turismului</w:t>
            </w:r>
            <w:r w:rsidRPr="00135518">
              <w:rPr>
                <w:rFonts w:ascii="Times New Roman" w:hAnsi="Times New Roman" w:cs="Times New Roman"/>
                <w:sz w:val="20"/>
                <w:szCs w:val="20"/>
              </w:rPr>
              <w:br/>
              <w:t>MAIA</w:t>
            </w:r>
          </w:p>
        </w:tc>
        <w:tc>
          <w:tcPr>
            <w:tcW w:w="2575" w:type="dxa"/>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Default="00135518" w:rsidP="00135518">
            <w:pPr>
              <w:jc w:val="both"/>
              <w:rPr>
                <w:rFonts w:ascii="Times New Roman" w:hAnsi="Times New Roman" w:cs="Times New Roman"/>
                <w:b/>
                <w:sz w:val="20"/>
                <w:szCs w:val="20"/>
              </w:rPr>
            </w:pPr>
            <w:r w:rsidRPr="00135518">
              <w:rPr>
                <w:rFonts w:ascii="Times New Roman" w:hAnsi="Times New Roman" w:cs="Times New Roman"/>
                <w:sz w:val="20"/>
                <w:szCs w:val="20"/>
              </w:rPr>
              <w:t>Trimestrul IV 2017</w:t>
            </w:r>
          </w:p>
        </w:tc>
        <w:tc>
          <w:tcPr>
            <w:tcW w:w="1844" w:type="dxa"/>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Suma estimativă 100 mii lei. Alocații bugetare - 50 mii lei, inclusiv: </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proiecte finanțate din surse externe -50 mii lei.</w:t>
            </w:r>
          </w:p>
        </w:tc>
      </w:tr>
      <w:tr w:rsidR="00066A28" w:rsidRPr="008C1179" w:rsidTr="00EC08C0">
        <w:tc>
          <w:tcPr>
            <w:tcW w:w="646" w:type="dxa"/>
          </w:tcPr>
          <w:p w:rsidR="00066A28" w:rsidRPr="00770701" w:rsidRDefault="00066A28" w:rsidP="00F44945">
            <w:pPr>
              <w:jc w:val="center"/>
              <w:rPr>
                <w:rFonts w:ascii="Times New Roman" w:hAnsi="Times New Roman"/>
                <w:b/>
                <w:sz w:val="20"/>
                <w:szCs w:val="20"/>
              </w:rPr>
            </w:pPr>
          </w:p>
        </w:tc>
        <w:tc>
          <w:tcPr>
            <w:tcW w:w="2661" w:type="dxa"/>
          </w:tcPr>
          <w:p w:rsidR="00135518" w:rsidRDefault="00135518" w:rsidP="00135518">
            <w:pPr>
              <w:contextualSpacing/>
              <w:jc w:val="both"/>
              <w:rPr>
                <w:rFonts w:ascii="Times New Roman" w:hAnsi="Times New Roman" w:cs="Times New Roman"/>
                <w:b/>
                <w:sz w:val="20"/>
                <w:szCs w:val="20"/>
              </w:rPr>
            </w:pPr>
          </w:p>
        </w:tc>
        <w:tc>
          <w:tcPr>
            <w:tcW w:w="1323" w:type="dxa"/>
          </w:tcPr>
          <w:p w:rsidR="00135518" w:rsidRDefault="00135518" w:rsidP="00135518">
            <w:pPr>
              <w:jc w:val="both"/>
              <w:rPr>
                <w:rFonts w:ascii="Times New Roman" w:eastAsia="Calibri" w:hAnsi="Times New Roman" w:cs="Times New Roman"/>
                <w:b/>
                <w:sz w:val="20"/>
                <w:szCs w:val="20"/>
              </w:rPr>
            </w:pPr>
          </w:p>
        </w:tc>
        <w:tc>
          <w:tcPr>
            <w:tcW w:w="2857" w:type="dxa"/>
            <w:vAlign w:val="center"/>
          </w:tcPr>
          <w:p w:rsidR="00135518" w:rsidRPr="00135518" w:rsidRDefault="00066A28" w:rsidP="00135518">
            <w:pPr>
              <w:jc w:val="both"/>
              <w:rPr>
                <w:rFonts w:ascii="Times New Roman" w:hAnsi="Times New Roman" w:cs="Times New Roman"/>
                <w:sz w:val="20"/>
                <w:szCs w:val="20"/>
              </w:rPr>
            </w:pPr>
            <w:r>
              <w:rPr>
                <w:rFonts w:ascii="Times New Roman" w:hAnsi="Times New Roman" w:cs="Times New Roman"/>
                <w:b/>
                <w:sz w:val="20"/>
                <w:szCs w:val="20"/>
              </w:rPr>
              <w:t>I14</w:t>
            </w:r>
            <w:r w:rsidR="00135518" w:rsidRPr="00135518">
              <w:rPr>
                <w:rFonts w:ascii="Times New Roman" w:hAnsi="Times New Roman" w:cs="Times New Roman"/>
                <w:b/>
                <w:sz w:val="20"/>
                <w:szCs w:val="20"/>
              </w:rPr>
              <w:t>.</w:t>
            </w:r>
            <w:r w:rsidR="00135518" w:rsidRPr="00135518">
              <w:rPr>
                <w:rFonts w:ascii="Times New Roman" w:hAnsi="Times New Roman" w:cs="Times New Roman"/>
                <w:sz w:val="20"/>
                <w:szCs w:val="20"/>
              </w:rPr>
              <w:t xml:space="preserve"> Îmbunătățirea mecanismului de coordonare a activităților legate de implementarea proiectelor de dezvoltare regională în cadrul CNCDR </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(Mecanism de prioritizare a proiectelor).</w:t>
            </w:r>
          </w:p>
        </w:tc>
        <w:tc>
          <w:tcPr>
            <w:tcW w:w="1663" w:type="dxa"/>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1 mecanism </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elaborat.</w:t>
            </w:r>
          </w:p>
        </w:tc>
        <w:tc>
          <w:tcPr>
            <w:tcW w:w="1850" w:type="dxa"/>
            <w:vAlign w:val="center"/>
          </w:tcPr>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MDRC</w:t>
            </w:r>
          </w:p>
        </w:tc>
        <w:tc>
          <w:tcPr>
            <w:tcW w:w="2575" w:type="dxa"/>
            <w:vAlign w:val="center"/>
          </w:tcPr>
          <w:p w:rsidR="00135518" w:rsidRDefault="00135518" w:rsidP="00135518">
            <w:pPr>
              <w:jc w:val="both"/>
              <w:rPr>
                <w:rFonts w:ascii="Times New Roman" w:hAnsi="Times New Roman" w:cs="Times New Roman"/>
                <w:b/>
                <w:sz w:val="20"/>
                <w:szCs w:val="20"/>
              </w:rPr>
            </w:pPr>
            <w:r w:rsidRPr="00135518">
              <w:rPr>
                <w:rFonts w:ascii="Times New Roman" w:hAnsi="Times New Roman" w:cs="Times New Roman"/>
                <w:sz w:val="20"/>
                <w:szCs w:val="20"/>
              </w:rPr>
              <w:t>Trimestrul IV 2017</w:t>
            </w:r>
          </w:p>
        </w:tc>
        <w:tc>
          <w:tcPr>
            <w:tcW w:w="1844" w:type="dxa"/>
          </w:tcPr>
          <w:p w:rsidR="00135518" w:rsidRDefault="00135518" w:rsidP="00135518">
            <w:pPr>
              <w:jc w:val="both"/>
              <w:rPr>
                <w:rFonts w:ascii="Times New Roman" w:eastAsia="Calibri" w:hAnsi="Times New Roman" w:cs="Times New Roman"/>
                <w:b/>
                <w:sz w:val="20"/>
                <w:szCs w:val="20"/>
              </w:rPr>
            </w:pPr>
          </w:p>
        </w:tc>
      </w:tr>
      <w:tr w:rsidR="00066A28" w:rsidRPr="008C1179" w:rsidTr="00EC08C0">
        <w:tc>
          <w:tcPr>
            <w:tcW w:w="646" w:type="dxa"/>
          </w:tcPr>
          <w:p w:rsidR="00066A28" w:rsidRPr="00770701" w:rsidRDefault="00066A28" w:rsidP="00F44945">
            <w:pPr>
              <w:jc w:val="center"/>
              <w:rPr>
                <w:rFonts w:ascii="Times New Roman" w:hAnsi="Times New Roman"/>
                <w:b/>
                <w:sz w:val="20"/>
                <w:szCs w:val="20"/>
              </w:rPr>
            </w:pPr>
            <w:r w:rsidRPr="00770701">
              <w:rPr>
                <w:rFonts w:ascii="Times New Roman" w:hAnsi="Times New Roman"/>
                <w:b/>
                <w:sz w:val="20"/>
                <w:szCs w:val="20"/>
              </w:rPr>
              <w:t>108</w:t>
            </w:r>
          </w:p>
        </w:tc>
        <w:tc>
          <w:tcPr>
            <w:tcW w:w="2661" w:type="dxa"/>
          </w:tcPr>
          <w:p w:rsidR="00135518" w:rsidRDefault="00066A28" w:rsidP="00135518">
            <w:pPr>
              <w:contextualSpacing/>
              <w:jc w:val="both"/>
              <w:rPr>
                <w:rFonts w:ascii="Times New Roman" w:hAnsi="Times New Roman" w:cs="Times New Roman"/>
                <w:sz w:val="20"/>
                <w:szCs w:val="20"/>
              </w:rPr>
            </w:pPr>
            <w:r w:rsidRPr="003A0C18">
              <w:rPr>
                <w:rFonts w:ascii="Times New Roman" w:hAnsi="Times New Roman" w:cs="Times New Roman"/>
                <w:b/>
                <w:sz w:val="20"/>
                <w:szCs w:val="20"/>
              </w:rPr>
              <w:t>(</w:t>
            </w: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850"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575"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844" w:type="dxa"/>
          </w:tcPr>
          <w:p w:rsidR="00135518" w:rsidRDefault="00135518" w:rsidP="00135518">
            <w:pPr>
              <w:jc w:val="both"/>
              <w:rPr>
                <w:rFonts w:ascii="Times New Roman" w:eastAsia="Calibri" w:hAnsi="Times New Roman" w:cs="Times New Roman"/>
                <w:b/>
                <w:bCs/>
                <w:color w:val="4F81BD" w:themeColor="accent1"/>
                <w:sz w:val="20"/>
                <w:szCs w:val="20"/>
              </w:rPr>
            </w:pPr>
          </w:p>
        </w:tc>
      </w:tr>
      <w:tr w:rsidR="00066A28" w:rsidRPr="008C1179" w:rsidTr="00EC08C0">
        <w:trPr>
          <w:trHeight w:val="4805"/>
        </w:trPr>
        <w:tc>
          <w:tcPr>
            <w:tcW w:w="646" w:type="dxa"/>
            <w:vMerge w:val="restart"/>
          </w:tcPr>
          <w:p w:rsidR="00066A28" w:rsidRPr="00770701" w:rsidRDefault="00066A28" w:rsidP="004007EC">
            <w:pPr>
              <w:jc w:val="both"/>
              <w:rPr>
                <w:rFonts w:ascii="Times New Roman" w:hAnsi="Times New Roman"/>
                <w:b/>
                <w:sz w:val="20"/>
                <w:szCs w:val="20"/>
              </w:rPr>
            </w:pPr>
          </w:p>
        </w:tc>
        <w:tc>
          <w:tcPr>
            <w:tcW w:w="2661" w:type="dxa"/>
            <w:vMerge w:val="restart"/>
          </w:tcPr>
          <w:p w:rsidR="00135518" w:rsidRDefault="00066A28" w:rsidP="00135518">
            <w:pPr>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(2) </w:t>
            </w:r>
            <w:r w:rsidRPr="003A0C18">
              <w:rPr>
                <w:rFonts w:ascii="Times New Roman" w:hAnsi="Times New Roman" w:cs="Times New Roman"/>
                <w:sz w:val="20"/>
                <w:szCs w:val="20"/>
              </w:rPr>
              <w:t xml:space="preserve">Părțile cooperează în vederea consolidării capacităților instituționale și operaționale ale instituțiilor naționale și regionale în domeniul dezvoltării regionale și amenajării teritoriului, printre altele prin: </w:t>
            </w:r>
          </w:p>
          <w:p w:rsidR="00135518" w:rsidRDefault="00066A28" w:rsidP="00135518">
            <w:pPr>
              <w:jc w:val="both"/>
              <w:rPr>
                <w:rFonts w:ascii="Times New Roman" w:hAnsi="Times New Roman" w:cs="Times New Roman"/>
                <w:sz w:val="20"/>
                <w:szCs w:val="20"/>
              </w:rPr>
            </w:pPr>
            <w:r w:rsidRPr="003A0C18">
              <w:rPr>
                <w:rFonts w:ascii="Times New Roman" w:hAnsi="Times New Roman" w:cs="Times New Roman"/>
                <w:b/>
                <w:sz w:val="20"/>
                <w:szCs w:val="20"/>
              </w:rPr>
              <w:t xml:space="preserve">(a) </w:t>
            </w:r>
            <w:r w:rsidRPr="003A0C18">
              <w:rPr>
                <w:rFonts w:ascii="Times New Roman" w:hAnsi="Times New Roman" w:cs="Times New Roman"/>
                <w:sz w:val="20"/>
                <w:szCs w:val="20"/>
              </w:rPr>
              <w:t>Îmbunătățirea mecanismului privind interacțiunea verticală și orizontală a administrației publice centrale și locale în procesul de elaborare și punere în aplicare a politicilor regionale</w:t>
            </w:r>
          </w:p>
          <w:p w:rsidR="00135518" w:rsidRDefault="00135518" w:rsidP="00135518">
            <w:pPr>
              <w:tabs>
                <w:tab w:val="left" w:pos="281"/>
              </w:tabs>
              <w:jc w:val="both"/>
              <w:rPr>
                <w:rFonts w:ascii="Times New Roman" w:eastAsiaTheme="majorEastAsia" w:hAnsi="Times New Roman" w:cs="Times New Roman"/>
                <w:b/>
                <w:bCs/>
                <w:color w:val="4F81BD" w:themeColor="accent1"/>
                <w:sz w:val="20"/>
                <w:szCs w:val="20"/>
              </w:rPr>
            </w:pPr>
          </w:p>
        </w:tc>
        <w:tc>
          <w:tcPr>
            <w:tcW w:w="1323" w:type="dxa"/>
            <w:vMerge w:val="restart"/>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135518" w:rsidRPr="00135518" w:rsidRDefault="00066A28" w:rsidP="00135518">
            <w:pPr>
              <w:jc w:val="both"/>
              <w:rPr>
                <w:rFonts w:ascii="Times New Roman" w:hAnsi="Times New Roman" w:cs="Times New Roman"/>
                <w:b/>
                <w:sz w:val="20"/>
                <w:szCs w:val="20"/>
              </w:rPr>
            </w:pPr>
            <w:r>
              <w:rPr>
                <w:rFonts w:ascii="Times New Roman" w:hAnsi="Times New Roman" w:cs="Times New Roman"/>
                <w:b/>
                <w:sz w:val="20"/>
                <w:szCs w:val="20"/>
              </w:rPr>
              <w:t>L2</w:t>
            </w:r>
            <w:r w:rsidR="00135518" w:rsidRPr="00135518">
              <w:rPr>
                <w:rFonts w:ascii="Times New Roman" w:hAnsi="Times New Roman" w:cs="Times New Roman"/>
                <w:b/>
                <w:sz w:val="20"/>
                <w:szCs w:val="20"/>
              </w:rPr>
              <w:t>. Act nou</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Proiectul Hotărîrii Guvernului cu privire la elaborarea Conceptului Planului (Schemei) de amenajare a teritoriului național.</w:t>
            </w: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p w:rsidR="00135518" w:rsidRDefault="00135518" w:rsidP="00135518">
            <w:pPr>
              <w:jc w:val="both"/>
              <w:rPr>
                <w:rFonts w:ascii="Times New Roman" w:eastAsia="Calibri" w:hAnsi="Times New Roman" w:cs="Times New Roman"/>
                <w:b/>
                <w:sz w:val="20"/>
                <w:szCs w:val="20"/>
              </w:rPr>
            </w:pPr>
          </w:p>
        </w:tc>
        <w:tc>
          <w:tcPr>
            <w:tcW w:w="1663" w:type="dxa"/>
            <w:tcBorders>
              <w:bottom w:val="single" w:sz="4" w:space="0" w:color="auto"/>
            </w:tcBorders>
            <w:vAlign w:val="center"/>
          </w:tcPr>
          <w:p w:rsidR="00135518" w:rsidRDefault="00066A28" w:rsidP="00135518">
            <w:pPr>
              <w:jc w:val="both"/>
              <w:rPr>
                <w:rFonts w:ascii="Times New Roman" w:eastAsia="Calibri" w:hAnsi="Times New Roman" w:cs="Times New Roman"/>
                <w:b/>
                <w:sz w:val="20"/>
                <w:szCs w:val="20"/>
              </w:rPr>
            </w:pPr>
            <w:r>
              <w:rPr>
                <w:rFonts w:ascii="Times New Roman" w:hAnsi="Times New Roman" w:cs="Times New Roman"/>
                <w:sz w:val="20"/>
                <w:szCs w:val="20"/>
              </w:rPr>
              <w:t>Lege intrată în vigoare</w:t>
            </w:r>
          </w:p>
        </w:tc>
        <w:tc>
          <w:tcPr>
            <w:tcW w:w="1850" w:type="dxa"/>
            <w:tcBorders>
              <w:bottom w:val="single" w:sz="4" w:space="0" w:color="auto"/>
            </w:tcBorders>
            <w:vAlign w:val="center"/>
          </w:tcPr>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MDRC</w:t>
            </w:r>
          </w:p>
        </w:tc>
        <w:tc>
          <w:tcPr>
            <w:tcW w:w="2575" w:type="dxa"/>
            <w:tcBorders>
              <w:bottom w:val="single" w:sz="4" w:space="0" w:color="auto"/>
            </w:tcBorders>
            <w:vAlign w:val="center"/>
          </w:tcPr>
          <w:p w:rsidR="00135518" w:rsidRDefault="00135518" w:rsidP="00135518">
            <w:pPr>
              <w:jc w:val="both"/>
              <w:rPr>
                <w:rFonts w:ascii="Times New Roman" w:hAnsi="Times New Roman" w:cs="Times New Roman"/>
                <w:b/>
                <w:sz w:val="20"/>
                <w:szCs w:val="20"/>
              </w:rPr>
            </w:pPr>
            <w:r w:rsidRPr="00135518">
              <w:rPr>
                <w:rFonts w:ascii="Times New Roman" w:hAnsi="Times New Roman" w:cs="Times New Roman"/>
                <w:sz w:val="20"/>
                <w:szCs w:val="20"/>
              </w:rPr>
              <w:t>Trimestrul II 2017</w:t>
            </w:r>
          </w:p>
        </w:tc>
        <w:tc>
          <w:tcPr>
            <w:tcW w:w="1844" w:type="dxa"/>
            <w:tcBorders>
              <w:bottom w:val="single" w:sz="4" w:space="0" w:color="auto"/>
            </w:tcBorders>
            <w:vAlign w:val="center"/>
          </w:tcPr>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Suma estimativă 1.9 milioane lei. Proiect finanțat din surse externe (Agenția Cehă pentru Dezvoltare) - 1.9 milioane lei.</w:t>
            </w:r>
          </w:p>
        </w:tc>
      </w:tr>
      <w:tr w:rsidR="00066A28" w:rsidRPr="008C1179" w:rsidTr="00EC08C0">
        <w:trPr>
          <w:trHeight w:val="435"/>
        </w:trPr>
        <w:tc>
          <w:tcPr>
            <w:tcW w:w="646" w:type="dxa"/>
            <w:vMerge/>
          </w:tcPr>
          <w:p w:rsidR="00066A28" w:rsidRPr="00770701" w:rsidRDefault="00066A28" w:rsidP="004007EC">
            <w:pPr>
              <w:jc w:val="both"/>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135518" w:rsidRPr="00135518" w:rsidRDefault="00066A28" w:rsidP="00135518">
            <w:pPr>
              <w:jc w:val="both"/>
              <w:rPr>
                <w:rFonts w:ascii="Times New Roman" w:hAnsi="Times New Roman" w:cs="Times New Roman"/>
                <w:b/>
                <w:sz w:val="20"/>
                <w:szCs w:val="20"/>
              </w:rPr>
            </w:pPr>
            <w:r>
              <w:rPr>
                <w:rFonts w:ascii="Times New Roman" w:hAnsi="Times New Roman" w:cs="Times New Roman"/>
                <w:b/>
                <w:sz w:val="20"/>
                <w:szCs w:val="20"/>
              </w:rPr>
              <w:t>L3</w:t>
            </w:r>
            <w:r w:rsidR="00135518" w:rsidRPr="00135518">
              <w:rPr>
                <w:rFonts w:ascii="Times New Roman" w:hAnsi="Times New Roman" w:cs="Times New Roman"/>
                <w:b/>
                <w:sz w:val="20"/>
                <w:szCs w:val="20"/>
              </w:rPr>
              <w:t>. Act nou</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Proiectul de Lege privind cu privire la Planul (Schema) de amenajare a teritoriului național.</w:t>
            </w:r>
          </w:p>
          <w:p w:rsidR="00135518" w:rsidRPr="00135518" w:rsidRDefault="00135518" w:rsidP="00135518">
            <w:pPr>
              <w:jc w:val="both"/>
              <w:rPr>
                <w:rFonts w:ascii="Times New Roman" w:hAnsi="Times New Roman" w:cs="Times New Roman"/>
                <w:b/>
                <w:sz w:val="20"/>
                <w:szCs w:val="20"/>
              </w:rPr>
            </w:pPr>
          </w:p>
        </w:tc>
        <w:tc>
          <w:tcPr>
            <w:tcW w:w="1663"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Plan elaborat.</w:t>
            </w:r>
          </w:p>
          <w:p w:rsidR="00135518" w:rsidRPr="00135518" w:rsidRDefault="00135518" w:rsidP="00135518">
            <w:pPr>
              <w:spacing w:after="120"/>
              <w:jc w:val="both"/>
              <w:rPr>
                <w:rFonts w:ascii="Times New Roman" w:hAnsi="Times New Roman" w:cs="Times New Roman"/>
                <w:sz w:val="20"/>
                <w:szCs w:val="20"/>
              </w:rPr>
            </w:pPr>
            <w:r w:rsidRPr="00135518">
              <w:rPr>
                <w:rFonts w:ascii="Times New Roman" w:hAnsi="Times New Roman" w:cs="Times New Roman"/>
                <w:sz w:val="20"/>
                <w:szCs w:val="20"/>
              </w:rPr>
              <w:t>Lege intrată în vigoare.</w:t>
            </w: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II 2018</w:t>
            </w: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estimativă 6,0 milioane lei. Alocații bugetare (BS)- 6,0 milioane lei.</w:t>
            </w:r>
          </w:p>
        </w:tc>
      </w:tr>
      <w:tr w:rsidR="00066A28" w:rsidRPr="008C1179" w:rsidTr="00EC08C0">
        <w:trPr>
          <w:trHeight w:val="451"/>
        </w:trPr>
        <w:tc>
          <w:tcPr>
            <w:tcW w:w="646" w:type="dxa"/>
            <w:vMerge/>
          </w:tcPr>
          <w:p w:rsidR="00066A28" w:rsidRPr="00770701" w:rsidRDefault="00066A28" w:rsidP="004007EC">
            <w:pPr>
              <w:jc w:val="both"/>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135518" w:rsidRPr="00135518" w:rsidRDefault="00066A28" w:rsidP="00135518">
            <w:pPr>
              <w:jc w:val="both"/>
              <w:rPr>
                <w:rFonts w:ascii="Times New Roman" w:hAnsi="Times New Roman" w:cs="Times New Roman"/>
                <w:b/>
                <w:sz w:val="20"/>
                <w:szCs w:val="20"/>
              </w:rPr>
            </w:pPr>
            <w:r>
              <w:rPr>
                <w:rFonts w:ascii="Times New Roman" w:hAnsi="Times New Roman" w:cs="Times New Roman"/>
                <w:b/>
                <w:sz w:val="20"/>
                <w:szCs w:val="20"/>
              </w:rPr>
              <w:t>SL2</w:t>
            </w:r>
            <w:r w:rsidR="00135518" w:rsidRPr="00135518">
              <w:rPr>
                <w:rFonts w:ascii="Times New Roman" w:hAnsi="Times New Roman" w:cs="Times New Roman"/>
                <w:b/>
                <w:sz w:val="20"/>
                <w:szCs w:val="20"/>
              </w:rPr>
              <w:t>. Act nou</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Proiectul Hotărîrii Guvernului cu privire la elaborarea a 3 planuri (scheme) regionale de amenajare a teritoriului.</w:t>
            </w:r>
          </w:p>
        </w:tc>
        <w:tc>
          <w:tcPr>
            <w:tcW w:w="1663" w:type="dxa"/>
            <w:tcBorders>
              <w:top w:val="single" w:sz="4" w:space="0" w:color="auto"/>
              <w:bottom w:val="single" w:sz="4" w:space="0" w:color="auto"/>
            </w:tcBorders>
            <w:vAlign w:val="center"/>
          </w:tcPr>
          <w:p w:rsidR="00135518" w:rsidRPr="00135518" w:rsidRDefault="00135518" w:rsidP="00135518">
            <w:pPr>
              <w:spacing w:after="120"/>
              <w:jc w:val="both"/>
              <w:rPr>
                <w:rFonts w:ascii="Times New Roman" w:hAnsi="Times New Roman" w:cs="Times New Roman"/>
                <w:sz w:val="20"/>
                <w:szCs w:val="20"/>
              </w:rPr>
            </w:pPr>
            <w:r w:rsidRPr="00135518">
              <w:rPr>
                <w:rFonts w:ascii="Times New Roman" w:hAnsi="Times New Roman" w:cs="Times New Roman"/>
                <w:sz w:val="20"/>
                <w:szCs w:val="20"/>
              </w:rPr>
              <w:t>3 Planuri (scheme) elaborate.</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Hotărîre de Guvern intrată în vigoare.</w:t>
            </w:r>
          </w:p>
          <w:p w:rsidR="00135518" w:rsidRPr="00135518" w:rsidRDefault="00135518" w:rsidP="00135518">
            <w:pPr>
              <w:spacing w:after="120"/>
              <w:jc w:val="both"/>
              <w:rPr>
                <w:rFonts w:ascii="Times New Roman" w:hAnsi="Times New Roman" w:cs="Times New Roman"/>
                <w:sz w:val="20"/>
                <w:szCs w:val="20"/>
              </w:rPr>
            </w:pP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IV 2018</w:t>
            </w: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Suma estimativă 4.5 milioane lei. Alocații bugetare (BS) –4.5 milioane lei.</w:t>
            </w:r>
          </w:p>
        </w:tc>
      </w:tr>
      <w:tr w:rsidR="00066A28" w:rsidRPr="008C1179" w:rsidTr="00EC08C0">
        <w:tc>
          <w:tcPr>
            <w:tcW w:w="646" w:type="dxa"/>
          </w:tcPr>
          <w:p w:rsidR="00066A28" w:rsidRPr="00770701" w:rsidRDefault="00066A28" w:rsidP="004007EC">
            <w:pPr>
              <w:jc w:val="both"/>
              <w:rPr>
                <w:rFonts w:ascii="Times New Roman" w:hAnsi="Times New Roman"/>
                <w:b/>
                <w:sz w:val="20"/>
                <w:szCs w:val="20"/>
              </w:rPr>
            </w:pPr>
          </w:p>
        </w:tc>
        <w:tc>
          <w:tcPr>
            <w:tcW w:w="2661" w:type="dxa"/>
          </w:tcPr>
          <w:p w:rsidR="00135518" w:rsidRDefault="00066A28" w:rsidP="00135518">
            <w:pPr>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(b) </w:t>
            </w: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850"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575"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844" w:type="dxa"/>
          </w:tcPr>
          <w:p w:rsidR="00135518" w:rsidRDefault="00135518" w:rsidP="00135518">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882B90">
            <w:pPr>
              <w:jc w:val="center"/>
              <w:rPr>
                <w:rFonts w:ascii="Times New Roman" w:hAnsi="Times New Roman"/>
                <w:b/>
                <w:sz w:val="20"/>
                <w:szCs w:val="20"/>
              </w:rPr>
            </w:pPr>
            <w:r w:rsidRPr="00770701">
              <w:rPr>
                <w:rFonts w:ascii="Times New Roman" w:hAnsi="Times New Roman"/>
                <w:b/>
                <w:sz w:val="20"/>
                <w:szCs w:val="20"/>
              </w:rPr>
              <w:t>109</w:t>
            </w:r>
          </w:p>
        </w:tc>
        <w:tc>
          <w:tcPr>
            <w:tcW w:w="2661" w:type="dxa"/>
          </w:tcPr>
          <w:p w:rsidR="00135518" w:rsidRDefault="00135518" w:rsidP="00135518">
            <w:pPr>
              <w:contextualSpacing/>
              <w:jc w:val="both"/>
              <w:rPr>
                <w:rFonts w:ascii="Times New Roman" w:hAnsi="Times New Roman" w:cs="Times New Roman"/>
                <w:sz w:val="20"/>
                <w:szCs w:val="20"/>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850"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575"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844" w:type="dxa"/>
          </w:tcPr>
          <w:p w:rsidR="00135518" w:rsidRPr="00135518" w:rsidRDefault="00135518" w:rsidP="00135518">
            <w:pPr>
              <w:jc w:val="both"/>
              <w:rPr>
                <w:rFonts w:ascii="Times New Roman" w:eastAsia="Calibri" w:hAnsi="Times New Roman" w:cs="Times New Roman"/>
                <w:b/>
                <w:sz w:val="20"/>
                <w:szCs w:val="20"/>
              </w:rPr>
            </w:pPr>
          </w:p>
        </w:tc>
      </w:tr>
      <w:tr w:rsidR="00066A28" w:rsidRPr="008C1179" w:rsidTr="00EC08C0">
        <w:tc>
          <w:tcPr>
            <w:tcW w:w="646" w:type="dxa"/>
          </w:tcPr>
          <w:p w:rsidR="00066A28" w:rsidRPr="00770701" w:rsidRDefault="00066A28" w:rsidP="00342A4F">
            <w:pPr>
              <w:jc w:val="both"/>
              <w:rPr>
                <w:rFonts w:ascii="Times New Roman" w:hAnsi="Times New Roman"/>
                <w:b/>
                <w:sz w:val="20"/>
                <w:szCs w:val="20"/>
              </w:rPr>
            </w:pPr>
          </w:p>
        </w:tc>
        <w:tc>
          <w:tcPr>
            <w:tcW w:w="2661" w:type="dxa"/>
          </w:tcPr>
          <w:p w:rsidR="00135518" w:rsidRDefault="00135518" w:rsidP="00135518">
            <w:pPr>
              <w:contextualSpacing/>
              <w:jc w:val="both"/>
              <w:rPr>
                <w:rFonts w:ascii="Times New Roman" w:hAnsi="Times New Roman" w:cs="Times New Roman"/>
                <w:b/>
                <w:sz w:val="20"/>
                <w:szCs w:val="20"/>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sz w:val="20"/>
                <w:szCs w:val="20"/>
              </w:rPr>
            </w:pPr>
          </w:p>
        </w:tc>
        <w:tc>
          <w:tcPr>
            <w:tcW w:w="1663" w:type="dxa"/>
            <w:vAlign w:val="center"/>
          </w:tcPr>
          <w:p w:rsidR="00135518" w:rsidRDefault="00135518" w:rsidP="00135518">
            <w:pPr>
              <w:jc w:val="both"/>
              <w:rPr>
                <w:rFonts w:ascii="Times New Roman" w:eastAsia="Calibri" w:hAnsi="Times New Roman" w:cs="Times New Roman"/>
                <w:b/>
                <w:sz w:val="20"/>
                <w:szCs w:val="20"/>
              </w:rPr>
            </w:pPr>
          </w:p>
        </w:tc>
        <w:tc>
          <w:tcPr>
            <w:tcW w:w="1850" w:type="dxa"/>
            <w:vAlign w:val="center"/>
          </w:tcPr>
          <w:p w:rsidR="00135518" w:rsidRDefault="00135518" w:rsidP="00135518">
            <w:pPr>
              <w:jc w:val="both"/>
              <w:rPr>
                <w:rFonts w:ascii="Times New Roman" w:eastAsia="Calibri" w:hAnsi="Times New Roman" w:cs="Times New Roman"/>
                <w:b/>
                <w:sz w:val="20"/>
                <w:szCs w:val="20"/>
              </w:rPr>
            </w:pPr>
          </w:p>
        </w:tc>
        <w:tc>
          <w:tcPr>
            <w:tcW w:w="2575" w:type="dxa"/>
            <w:vAlign w:val="center"/>
          </w:tcPr>
          <w:p w:rsidR="00135518" w:rsidRDefault="00135518" w:rsidP="00135518">
            <w:pPr>
              <w:jc w:val="both"/>
              <w:rPr>
                <w:rFonts w:ascii="Times New Roman" w:hAnsi="Times New Roman" w:cs="Times New Roman"/>
                <w:b/>
                <w:sz w:val="20"/>
                <w:szCs w:val="20"/>
              </w:rPr>
            </w:pPr>
          </w:p>
        </w:tc>
        <w:tc>
          <w:tcPr>
            <w:tcW w:w="1844" w:type="dxa"/>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Suma estimativă </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Alocații bugetare,</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lastRenderedPageBreak/>
              <w:t>inclusiv:</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proiecte finanțate din surse externe.</w:t>
            </w:r>
          </w:p>
        </w:tc>
      </w:tr>
      <w:tr w:rsidR="00066A28" w:rsidRPr="008C1179" w:rsidTr="00EC08C0">
        <w:tc>
          <w:tcPr>
            <w:tcW w:w="646" w:type="dxa"/>
          </w:tcPr>
          <w:p w:rsidR="00066A28" w:rsidRPr="00770701" w:rsidRDefault="00066A28" w:rsidP="00342A4F">
            <w:pPr>
              <w:jc w:val="both"/>
              <w:rPr>
                <w:rFonts w:ascii="Times New Roman" w:hAnsi="Times New Roman"/>
                <w:b/>
                <w:sz w:val="20"/>
                <w:szCs w:val="20"/>
              </w:rPr>
            </w:pPr>
          </w:p>
        </w:tc>
        <w:tc>
          <w:tcPr>
            <w:tcW w:w="2661" w:type="dxa"/>
          </w:tcPr>
          <w:p w:rsidR="00135518" w:rsidRDefault="00135518" w:rsidP="00135518">
            <w:pPr>
              <w:jc w:val="both"/>
              <w:rPr>
                <w:rFonts w:ascii="Times New Roman" w:hAnsi="Times New Roman" w:cs="Times New Roman"/>
                <w:sz w:val="20"/>
                <w:szCs w:val="20"/>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sz w:val="20"/>
                <w:szCs w:val="20"/>
              </w:rPr>
            </w:pPr>
          </w:p>
        </w:tc>
        <w:tc>
          <w:tcPr>
            <w:tcW w:w="1663" w:type="dxa"/>
            <w:vAlign w:val="center"/>
          </w:tcPr>
          <w:p w:rsidR="00135518" w:rsidRDefault="00135518" w:rsidP="00135518">
            <w:pPr>
              <w:jc w:val="both"/>
              <w:rPr>
                <w:rFonts w:ascii="Times New Roman" w:eastAsia="Calibri" w:hAnsi="Times New Roman" w:cs="Times New Roman"/>
                <w:b/>
                <w:sz w:val="20"/>
                <w:szCs w:val="20"/>
              </w:rPr>
            </w:pPr>
          </w:p>
        </w:tc>
        <w:tc>
          <w:tcPr>
            <w:tcW w:w="1850" w:type="dxa"/>
            <w:vAlign w:val="center"/>
          </w:tcPr>
          <w:p w:rsidR="00135518" w:rsidRDefault="00135518" w:rsidP="00135518">
            <w:pPr>
              <w:jc w:val="both"/>
              <w:rPr>
                <w:rFonts w:ascii="Times New Roman" w:eastAsia="Calibri" w:hAnsi="Times New Roman" w:cs="Times New Roman"/>
                <w:b/>
                <w:sz w:val="20"/>
                <w:szCs w:val="20"/>
              </w:rPr>
            </w:pPr>
          </w:p>
        </w:tc>
        <w:tc>
          <w:tcPr>
            <w:tcW w:w="2575" w:type="dxa"/>
            <w:vAlign w:val="center"/>
          </w:tcPr>
          <w:p w:rsidR="00135518" w:rsidRDefault="00135518" w:rsidP="00135518">
            <w:pPr>
              <w:jc w:val="both"/>
              <w:rPr>
                <w:rFonts w:ascii="Times New Roman" w:hAnsi="Times New Roman" w:cs="Times New Roman"/>
                <w:b/>
                <w:sz w:val="20"/>
                <w:szCs w:val="20"/>
              </w:rPr>
            </w:pPr>
          </w:p>
        </w:tc>
        <w:tc>
          <w:tcPr>
            <w:tcW w:w="1844" w:type="dxa"/>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Suma estimativă </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Alocații bugetare,</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inclusiv:</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proiecte finanțate din surse externe.</w:t>
            </w:r>
          </w:p>
        </w:tc>
      </w:tr>
      <w:tr w:rsidR="00066A28" w:rsidRPr="008C1179" w:rsidTr="00EC08C0">
        <w:tc>
          <w:tcPr>
            <w:tcW w:w="646" w:type="dxa"/>
          </w:tcPr>
          <w:p w:rsidR="00066A28" w:rsidRPr="00770701" w:rsidRDefault="00066A28" w:rsidP="00342A4F">
            <w:pPr>
              <w:jc w:val="both"/>
              <w:rPr>
                <w:rFonts w:ascii="Times New Roman" w:hAnsi="Times New Roman"/>
                <w:b/>
                <w:sz w:val="20"/>
                <w:szCs w:val="20"/>
              </w:rPr>
            </w:pPr>
          </w:p>
        </w:tc>
        <w:tc>
          <w:tcPr>
            <w:tcW w:w="2661" w:type="dxa"/>
          </w:tcPr>
          <w:p w:rsidR="00135518" w:rsidRDefault="00135518" w:rsidP="00135518">
            <w:pPr>
              <w:pStyle w:val="Default"/>
              <w:contextualSpacing/>
              <w:jc w:val="both"/>
              <w:rPr>
                <w:color w:val="auto"/>
                <w:sz w:val="20"/>
                <w:szCs w:val="20"/>
                <w:lang w:val="ro-RO"/>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850"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575"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844" w:type="dxa"/>
          </w:tcPr>
          <w:p w:rsidR="00135518" w:rsidRDefault="00135518" w:rsidP="00135518">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342A4F">
            <w:pPr>
              <w:jc w:val="both"/>
              <w:rPr>
                <w:rFonts w:ascii="Times New Roman" w:hAnsi="Times New Roman"/>
                <w:b/>
                <w:sz w:val="20"/>
                <w:szCs w:val="20"/>
              </w:rPr>
            </w:pPr>
          </w:p>
        </w:tc>
        <w:tc>
          <w:tcPr>
            <w:tcW w:w="2661"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850"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575"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844" w:type="dxa"/>
          </w:tcPr>
          <w:p w:rsidR="00135518" w:rsidRPr="00135518" w:rsidRDefault="00135518" w:rsidP="00135518">
            <w:pPr>
              <w:jc w:val="both"/>
              <w:rPr>
                <w:rFonts w:ascii="Times New Roman" w:eastAsia="Calibri" w:hAnsi="Times New Roman" w:cs="Times New Roman"/>
                <w:b/>
                <w:sz w:val="20"/>
                <w:szCs w:val="20"/>
              </w:rPr>
            </w:pPr>
          </w:p>
        </w:tc>
      </w:tr>
      <w:tr w:rsidR="00066A28" w:rsidRPr="008C1179" w:rsidTr="00EC08C0">
        <w:trPr>
          <w:trHeight w:val="3885"/>
        </w:trPr>
        <w:tc>
          <w:tcPr>
            <w:tcW w:w="646" w:type="dxa"/>
            <w:vMerge w:val="restart"/>
          </w:tcPr>
          <w:p w:rsidR="00066A28" w:rsidRPr="00770701" w:rsidRDefault="00066A28" w:rsidP="00342A4F">
            <w:pPr>
              <w:jc w:val="center"/>
              <w:rPr>
                <w:rFonts w:ascii="Times New Roman" w:hAnsi="Times New Roman"/>
                <w:b/>
                <w:sz w:val="20"/>
                <w:szCs w:val="20"/>
              </w:rPr>
            </w:pPr>
            <w:r w:rsidRPr="00770701">
              <w:rPr>
                <w:rFonts w:ascii="Times New Roman" w:hAnsi="Times New Roman"/>
                <w:b/>
                <w:sz w:val="20"/>
                <w:szCs w:val="20"/>
              </w:rPr>
              <w:t>110</w:t>
            </w:r>
          </w:p>
        </w:tc>
        <w:tc>
          <w:tcPr>
            <w:tcW w:w="2661" w:type="dxa"/>
            <w:vMerge w:val="restart"/>
          </w:tcPr>
          <w:p w:rsidR="00135518" w:rsidRDefault="00066A28" w:rsidP="00135518">
            <w:pPr>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(1) </w:t>
            </w:r>
            <w:r w:rsidRPr="003A0C18">
              <w:rPr>
                <w:rFonts w:ascii="Times New Roman" w:hAnsi="Times New Roman" w:cs="Times New Roman"/>
                <w:sz w:val="20"/>
                <w:szCs w:val="20"/>
              </w:rPr>
              <w:t>Părțile intensifică și asigură o mai bună coordonare și cooperare între țările și regiunile vizate de Strategia UE pentru regiunea Dunării, care să se concentreze, printre altele, pe îmbunătățirea conexiunilor de transport și distribuție a energiei, pe mediu, pe dezvoltarea economică și socială și pe securitate, ceea ce va contribui la un transport rutier și feroviar mai rapid, la furnizarea unei energii la prețuri mai mici și din surse de aprovizionare mai sigure, la îmbunătățirea condițiilor de mediu, cu ape mai curate, la protejarea biodiversității și la prevenirea mai eficientă a inundațiilor transfrontaliere</w:t>
            </w:r>
          </w:p>
        </w:tc>
        <w:tc>
          <w:tcPr>
            <w:tcW w:w="1323" w:type="dxa"/>
            <w:vMerge w:val="restart"/>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135518" w:rsidRPr="00135518" w:rsidRDefault="00066A28" w:rsidP="00135518">
            <w:pPr>
              <w:jc w:val="both"/>
              <w:rPr>
                <w:rFonts w:ascii="Times New Roman" w:hAnsi="Times New Roman" w:cs="Times New Roman"/>
                <w:sz w:val="20"/>
                <w:szCs w:val="20"/>
              </w:rPr>
            </w:pPr>
            <w:r>
              <w:rPr>
                <w:rFonts w:ascii="Times New Roman" w:hAnsi="Times New Roman" w:cs="Times New Roman"/>
                <w:b/>
                <w:sz w:val="20"/>
                <w:szCs w:val="20"/>
              </w:rPr>
              <w:t>I18</w:t>
            </w:r>
            <w:r w:rsidR="00135518" w:rsidRPr="00135518">
              <w:rPr>
                <w:rFonts w:ascii="Times New Roman" w:hAnsi="Times New Roman" w:cs="Times New Roman"/>
                <w:b/>
                <w:sz w:val="20"/>
                <w:szCs w:val="20"/>
              </w:rPr>
              <w:t>.</w:t>
            </w:r>
            <w:r w:rsidR="00135518" w:rsidRPr="00135518">
              <w:rPr>
                <w:rFonts w:ascii="Times New Roman" w:hAnsi="Times New Roman" w:cs="Times New Roman"/>
                <w:sz w:val="20"/>
                <w:szCs w:val="20"/>
              </w:rPr>
              <w:t xml:space="preserve"> Promovarea Strategiei UE pentru Regiunea Dunării în Republica Moldova (SUERD) prin asigurarea activității Coordonatorului Național (viceministrul dezvoltării regionale și construcțiilor).</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p>
          <w:p w:rsidR="00135518" w:rsidRDefault="00135518" w:rsidP="00135518">
            <w:pPr>
              <w:jc w:val="both"/>
              <w:rPr>
                <w:rFonts w:ascii="Times New Roman" w:eastAsia="Calibri" w:hAnsi="Times New Roman" w:cs="Times New Roman"/>
                <w:b/>
                <w:sz w:val="20"/>
                <w:szCs w:val="20"/>
              </w:rPr>
            </w:pPr>
          </w:p>
        </w:tc>
        <w:tc>
          <w:tcPr>
            <w:tcW w:w="1663" w:type="dxa"/>
            <w:tcBorders>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Evenimente destinate coordonatori-lor naționali și coordonatori-lor pe prioritățile SUERD organizate.</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Ședințe ale  grupului interministeri-al de coordonare a SUERD organizate.</w:t>
            </w:r>
          </w:p>
        </w:tc>
        <w:tc>
          <w:tcPr>
            <w:tcW w:w="1850" w:type="dxa"/>
            <w:tcBorders>
              <w:bottom w:val="single" w:sz="4" w:space="0" w:color="auto"/>
            </w:tcBorders>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MDRC,</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instituțiile reprezentate în grupul interministerialde coordonare a Strategiei UE pentru Regiunea Dunării în Republica Moldova</w:t>
            </w:r>
          </w:p>
          <w:p w:rsidR="00135518" w:rsidRDefault="00135518" w:rsidP="00135518">
            <w:pPr>
              <w:jc w:val="both"/>
              <w:rPr>
                <w:rFonts w:ascii="Times New Roman" w:eastAsia="Calibri" w:hAnsi="Times New Roman" w:cs="Times New Roman"/>
                <w:b/>
                <w:sz w:val="20"/>
                <w:szCs w:val="20"/>
              </w:rPr>
            </w:pPr>
          </w:p>
        </w:tc>
        <w:tc>
          <w:tcPr>
            <w:tcW w:w="2575" w:type="dxa"/>
            <w:tcBorders>
              <w:bottom w:val="single" w:sz="4" w:space="0" w:color="auto"/>
            </w:tcBorders>
            <w:vAlign w:val="center"/>
          </w:tcPr>
          <w:p w:rsidR="00135518" w:rsidRDefault="00135518" w:rsidP="00135518">
            <w:pPr>
              <w:jc w:val="both"/>
              <w:rPr>
                <w:rFonts w:ascii="Times New Roman" w:hAnsi="Times New Roman" w:cs="Times New Roman"/>
                <w:b/>
                <w:sz w:val="20"/>
                <w:szCs w:val="20"/>
              </w:rPr>
            </w:pPr>
            <w:r w:rsidRPr="00135518">
              <w:rPr>
                <w:rFonts w:ascii="Times New Roman" w:hAnsi="Times New Roman" w:cs="Times New Roman"/>
                <w:sz w:val="20"/>
                <w:szCs w:val="20"/>
              </w:rPr>
              <w:t>Trimestrul IV 2019</w:t>
            </w:r>
          </w:p>
        </w:tc>
        <w:tc>
          <w:tcPr>
            <w:tcW w:w="1844" w:type="dxa"/>
            <w:tcBorders>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Suma estimativă </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Alocații bugetare,</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inclusiv:</w:t>
            </w:r>
          </w:p>
          <w:p w:rsidR="00135518" w:rsidRDefault="00135518" w:rsidP="00135518">
            <w:pPr>
              <w:jc w:val="both"/>
              <w:rPr>
                <w:rFonts w:ascii="Times New Roman" w:eastAsia="Calibri" w:hAnsi="Times New Roman" w:cs="Times New Roman"/>
                <w:b/>
                <w:sz w:val="20"/>
                <w:szCs w:val="20"/>
              </w:rPr>
            </w:pPr>
            <w:r w:rsidRPr="00135518">
              <w:rPr>
                <w:rFonts w:ascii="Times New Roman" w:hAnsi="Times New Roman" w:cs="Times New Roman"/>
                <w:sz w:val="20"/>
                <w:szCs w:val="20"/>
              </w:rPr>
              <w:t>proiecte finanțate din surse externe.</w:t>
            </w:r>
          </w:p>
        </w:tc>
      </w:tr>
      <w:tr w:rsidR="00066A28" w:rsidRPr="008C1179" w:rsidTr="00EC08C0">
        <w:trPr>
          <w:trHeight w:val="1173"/>
        </w:trPr>
        <w:tc>
          <w:tcPr>
            <w:tcW w:w="646" w:type="dxa"/>
            <w:vMerge/>
          </w:tcPr>
          <w:p w:rsidR="00066A28" w:rsidRPr="00770701" w:rsidRDefault="00066A28" w:rsidP="00342A4F">
            <w:pPr>
              <w:jc w:val="center"/>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vAlign w:val="center"/>
          </w:tcPr>
          <w:p w:rsidR="00135518" w:rsidRPr="00135518" w:rsidRDefault="00066A28" w:rsidP="00135518">
            <w:pPr>
              <w:jc w:val="both"/>
              <w:rPr>
                <w:rFonts w:ascii="Times New Roman" w:hAnsi="Times New Roman" w:cs="Times New Roman"/>
                <w:b/>
                <w:sz w:val="20"/>
                <w:szCs w:val="20"/>
              </w:rPr>
            </w:pPr>
            <w:r>
              <w:rPr>
                <w:rFonts w:ascii="Times New Roman" w:hAnsi="Times New Roman" w:cs="Times New Roman"/>
                <w:b/>
                <w:sz w:val="20"/>
                <w:szCs w:val="20"/>
              </w:rPr>
              <w:t>I19</w:t>
            </w:r>
            <w:r w:rsidR="00135518" w:rsidRPr="00135518">
              <w:rPr>
                <w:rFonts w:ascii="Times New Roman" w:hAnsi="Times New Roman" w:cs="Times New Roman"/>
                <w:b/>
                <w:sz w:val="20"/>
                <w:szCs w:val="20"/>
              </w:rPr>
              <w:t>.</w:t>
            </w:r>
            <w:r w:rsidR="00135518" w:rsidRPr="00135518">
              <w:rPr>
                <w:rFonts w:ascii="Times New Roman" w:hAnsi="Times New Roman" w:cs="Times New Roman"/>
                <w:sz w:val="20"/>
                <w:szCs w:val="20"/>
              </w:rPr>
              <w:t xml:space="preserve"> </w:t>
            </w:r>
          </w:p>
        </w:tc>
        <w:tc>
          <w:tcPr>
            <w:tcW w:w="1663"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Inițiative pe priorități SUERD promovate.</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Ședințe comune organizate.</w:t>
            </w: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IV 2019</w:t>
            </w: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Suma estimativă </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Alocații bugetare,</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inclusiv:</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proiecte finanțate din surse externe.</w:t>
            </w:r>
          </w:p>
        </w:tc>
      </w:tr>
      <w:tr w:rsidR="00066A28" w:rsidRPr="008C1179" w:rsidTr="00EC08C0">
        <w:trPr>
          <w:trHeight w:val="1105"/>
        </w:trPr>
        <w:tc>
          <w:tcPr>
            <w:tcW w:w="646" w:type="dxa"/>
            <w:vMerge/>
          </w:tcPr>
          <w:p w:rsidR="00066A28" w:rsidRPr="00770701" w:rsidRDefault="00066A28" w:rsidP="00342A4F">
            <w:pPr>
              <w:jc w:val="center"/>
              <w:rPr>
                <w:rFonts w:ascii="Times New Roman" w:hAnsi="Times New Roman"/>
                <w:b/>
                <w:sz w:val="20"/>
                <w:szCs w:val="20"/>
              </w:rPr>
            </w:pPr>
          </w:p>
        </w:tc>
        <w:tc>
          <w:tcPr>
            <w:tcW w:w="2661" w:type="dxa"/>
            <w:vMerge/>
          </w:tcPr>
          <w:p w:rsidR="00135518" w:rsidRPr="00135518" w:rsidRDefault="00135518" w:rsidP="00135518">
            <w:pPr>
              <w:contextualSpacing/>
              <w:jc w:val="both"/>
              <w:rPr>
                <w:rFonts w:ascii="Times New Roman" w:hAnsi="Times New Roman" w:cs="Times New Roman"/>
                <w:b/>
                <w:sz w:val="20"/>
                <w:szCs w:val="20"/>
              </w:rPr>
            </w:pPr>
          </w:p>
        </w:tc>
        <w:tc>
          <w:tcPr>
            <w:tcW w:w="1323" w:type="dxa"/>
            <w:vMerge/>
          </w:tcPr>
          <w:p w:rsidR="00135518" w:rsidRDefault="00135518" w:rsidP="00135518">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135518" w:rsidRPr="00135518" w:rsidRDefault="00066A28" w:rsidP="00135518">
            <w:pPr>
              <w:jc w:val="both"/>
              <w:rPr>
                <w:rFonts w:ascii="Times New Roman" w:hAnsi="Times New Roman" w:cs="Times New Roman"/>
                <w:sz w:val="20"/>
                <w:szCs w:val="20"/>
              </w:rPr>
            </w:pPr>
            <w:r>
              <w:rPr>
                <w:rFonts w:ascii="Times New Roman" w:hAnsi="Times New Roman" w:cs="Times New Roman"/>
                <w:b/>
                <w:sz w:val="20"/>
                <w:szCs w:val="20"/>
              </w:rPr>
              <w:t>I20</w:t>
            </w:r>
            <w:r w:rsidR="00135518" w:rsidRPr="00135518">
              <w:rPr>
                <w:rFonts w:ascii="Times New Roman" w:hAnsi="Times New Roman" w:cs="Times New Roman"/>
                <w:b/>
                <w:sz w:val="20"/>
                <w:szCs w:val="20"/>
              </w:rPr>
              <w:t>.</w:t>
            </w:r>
            <w:r w:rsidR="00135518" w:rsidRPr="00135518">
              <w:rPr>
                <w:rFonts w:ascii="Times New Roman" w:hAnsi="Times New Roman" w:cs="Times New Roman"/>
                <w:sz w:val="20"/>
                <w:szCs w:val="20"/>
              </w:rPr>
              <w:t xml:space="preserve"> promovarea Programului Transnațional „Dunărea 2014-</w:t>
            </w:r>
            <w:smartTag w:uri="urn:schemas-microsoft-com:office:smarttags" w:element="metricconverter">
              <w:smartTagPr>
                <w:attr w:name="ProductID" w:val="2020”"/>
              </w:smartTagPr>
              <w:r w:rsidR="00135518" w:rsidRPr="00135518">
                <w:rPr>
                  <w:rFonts w:ascii="Times New Roman" w:hAnsi="Times New Roman" w:cs="Times New Roman"/>
                  <w:sz w:val="20"/>
                  <w:szCs w:val="20"/>
                </w:rPr>
                <w:t>2020”.</w:t>
              </w:r>
            </w:smartTag>
          </w:p>
        </w:tc>
        <w:tc>
          <w:tcPr>
            <w:tcW w:w="1663"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Ședințe de lucru privind procesul de monitorizare din cadrul Programului </w:t>
            </w:r>
            <w:r w:rsidRPr="00135518">
              <w:rPr>
                <w:rFonts w:ascii="Times New Roman" w:hAnsi="Times New Roman" w:cs="Times New Roman"/>
                <w:sz w:val="20"/>
                <w:szCs w:val="20"/>
              </w:rPr>
              <w:lastRenderedPageBreak/>
              <w:t>transnațional pentru regiunea Dunării organizate.</w:t>
            </w:r>
          </w:p>
        </w:tc>
        <w:tc>
          <w:tcPr>
            <w:tcW w:w="1850"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p>
        </w:tc>
        <w:tc>
          <w:tcPr>
            <w:tcW w:w="2575"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Trimestrul IV 2019</w:t>
            </w:r>
          </w:p>
        </w:tc>
        <w:tc>
          <w:tcPr>
            <w:tcW w:w="1844" w:type="dxa"/>
            <w:tcBorders>
              <w:top w:val="single" w:sz="4" w:space="0" w:color="auto"/>
              <w:bottom w:val="single" w:sz="4" w:space="0" w:color="auto"/>
            </w:tcBorders>
            <w:vAlign w:val="center"/>
          </w:tcPr>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Suma estimativă </w:t>
            </w:r>
          </w:p>
          <w:p w:rsidR="00135518" w:rsidRPr="00135518" w:rsidRDefault="00135518" w:rsidP="00135518">
            <w:pPr>
              <w:jc w:val="both"/>
              <w:rPr>
                <w:rFonts w:ascii="Times New Roman" w:hAnsi="Times New Roman" w:cs="Times New Roman"/>
                <w:sz w:val="20"/>
                <w:szCs w:val="20"/>
              </w:rPr>
            </w:pP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Alocații bugetare,</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inclusiv:</w:t>
            </w:r>
          </w:p>
          <w:p w:rsidR="00135518" w:rsidRPr="00135518" w:rsidRDefault="00135518" w:rsidP="00135518">
            <w:pPr>
              <w:jc w:val="both"/>
              <w:rPr>
                <w:rFonts w:ascii="Times New Roman" w:hAnsi="Times New Roman" w:cs="Times New Roman"/>
                <w:sz w:val="20"/>
                <w:szCs w:val="20"/>
              </w:rPr>
            </w:pPr>
            <w:r w:rsidRPr="00135518">
              <w:rPr>
                <w:rFonts w:ascii="Times New Roman" w:hAnsi="Times New Roman" w:cs="Times New Roman"/>
                <w:sz w:val="20"/>
                <w:szCs w:val="20"/>
              </w:rPr>
              <w:t xml:space="preserve">proiecte finanțate </w:t>
            </w:r>
            <w:r w:rsidRPr="00135518">
              <w:rPr>
                <w:rFonts w:ascii="Times New Roman" w:hAnsi="Times New Roman" w:cs="Times New Roman"/>
                <w:sz w:val="20"/>
                <w:szCs w:val="20"/>
              </w:rPr>
              <w:lastRenderedPageBreak/>
              <w:t>din surse externe.</w:t>
            </w:r>
          </w:p>
        </w:tc>
      </w:tr>
      <w:tr w:rsidR="00066A28" w:rsidRPr="008C1179" w:rsidTr="00EC08C0">
        <w:tc>
          <w:tcPr>
            <w:tcW w:w="646" w:type="dxa"/>
          </w:tcPr>
          <w:p w:rsidR="00066A28" w:rsidRPr="00770701" w:rsidRDefault="00066A28" w:rsidP="00342A4F">
            <w:pPr>
              <w:jc w:val="both"/>
              <w:rPr>
                <w:rFonts w:ascii="Times New Roman" w:hAnsi="Times New Roman"/>
                <w:b/>
                <w:sz w:val="20"/>
                <w:szCs w:val="20"/>
              </w:rPr>
            </w:pPr>
          </w:p>
        </w:tc>
        <w:tc>
          <w:tcPr>
            <w:tcW w:w="2661" w:type="dxa"/>
          </w:tcPr>
          <w:p w:rsidR="00135518" w:rsidRDefault="00135518" w:rsidP="00135518">
            <w:pPr>
              <w:contextualSpacing/>
              <w:jc w:val="both"/>
              <w:rPr>
                <w:rFonts w:ascii="Times New Roman" w:hAnsi="Times New Roman" w:cs="Times New Roman"/>
                <w:sz w:val="20"/>
                <w:szCs w:val="20"/>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850"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575"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844" w:type="dxa"/>
          </w:tcPr>
          <w:p w:rsidR="00135518" w:rsidRDefault="00135518" w:rsidP="00135518">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342A4F">
            <w:pPr>
              <w:pStyle w:val="ListParagraph"/>
              <w:ind w:left="0"/>
              <w:jc w:val="center"/>
              <w:outlineLvl w:val="0"/>
              <w:rPr>
                <w:rFonts w:ascii="Times New Roman" w:hAnsi="Times New Roman"/>
                <w:b/>
                <w:sz w:val="20"/>
                <w:szCs w:val="20"/>
              </w:rPr>
            </w:pPr>
            <w:r w:rsidRPr="00770701">
              <w:rPr>
                <w:rFonts w:ascii="Times New Roman" w:hAnsi="Times New Roman"/>
                <w:b/>
                <w:sz w:val="20"/>
                <w:szCs w:val="20"/>
              </w:rPr>
              <w:t>111</w:t>
            </w:r>
          </w:p>
        </w:tc>
        <w:tc>
          <w:tcPr>
            <w:tcW w:w="2661"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850"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575"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844" w:type="dxa"/>
          </w:tcPr>
          <w:p w:rsidR="00135518" w:rsidRDefault="00135518" w:rsidP="00135518">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342A4F">
            <w:pPr>
              <w:pStyle w:val="ListParagraph"/>
              <w:ind w:left="0"/>
              <w:jc w:val="center"/>
              <w:rPr>
                <w:rFonts w:ascii="Times New Roman" w:hAnsi="Times New Roman"/>
                <w:b/>
                <w:sz w:val="20"/>
                <w:szCs w:val="20"/>
              </w:rPr>
            </w:pPr>
            <w:r w:rsidRPr="00770701">
              <w:rPr>
                <w:rFonts w:ascii="Times New Roman" w:hAnsi="Times New Roman"/>
                <w:b/>
                <w:sz w:val="20"/>
                <w:szCs w:val="20"/>
              </w:rPr>
              <w:t>112</w:t>
            </w:r>
          </w:p>
        </w:tc>
        <w:tc>
          <w:tcPr>
            <w:tcW w:w="2661" w:type="dxa"/>
          </w:tcPr>
          <w:p w:rsidR="00135518" w:rsidRDefault="00135518" w:rsidP="00135518">
            <w:pPr>
              <w:contextualSpacing/>
              <w:jc w:val="both"/>
              <w:rPr>
                <w:rFonts w:ascii="Times New Roman" w:hAnsi="Times New Roman" w:cs="Times New Roman"/>
                <w:sz w:val="20"/>
                <w:szCs w:val="20"/>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850"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575" w:type="dxa"/>
          </w:tcPr>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844" w:type="dxa"/>
          </w:tcPr>
          <w:p w:rsidR="00135518" w:rsidRDefault="00135518" w:rsidP="00135518">
            <w:pPr>
              <w:jc w:val="both"/>
              <w:rPr>
                <w:rFonts w:ascii="Times New Roman" w:eastAsia="Calibri" w:hAnsi="Times New Roman" w:cs="Times New Roman"/>
                <w:b/>
                <w:bCs/>
                <w:color w:val="4F81BD" w:themeColor="accent1"/>
                <w:sz w:val="20"/>
                <w:szCs w:val="20"/>
              </w:rPr>
            </w:pPr>
          </w:p>
        </w:tc>
      </w:tr>
      <w:tr w:rsidR="00066A28" w:rsidRPr="008C1179" w:rsidTr="00EC08C0">
        <w:tc>
          <w:tcPr>
            <w:tcW w:w="15419" w:type="dxa"/>
            <w:gridSpan w:val="8"/>
          </w:tcPr>
          <w:p w:rsidR="00135518" w:rsidRDefault="00066A28" w:rsidP="00135518">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21. SĂNĂTATEA PUBLICĂ</w:t>
            </w:r>
          </w:p>
        </w:tc>
      </w:tr>
      <w:tr w:rsidR="00066A28" w:rsidRPr="008C1179" w:rsidTr="00EC08C0">
        <w:tc>
          <w:tcPr>
            <w:tcW w:w="15419" w:type="dxa"/>
            <w:gridSpan w:val="8"/>
          </w:tcPr>
          <w:p w:rsidR="00135518" w:rsidRDefault="00066A28" w:rsidP="00135518">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c>
          <w:tcPr>
            <w:tcW w:w="646" w:type="dxa"/>
          </w:tcPr>
          <w:p w:rsidR="00066A28" w:rsidRPr="00770701" w:rsidRDefault="00066A28" w:rsidP="00342A4F">
            <w:pPr>
              <w:jc w:val="both"/>
              <w:rPr>
                <w:rFonts w:ascii="Times New Roman" w:eastAsia="SimSun" w:hAnsi="Times New Roman"/>
                <w:sz w:val="20"/>
                <w:szCs w:val="20"/>
              </w:rPr>
            </w:pPr>
            <w:r w:rsidRPr="00770701">
              <w:rPr>
                <w:rFonts w:ascii="Times New Roman" w:eastAsia="SimSun" w:hAnsi="Times New Roman"/>
                <w:b/>
                <w:sz w:val="20"/>
                <w:szCs w:val="20"/>
              </w:rPr>
              <w:t>113</w:t>
            </w:r>
          </w:p>
        </w:tc>
        <w:tc>
          <w:tcPr>
            <w:tcW w:w="2661" w:type="dxa"/>
          </w:tcPr>
          <w:p w:rsidR="00135518" w:rsidRDefault="00135518" w:rsidP="00135518">
            <w:pPr>
              <w:contextualSpacing/>
              <w:jc w:val="both"/>
              <w:rPr>
                <w:rFonts w:ascii="Times New Roman" w:eastAsia="SimSun" w:hAnsi="Times New Roman" w:cs="Times New Roman"/>
                <w:sz w:val="20"/>
                <w:szCs w:val="20"/>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Nr. de acte normative aprobate</w:t>
            </w:r>
          </w:p>
        </w:tc>
        <w:tc>
          <w:tcPr>
            <w:tcW w:w="1850"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Ministerul Sănătății</w:t>
            </w:r>
          </w:p>
        </w:tc>
        <w:tc>
          <w:tcPr>
            <w:tcW w:w="2575" w:type="dxa"/>
          </w:tcPr>
          <w:p w:rsidR="00135518" w:rsidRDefault="00066A28" w:rsidP="00135518">
            <w:pPr>
              <w:jc w:val="both"/>
              <w:rPr>
                <w:rFonts w:ascii="Times New Roman" w:eastAsiaTheme="majorEastAsia" w:hAnsi="Times New Roman" w:cs="Times New Roman"/>
                <w:b/>
                <w:bCs/>
                <w:color w:val="4F81BD" w:themeColor="accent1"/>
                <w:sz w:val="20"/>
                <w:szCs w:val="20"/>
              </w:rPr>
            </w:pPr>
            <w:r w:rsidRPr="00EC08C0">
              <w:rPr>
                <w:rFonts w:ascii="Times New Roman" w:hAnsi="Times New Roman"/>
                <w:sz w:val="20"/>
                <w:szCs w:val="20"/>
                <w:lang w:val="ro-MO"/>
              </w:rPr>
              <w:t>Trimestrul IV 2019</w:t>
            </w:r>
          </w:p>
        </w:tc>
        <w:tc>
          <w:tcPr>
            <w:tcW w:w="1844" w:type="dxa"/>
          </w:tcPr>
          <w:p w:rsidR="00066A28" w:rsidRPr="00EC08C0" w:rsidRDefault="00066A28" w:rsidP="00BD7884">
            <w:pPr>
              <w:jc w:val="center"/>
              <w:rPr>
                <w:rFonts w:ascii="Times New Roman" w:eastAsia="Calibri" w:hAnsi="Times New Roman" w:cs="Times New Roman"/>
                <w:sz w:val="20"/>
                <w:szCs w:val="20"/>
              </w:rPr>
            </w:pPr>
            <w:r w:rsidRPr="00EC08C0">
              <w:rPr>
                <w:rFonts w:ascii="Times New Roman" w:eastAsia="Calibri" w:hAnsi="Times New Roman" w:cs="Times New Roman"/>
                <w:sz w:val="20"/>
                <w:szCs w:val="20"/>
              </w:rPr>
              <w:t>Aproximativ suma</w:t>
            </w:r>
          </w:p>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0,0</w:t>
            </w:r>
          </w:p>
        </w:tc>
      </w:tr>
      <w:tr w:rsidR="00066A28" w:rsidRPr="008C1179" w:rsidTr="00EC08C0">
        <w:tc>
          <w:tcPr>
            <w:tcW w:w="646" w:type="dxa"/>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114</w:t>
            </w:r>
          </w:p>
        </w:tc>
        <w:tc>
          <w:tcPr>
            <w:tcW w:w="2661" w:type="dxa"/>
          </w:tcPr>
          <w:p w:rsidR="00135518" w:rsidRDefault="00066A28" w:rsidP="00135518">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sz w:val="20"/>
                <w:szCs w:val="20"/>
              </w:rPr>
              <w:t xml:space="preserve">Cooperarea vizează, în special, următoarele sectoare: </w:t>
            </w:r>
          </w:p>
          <w:p w:rsidR="00135518" w:rsidRDefault="00066A28" w:rsidP="00135518">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consolidarea sistemului de sănătate publică al Republicii Moldova, în special prin punerea în aplicare a reformelor în acest sector, prin asigurarea unei asistențe medicale primare de înaltă calitate și prin îmbunătățirea guvernanței în materie de sănătate și a finanțării asistenței medicale </w:t>
            </w: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I 1.</w:t>
            </w:r>
            <w:r w:rsidRPr="00EC08C0">
              <w:rPr>
                <w:rFonts w:ascii="Times New Roman" w:eastAsia="Calibri" w:hAnsi="Times New Roman" w:cs="Times New Roman"/>
                <w:b/>
                <w:sz w:val="20"/>
                <w:szCs w:val="20"/>
              </w:rPr>
              <w:t xml:space="preserve"> </w:t>
            </w:r>
            <w:r w:rsidRPr="00EC08C0">
              <w:rPr>
                <w:rFonts w:ascii="Times New Roman" w:eastAsia="Calibri" w:hAnsi="Times New Roman" w:cs="Times New Roman"/>
                <w:sz w:val="20"/>
                <w:szCs w:val="20"/>
              </w:rPr>
              <w:t>Asigurarea</w:t>
            </w:r>
            <w:r w:rsidRPr="00EC08C0">
              <w:rPr>
                <w:rFonts w:ascii="Times New Roman" w:eastAsia="Calibri" w:hAnsi="Times New Roman" w:cs="Times New Roman"/>
                <w:b/>
                <w:sz w:val="20"/>
                <w:szCs w:val="20"/>
              </w:rPr>
              <w:t xml:space="preserve"> </w:t>
            </w:r>
            <w:r w:rsidRPr="00EC08C0">
              <w:rPr>
                <w:rFonts w:ascii="Times New Roman" w:eastAsia="Calibri" w:hAnsi="Times New Roman" w:cs="Times New Roman"/>
                <w:sz w:val="20"/>
                <w:szCs w:val="20"/>
              </w:rPr>
              <w:t>funcționalității a 10 centre de performanță regionale a serviciilor de laborator</w:t>
            </w:r>
          </w:p>
        </w:tc>
        <w:tc>
          <w:tcPr>
            <w:tcW w:w="1663"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 xml:space="preserve">10 centre de performanță regională a serviciilor de laborator funcționale </w:t>
            </w:r>
          </w:p>
        </w:tc>
        <w:tc>
          <w:tcPr>
            <w:tcW w:w="1850"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Ministerul Sănătății</w:t>
            </w:r>
          </w:p>
        </w:tc>
        <w:tc>
          <w:tcPr>
            <w:tcW w:w="2575" w:type="dxa"/>
          </w:tcPr>
          <w:p w:rsidR="00135518" w:rsidRPr="00135518" w:rsidRDefault="00066A28" w:rsidP="00135518">
            <w:pPr>
              <w:jc w:val="both"/>
              <w:rPr>
                <w:rFonts w:ascii="Times New Roman" w:hAnsi="Times New Roman" w:cs="Times New Roman"/>
                <w:b/>
                <w:sz w:val="20"/>
                <w:szCs w:val="20"/>
              </w:rPr>
            </w:pPr>
            <w:r w:rsidRPr="00EC08C0">
              <w:rPr>
                <w:rFonts w:ascii="Times New Roman" w:hAnsi="Times New Roman"/>
                <w:sz w:val="20"/>
                <w:szCs w:val="20"/>
                <w:lang w:val="ro-MO"/>
              </w:rPr>
              <w:t>Trimestrul IV 2018</w:t>
            </w:r>
          </w:p>
        </w:tc>
        <w:tc>
          <w:tcPr>
            <w:tcW w:w="1844" w:type="dxa"/>
          </w:tcPr>
          <w:p w:rsidR="00066A28" w:rsidRPr="00EC08C0" w:rsidRDefault="00066A28" w:rsidP="00BD7884">
            <w:pPr>
              <w:jc w:val="center"/>
              <w:rPr>
                <w:rFonts w:ascii="Times New Roman" w:eastAsia="Calibri" w:hAnsi="Times New Roman" w:cs="Times New Roman"/>
                <w:sz w:val="20"/>
                <w:szCs w:val="20"/>
              </w:rPr>
            </w:pPr>
            <w:r w:rsidRPr="00EC08C0">
              <w:rPr>
                <w:rFonts w:ascii="Times New Roman" w:eastAsia="Calibri" w:hAnsi="Times New Roman" w:cs="Times New Roman"/>
                <w:sz w:val="20"/>
                <w:szCs w:val="20"/>
              </w:rPr>
              <w:t>Aproximativ suma</w:t>
            </w:r>
          </w:p>
          <w:p w:rsidR="00066A28" w:rsidRPr="00EC08C0" w:rsidRDefault="00066A28" w:rsidP="00BD7884">
            <w:pPr>
              <w:jc w:val="center"/>
              <w:rPr>
                <w:rFonts w:ascii="Times New Roman" w:hAnsi="Times New Roman" w:cs="Times New Roman"/>
                <w:sz w:val="20"/>
                <w:szCs w:val="20"/>
              </w:rPr>
            </w:pPr>
            <w:r w:rsidRPr="00EC08C0">
              <w:rPr>
                <w:rFonts w:ascii="Times New Roman" w:hAnsi="Times New Roman" w:cs="Times New Roman"/>
                <w:sz w:val="20"/>
                <w:szCs w:val="20"/>
              </w:rPr>
              <w:t>95652,7</w:t>
            </w:r>
          </w:p>
          <w:p w:rsidR="00135518" w:rsidRPr="00135518" w:rsidRDefault="00135518" w:rsidP="00135518">
            <w:pPr>
              <w:jc w:val="both"/>
              <w:rPr>
                <w:rFonts w:ascii="Times New Roman" w:eastAsia="Calibri" w:hAnsi="Times New Roman" w:cs="Times New Roman"/>
                <w:b/>
                <w:sz w:val="20"/>
                <w:szCs w:val="20"/>
              </w:rPr>
            </w:pPr>
          </w:p>
        </w:tc>
      </w:tr>
      <w:tr w:rsidR="00066A28" w:rsidRPr="008C1179" w:rsidTr="00EC08C0">
        <w:trPr>
          <w:trHeight w:val="4787"/>
        </w:trPr>
        <w:tc>
          <w:tcPr>
            <w:tcW w:w="646" w:type="dxa"/>
            <w:vMerge w:val="restart"/>
          </w:tcPr>
          <w:p w:rsidR="00066A28" w:rsidRPr="00770701" w:rsidRDefault="00066A28" w:rsidP="00342A4F">
            <w:pPr>
              <w:jc w:val="both"/>
              <w:rPr>
                <w:rFonts w:ascii="Times New Roman" w:hAnsi="Times New Roman"/>
                <w:b/>
                <w:sz w:val="20"/>
                <w:szCs w:val="20"/>
              </w:rPr>
            </w:pPr>
          </w:p>
        </w:tc>
        <w:tc>
          <w:tcPr>
            <w:tcW w:w="2661" w:type="dxa"/>
            <w:vMerge w:val="restart"/>
          </w:tcPr>
          <w:p w:rsidR="00135518" w:rsidRDefault="00066A28" w:rsidP="00135518">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 (b)</w:t>
            </w:r>
            <w:r w:rsidRPr="003A0C18">
              <w:rPr>
                <w:rFonts w:ascii="Times New Roman" w:eastAsia="SimSun" w:hAnsi="Times New Roman" w:cs="Times New Roman"/>
                <w:sz w:val="20"/>
                <w:szCs w:val="20"/>
              </w:rPr>
              <w:t xml:space="preserve"> Supravegherea epidemiologică și controlul bolilor transmisibile, cum ar fi HIV/SIDA, hepatita virală și tuberculoza, precum și sporirea capacității de pregătire pentru amenințări și urgențe la adresa sănătății publice</w:t>
            </w:r>
          </w:p>
        </w:tc>
        <w:tc>
          <w:tcPr>
            <w:tcW w:w="1323" w:type="dxa"/>
            <w:vMerge w:val="restart"/>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 xml:space="preserve">I 1. Implementarea  </w:t>
            </w:r>
            <w:r w:rsidRPr="00EC08C0">
              <w:rPr>
                <w:rFonts w:ascii="Times New Roman" w:hAnsi="Times New Roman" w:cs="Times New Roman"/>
                <w:sz w:val="20"/>
                <w:szCs w:val="20"/>
              </w:rPr>
              <w:t>Programului naţional de control al tuberculozei pentru anii 2016-2020</w:t>
            </w:r>
          </w:p>
        </w:tc>
        <w:tc>
          <w:tcPr>
            <w:tcW w:w="1663" w:type="dxa"/>
            <w:tcBorders>
              <w:bottom w:val="single" w:sz="4" w:space="0" w:color="auto"/>
            </w:tcBorders>
          </w:tcPr>
          <w:p w:rsidR="00066A28" w:rsidRPr="00EC08C0" w:rsidRDefault="00066A28" w:rsidP="00BD7884">
            <w:pPr>
              <w:rPr>
                <w:rFonts w:ascii="Times New Roman" w:hAnsi="Times New Roman" w:cs="Times New Roman"/>
                <w:sz w:val="20"/>
                <w:szCs w:val="20"/>
              </w:rPr>
            </w:pPr>
            <w:r w:rsidRPr="00EC08C0">
              <w:rPr>
                <w:rFonts w:ascii="Times New Roman" w:hAnsi="Times New Roman" w:cs="Times New Roman"/>
                <w:sz w:val="20"/>
                <w:szCs w:val="20"/>
              </w:rPr>
              <w:t>Asigurarea diagnosticului tuberculozei prin susținerea constantă și extinderea metodelor contemporane de diagnostic;</w:t>
            </w:r>
          </w:p>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hAnsi="Times New Roman" w:cs="Times New Roman"/>
                <w:sz w:val="20"/>
                <w:szCs w:val="20"/>
              </w:rPr>
              <w:t>Depistarea activă a tuberculozei în grupurile cu risc și vigilență sporită pentru tuberculoză</w:t>
            </w:r>
          </w:p>
        </w:tc>
        <w:tc>
          <w:tcPr>
            <w:tcW w:w="1850" w:type="dxa"/>
            <w:tcBorders>
              <w:bottom w:val="single" w:sz="4" w:space="0" w:color="auto"/>
            </w:tcBorders>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Ministerul Sănătății</w:t>
            </w:r>
          </w:p>
        </w:tc>
        <w:tc>
          <w:tcPr>
            <w:tcW w:w="2575" w:type="dxa"/>
            <w:tcBorders>
              <w:bottom w:val="single" w:sz="4" w:space="0" w:color="auto"/>
            </w:tcBorders>
          </w:tcPr>
          <w:p w:rsidR="00135518" w:rsidRDefault="00066A28" w:rsidP="00135518">
            <w:pPr>
              <w:jc w:val="both"/>
              <w:rPr>
                <w:rFonts w:ascii="Times New Roman" w:eastAsiaTheme="majorEastAsia" w:hAnsi="Times New Roman" w:cs="Times New Roman"/>
                <w:b/>
                <w:bCs/>
                <w:color w:val="4F81BD" w:themeColor="accent1"/>
                <w:sz w:val="20"/>
                <w:szCs w:val="20"/>
              </w:rPr>
            </w:pPr>
            <w:r w:rsidRPr="00EC08C0">
              <w:rPr>
                <w:rFonts w:ascii="Times New Roman" w:eastAsia="Calibri" w:hAnsi="Times New Roman" w:cs="Times New Roman"/>
                <w:sz w:val="20"/>
                <w:szCs w:val="20"/>
              </w:rPr>
              <w:t>Trimestrul IV 2019</w:t>
            </w:r>
          </w:p>
        </w:tc>
        <w:tc>
          <w:tcPr>
            <w:tcW w:w="1844" w:type="dxa"/>
            <w:tcBorders>
              <w:bottom w:val="single" w:sz="4" w:space="0" w:color="auto"/>
            </w:tcBorders>
          </w:tcPr>
          <w:p w:rsidR="00066A28" w:rsidRPr="00EC08C0" w:rsidRDefault="00066A28" w:rsidP="00BD7884">
            <w:pPr>
              <w:widowControl w:val="0"/>
              <w:jc w:val="center"/>
              <w:rPr>
                <w:rFonts w:ascii="Times New Roman" w:eastAsia="Adobe Fangsong Std R" w:hAnsi="Times New Roman" w:cs="Times New Roman"/>
                <w:noProof/>
                <w:sz w:val="20"/>
                <w:szCs w:val="20"/>
                <w:lang w:val="en-US" w:eastAsia="fr-BE"/>
              </w:rPr>
            </w:pPr>
            <w:r w:rsidRPr="00EC08C0">
              <w:rPr>
                <w:rFonts w:ascii="Times New Roman" w:eastAsia="Adobe Fangsong Std R" w:hAnsi="Times New Roman" w:cs="Times New Roman"/>
                <w:noProof/>
                <w:sz w:val="20"/>
                <w:szCs w:val="20"/>
                <w:lang w:val="en-US" w:eastAsia="fr-BE"/>
              </w:rPr>
              <w:t>Aproximativ suma</w:t>
            </w:r>
          </w:p>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lang w:val="en-US"/>
              </w:rPr>
              <w:t xml:space="preserve">Alocații bugetare, total </w:t>
            </w:r>
            <w:r w:rsidRPr="00EC08C0">
              <w:rPr>
                <w:rFonts w:ascii="Times New Roman" w:hAnsi="Times New Roman" w:cs="Times New Roman"/>
                <w:sz w:val="20"/>
                <w:szCs w:val="20"/>
              </w:rPr>
              <w:t>3 128,6</w:t>
            </w:r>
          </w:p>
        </w:tc>
      </w:tr>
      <w:tr w:rsidR="00066A28" w:rsidRPr="008C1179" w:rsidTr="00EC08C0">
        <w:trPr>
          <w:trHeight w:val="529"/>
        </w:trPr>
        <w:tc>
          <w:tcPr>
            <w:tcW w:w="646" w:type="dxa"/>
            <w:vMerge/>
          </w:tcPr>
          <w:p w:rsidR="00066A28" w:rsidRPr="00770701" w:rsidRDefault="00066A28" w:rsidP="00342A4F">
            <w:pPr>
              <w:jc w:val="both"/>
              <w:rPr>
                <w:rFonts w:ascii="Times New Roman" w:hAnsi="Times New Roman"/>
                <w:b/>
                <w:sz w:val="20"/>
                <w:szCs w:val="20"/>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pPr>
              <w:jc w:val="both"/>
              <w:rPr>
                <w:rFonts w:ascii="Times New Roman" w:eastAsia="Calibri" w:hAnsi="Times New Roman" w:cs="Times New Roman"/>
                <w:b/>
                <w:bCs/>
                <w:color w:val="4F81BD" w:themeColor="accent1"/>
                <w:sz w:val="20"/>
                <w:szCs w:val="20"/>
              </w:rPr>
            </w:pPr>
          </w:p>
        </w:tc>
        <w:tc>
          <w:tcPr>
            <w:tcW w:w="2857" w:type="dxa"/>
            <w:tcBorders>
              <w:top w:val="single" w:sz="4" w:space="0" w:color="auto"/>
            </w:tcBorders>
          </w:tcPr>
          <w:p w:rsidR="00066A28" w:rsidRPr="00EC08C0" w:rsidRDefault="00066A28" w:rsidP="00BD7884">
            <w:pPr>
              <w:jc w:val="both"/>
              <w:rPr>
                <w:rFonts w:ascii="Times New Roman" w:eastAsia="Calibri" w:hAnsi="Times New Roman" w:cs="Times New Roman"/>
                <w:sz w:val="20"/>
                <w:szCs w:val="20"/>
              </w:rPr>
            </w:pPr>
            <w:r w:rsidRPr="00EC08C0">
              <w:rPr>
                <w:rFonts w:ascii="Times New Roman" w:eastAsia="Calibri" w:hAnsi="Times New Roman" w:cs="Times New Roman"/>
                <w:sz w:val="20"/>
                <w:szCs w:val="20"/>
              </w:rPr>
              <w:t xml:space="preserve">Implementarea  </w:t>
            </w:r>
            <w:r w:rsidRPr="00EC08C0">
              <w:rPr>
                <w:rFonts w:ascii="Times New Roman" w:hAnsi="Times New Roman" w:cs="Times New Roman"/>
                <w:sz w:val="20"/>
                <w:szCs w:val="20"/>
              </w:rPr>
              <w:t>Programului</w:t>
            </w:r>
            <w:r w:rsidRPr="00EC08C0">
              <w:rPr>
                <w:sz w:val="20"/>
                <w:szCs w:val="20"/>
              </w:rPr>
              <w:t xml:space="preserve"> </w:t>
            </w:r>
            <w:r w:rsidRPr="00EC08C0">
              <w:rPr>
                <w:rFonts w:ascii="Times New Roman" w:hAnsi="Times New Roman" w:cs="Times New Roman"/>
                <w:sz w:val="20"/>
                <w:szCs w:val="20"/>
              </w:rPr>
              <w:t>naţional de prevenire şi control al infecţiei HIV/SIDA şi infecţiilor cu transmitere sexuală pentru anii 2016-2020</w:t>
            </w:r>
          </w:p>
        </w:tc>
        <w:tc>
          <w:tcPr>
            <w:tcW w:w="1663" w:type="dxa"/>
            <w:tcBorders>
              <w:top w:val="single" w:sz="4" w:space="0" w:color="auto"/>
            </w:tcBorders>
          </w:tcPr>
          <w:p w:rsidR="00066A28" w:rsidRPr="00EC08C0" w:rsidRDefault="00066A28" w:rsidP="00BD7884">
            <w:pPr>
              <w:rPr>
                <w:rFonts w:ascii="Times New Roman" w:hAnsi="Times New Roman" w:cs="Times New Roman"/>
                <w:sz w:val="20"/>
                <w:szCs w:val="20"/>
              </w:rPr>
            </w:pPr>
            <w:r w:rsidRPr="00EC08C0">
              <w:rPr>
                <w:rFonts w:ascii="Times New Roman" w:hAnsi="Times New Roman" w:cs="Times New Roman"/>
                <w:sz w:val="20"/>
                <w:szCs w:val="20"/>
              </w:rPr>
              <w:t>Procentul consumatorilor de droguri injectabile acoperiţi cu servicii de prevenire în cadrul programelor de reducere a riscurilor;</w:t>
            </w:r>
          </w:p>
          <w:p w:rsidR="00066A28" w:rsidRPr="00EC08C0" w:rsidRDefault="00066A28" w:rsidP="00BD7884">
            <w:pPr>
              <w:rPr>
                <w:rFonts w:ascii="Times New Roman" w:hAnsi="Times New Roman" w:cs="Times New Roman"/>
                <w:sz w:val="20"/>
                <w:szCs w:val="20"/>
              </w:rPr>
            </w:pPr>
            <w:r w:rsidRPr="00EC08C0">
              <w:rPr>
                <w:rFonts w:ascii="Times New Roman" w:hAnsi="Times New Roman" w:cs="Times New Roman"/>
                <w:sz w:val="20"/>
                <w:szCs w:val="20"/>
              </w:rPr>
              <w:t xml:space="preserve">Numărul consumatorilor de droguri injectabile noi înrolaţi în tratament de substituţie </w:t>
            </w:r>
          </w:p>
        </w:tc>
        <w:tc>
          <w:tcPr>
            <w:tcW w:w="1850" w:type="dxa"/>
            <w:tcBorders>
              <w:top w:val="single" w:sz="4" w:space="0" w:color="auto"/>
            </w:tcBorders>
          </w:tcPr>
          <w:p w:rsidR="00066A28" w:rsidRPr="00EC08C0" w:rsidRDefault="00066A28" w:rsidP="00BD7884">
            <w:pPr>
              <w:jc w:val="both"/>
              <w:rPr>
                <w:rFonts w:ascii="Times New Roman" w:eastAsia="Calibri" w:hAnsi="Times New Roman" w:cs="Times New Roman"/>
                <w:sz w:val="20"/>
                <w:szCs w:val="20"/>
              </w:rPr>
            </w:pPr>
            <w:r w:rsidRPr="00EC08C0">
              <w:rPr>
                <w:rFonts w:ascii="Times New Roman" w:eastAsia="Calibri" w:hAnsi="Times New Roman" w:cs="Times New Roman"/>
                <w:sz w:val="20"/>
                <w:szCs w:val="20"/>
              </w:rPr>
              <w:t>Ministerul Sănătății,</w:t>
            </w:r>
            <w:r w:rsidRPr="00EC08C0">
              <w:rPr>
                <w:rFonts w:ascii="Times New Roman" w:hAnsi="Times New Roman" w:cs="Times New Roman"/>
                <w:sz w:val="20"/>
                <w:szCs w:val="20"/>
              </w:rPr>
              <w:t xml:space="preserve"> Ministerul Muncii, Protecţiei Sociale şi Familiei, Ministerul Educaţiei, Departamentul Instituţiilor Penitenciare al Ministerului Justiţiei, Ministerul Tineretului şi Sportului</w:t>
            </w:r>
          </w:p>
        </w:tc>
        <w:tc>
          <w:tcPr>
            <w:tcW w:w="2575" w:type="dxa"/>
            <w:tcBorders>
              <w:top w:val="single" w:sz="4" w:space="0" w:color="auto"/>
            </w:tcBorders>
          </w:tcPr>
          <w:p w:rsidR="00066A28" w:rsidRPr="00EC08C0" w:rsidRDefault="00066A28" w:rsidP="00BD7884">
            <w:pPr>
              <w:jc w:val="both"/>
              <w:rPr>
                <w:rFonts w:ascii="Times New Roman" w:eastAsia="Calibri" w:hAnsi="Times New Roman" w:cs="Times New Roman"/>
                <w:sz w:val="20"/>
                <w:szCs w:val="20"/>
              </w:rPr>
            </w:pPr>
            <w:r w:rsidRPr="00EC08C0">
              <w:rPr>
                <w:rFonts w:ascii="Times New Roman" w:eastAsia="Calibri" w:hAnsi="Times New Roman" w:cs="Times New Roman"/>
                <w:sz w:val="20"/>
                <w:szCs w:val="20"/>
              </w:rPr>
              <w:t>Trimestrul IV 2019</w:t>
            </w:r>
          </w:p>
        </w:tc>
        <w:tc>
          <w:tcPr>
            <w:tcW w:w="1844" w:type="dxa"/>
            <w:tcBorders>
              <w:top w:val="single" w:sz="4" w:space="0" w:color="auto"/>
            </w:tcBorders>
          </w:tcPr>
          <w:p w:rsidR="00066A28" w:rsidRPr="00EC08C0" w:rsidRDefault="00066A28" w:rsidP="00BD7884">
            <w:pPr>
              <w:widowControl w:val="0"/>
              <w:jc w:val="center"/>
              <w:rPr>
                <w:rFonts w:ascii="Times New Roman" w:eastAsia="Adobe Fangsong Std R" w:hAnsi="Times New Roman" w:cs="Times New Roman"/>
                <w:noProof/>
                <w:sz w:val="20"/>
                <w:szCs w:val="20"/>
                <w:lang w:val="en-US" w:eastAsia="fr-BE"/>
              </w:rPr>
            </w:pPr>
            <w:r w:rsidRPr="00EC08C0">
              <w:rPr>
                <w:rFonts w:ascii="Times New Roman" w:eastAsia="Adobe Fangsong Std R" w:hAnsi="Times New Roman" w:cs="Times New Roman"/>
                <w:noProof/>
                <w:sz w:val="20"/>
                <w:szCs w:val="20"/>
                <w:lang w:val="en-US" w:eastAsia="fr-BE"/>
              </w:rPr>
              <w:t>Aproximativ suma</w:t>
            </w:r>
          </w:p>
          <w:p w:rsidR="00066A28" w:rsidRPr="00EC08C0" w:rsidRDefault="00066A28" w:rsidP="00BD7884">
            <w:pPr>
              <w:widowControl w:val="0"/>
              <w:jc w:val="center"/>
              <w:rPr>
                <w:rFonts w:ascii="Times New Roman" w:eastAsia="Adobe Fangsong Std R" w:hAnsi="Times New Roman" w:cs="Times New Roman"/>
                <w:noProof/>
                <w:sz w:val="20"/>
                <w:szCs w:val="20"/>
                <w:lang w:val="en-US" w:eastAsia="fr-BE"/>
              </w:rPr>
            </w:pPr>
            <w:r w:rsidRPr="00EC08C0">
              <w:rPr>
                <w:rFonts w:ascii="Times New Roman" w:eastAsia="Calibri" w:hAnsi="Times New Roman" w:cs="Times New Roman"/>
                <w:sz w:val="20"/>
                <w:szCs w:val="20"/>
                <w:lang w:val="en-US"/>
              </w:rPr>
              <w:t xml:space="preserve">Alocații bugetare, total </w:t>
            </w:r>
            <w:r w:rsidRPr="00EC08C0">
              <w:rPr>
                <w:rFonts w:ascii="Times New Roman" w:hAnsi="Times New Roman" w:cs="Times New Roman"/>
                <w:sz w:val="20"/>
                <w:szCs w:val="20"/>
              </w:rPr>
              <w:t>1046,000</w:t>
            </w:r>
          </w:p>
        </w:tc>
      </w:tr>
      <w:tr w:rsidR="00066A28" w:rsidRPr="008C1179" w:rsidTr="00EC08C0">
        <w:tc>
          <w:tcPr>
            <w:tcW w:w="646" w:type="dxa"/>
          </w:tcPr>
          <w:p w:rsidR="00066A28" w:rsidRPr="00770701" w:rsidRDefault="00066A28" w:rsidP="00342A4F">
            <w:pPr>
              <w:jc w:val="both"/>
              <w:rPr>
                <w:rFonts w:ascii="Times New Roman" w:hAnsi="Times New Roman"/>
                <w:b/>
                <w:sz w:val="20"/>
                <w:szCs w:val="20"/>
              </w:rPr>
            </w:pPr>
          </w:p>
        </w:tc>
        <w:tc>
          <w:tcPr>
            <w:tcW w:w="2661" w:type="dxa"/>
          </w:tcPr>
          <w:p w:rsidR="00135518" w:rsidRDefault="00066A28" w:rsidP="00135518">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Prevenirea și controlul bolilor netransmisibile, în principal printr-un schimb de informații și de bune practici, prin promovarea unui stil de viață sănătos, prin abordarea principalilor factori care influențează starea de sănătate, cum ar fi alimentația și dependența de droguri, alcool şi tabac</w:t>
            </w: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066A28" w:rsidRPr="00EC08C0" w:rsidRDefault="00066A28" w:rsidP="00F96006">
            <w:pPr>
              <w:rPr>
                <w:rFonts w:ascii="Times New Roman" w:eastAsia="Times New Roman" w:hAnsi="Times New Roman" w:cs="Times New Roman"/>
                <w:sz w:val="20"/>
                <w:szCs w:val="20"/>
                <w:lang w:eastAsia="ru-RU"/>
              </w:rPr>
            </w:pPr>
            <w:r w:rsidRPr="00EC08C0">
              <w:rPr>
                <w:rFonts w:ascii="Times New Roman" w:hAnsi="Times New Roman" w:cs="Times New Roman"/>
                <w:sz w:val="20"/>
                <w:szCs w:val="20"/>
                <w:lang w:val="fr-FR"/>
              </w:rPr>
              <w:t xml:space="preserve">I 1. Implementarea </w:t>
            </w:r>
            <w:r w:rsidRPr="00EC08C0">
              <w:rPr>
                <w:rFonts w:ascii="Times New Roman" w:eastAsia="Times New Roman" w:hAnsi="Times New Roman" w:cs="Times New Roman"/>
                <w:sz w:val="20"/>
                <w:szCs w:val="20"/>
                <w:lang w:eastAsia="ru-RU"/>
              </w:rPr>
              <w:t xml:space="preserve">Planului naţional de acţiuni pentru anii 2016-2020 privind implementarea Strategiei naţionale de prevenire şi control al bolilor netransmisibile </w:t>
            </w:r>
          </w:p>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hAnsi="Times New Roman" w:cs="Times New Roman"/>
                <w:bCs/>
                <w:sz w:val="20"/>
                <w:szCs w:val="20"/>
                <w:lang w:val="ro-MO"/>
              </w:rPr>
              <w:t xml:space="preserve">Raport de monitorizare a </w:t>
            </w:r>
            <w:r w:rsidRPr="00EC08C0">
              <w:rPr>
                <w:rFonts w:ascii="Times New Roman" w:hAnsi="Times New Roman" w:cs="Times New Roman"/>
                <w:sz w:val="20"/>
                <w:szCs w:val="20"/>
                <w:lang w:val="ro-MO"/>
              </w:rPr>
              <w:t>implement</w:t>
            </w:r>
            <w:r w:rsidRPr="00EC08C0">
              <w:rPr>
                <w:rFonts w:ascii="Times New Roman" w:hAnsi="Times New Roman" w:cs="Times New Roman"/>
                <w:color w:val="000000"/>
                <w:sz w:val="20"/>
                <w:szCs w:val="20"/>
                <w:lang w:val="ro-MO"/>
              </w:rPr>
              <w:t xml:space="preserve">ării </w:t>
            </w:r>
            <w:r w:rsidRPr="00EC08C0">
              <w:rPr>
                <w:rFonts w:ascii="Times New Roman" w:hAnsi="Times New Roman" w:cs="Times New Roman"/>
                <w:sz w:val="20"/>
                <w:szCs w:val="20"/>
                <w:lang w:val="ro-MO"/>
              </w:rPr>
              <w:t xml:space="preserve">Planului de acţiuni elaborat </w:t>
            </w:r>
          </w:p>
        </w:tc>
        <w:tc>
          <w:tcPr>
            <w:tcW w:w="1850"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Ministerul Sănătății</w:t>
            </w:r>
          </w:p>
        </w:tc>
        <w:tc>
          <w:tcPr>
            <w:tcW w:w="2575" w:type="dxa"/>
          </w:tcPr>
          <w:p w:rsidR="00135518" w:rsidRDefault="00066A28" w:rsidP="00135518">
            <w:pPr>
              <w:jc w:val="both"/>
              <w:rPr>
                <w:rFonts w:ascii="Times New Roman" w:eastAsiaTheme="majorEastAsia" w:hAnsi="Times New Roman" w:cs="Times New Roman"/>
                <w:b/>
                <w:bCs/>
                <w:color w:val="4F81BD" w:themeColor="accent1"/>
                <w:sz w:val="20"/>
                <w:szCs w:val="20"/>
              </w:rPr>
            </w:pPr>
            <w:r w:rsidRPr="00EC08C0">
              <w:rPr>
                <w:rFonts w:ascii="Times New Roman" w:eastAsia="Calibri" w:hAnsi="Times New Roman" w:cs="Times New Roman"/>
                <w:sz w:val="20"/>
                <w:szCs w:val="20"/>
              </w:rPr>
              <w:t>Trimestrul IV 2019</w:t>
            </w:r>
          </w:p>
        </w:tc>
        <w:tc>
          <w:tcPr>
            <w:tcW w:w="1844" w:type="dxa"/>
          </w:tcPr>
          <w:p w:rsidR="00066A28" w:rsidRPr="00EC08C0" w:rsidRDefault="00066A28" w:rsidP="00F96006">
            <w:pPr>
              <w:jc w:val="center"/>
              <w:rPr>
                <w:rFonts w:ascii="Times New Roman" w:eastAsia="Calibri" w:hAnsi="Times New Roman" w:cs="Times New Roman"/>
                <w:sz w:val="20"/>
                <w:szCs w:val="20"/>
              </w:rPr>
            </w:pPr>
            <w:r w:rsidRPr="00EC08C0">
              <w:rPr>
                <w:rFonts w:ascii="Times New Roman" w:eastAsia="Calibri" w:hAnsi="Times New Roman" w:cs="Times New Roman"/>
                <w:sz w:val="20"/>
                <w:szCs w:val="20"/>
              </w:rPr>
              <w:t>Aproximativ suma</w:t>
            </w:r>
          </w:p>
          <w:p w:rsidR="00135518" w:rsidRPr="00135518" w:rsidRDefault="00066A28" w:rsidP="00135518">
            <w:pPr>
              <w:jc w:val="both"/>
              <w:rPr>
                <w:rFonts w:ascii="Times New Roman" w:eastAsia="Calibri" w:hAnsi="Times New Roman" w:cs="Times New Roman"/>
                <w:b/>
                <w:sz w:val="20"/>
                <w:szCs w:val="20"/>
              </w:rPr>
            </w:pPr>
            <w:r w:rsidRPr="00EC08C0">
              <w:rPr>
                <w:rFonts w:ascii="Times New Roman" w:eastAsia="Calibri" w:hAnsi="Times New Roman" w:cs="Times New Roman"/>
                <w:sz w:val="20"/>
                <w:szCs w:val="20"/>
              </w:rPr>
              <w:t>0,0</w:t>
            </w:r>
          </w:p>
        </w:tc>
      </w:tr>
      <w:tr w:rsidR="00066A28" w:rsidRPr="008C1179" w:rsidTr="00EC08C0">
        <w:tc>
          <w:tcPr>
            <w:tcW w:w="646" w:type="dxa"/>
          </w:tcPr>
          <w:p w:rsidR="00066A28" w:rsidRPr="00770701" w:rsidRDefault="00066A28" w:rsidP="00342A4F">
            <w:pPr>
              <w:jc w:val="both"/>
              <w:rPr>
                <w:rFonts w:ascii="Times New Roman" w:hAnsi="Times New Roman"/>
                <w:b/>
                <w:sz w:val="20"/>
                <w:szCs w:val="20"/>
              </w:rPr>
            </w:pPr>
          </w:p>
        </w:tc>
        <w:tc>
          <w:tcPr>
            <w:tcW w:w="2661" w:type="dxa"/>
          </w:tcPr>
          <w:p w:rsidR="00135518" w:rsidRDefault="00066A28" w:rsidP="00135518">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 (d)</w:t>
            </w:r>
            <w:r w:rsidRPr="003A0C18">
              <w:rPr>
                <w:rFonts w:ascii="Times New Roman" w:eastAsia="SimSun" w:hAnsi="Times New Roman" w:cs="Times New Roman"/>
                <w:sz w:val="20"/>
                <w:szCs w:val="20"/>
              </w:rPr>
              <w:t xml:space="preserve"> Calitatea și siguranța substanțelor de origine umană</w:t>
            </w: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066A28" w:rsidRPr="00EC08C0" w:rsidRDefault="00066A28" w:rsidP="00F96006">
            <w:pPr>
              <w:rPr>
                <w:rFonts w:ascii="Times New Roman" w:eastAsia="Times New Roman" w:hAnsi="Times New Roman" w:cs="Times New Roman"/>
                <w:sz w:val="20"/>
                <w:szCs w:val="20"/>
              </w:rPr>
            </w:pPr>
            <w:r w:rsidRPr="00EC08C0">
              <w:rPr>
                <w:rFonts w:ascii="Times New Roman" w:eastAsia="Times New Roman" w:hAnsi="Times New Roman" w:cs="Times New Roman"/>
                <w:sz w:val="20"/>
                <w:szCs w:val="20"/>
              </w:rPr>
              <w:t>I 1.Sporirea calităţii şi siguranţei substanţelor de origine umană (ţesuturi, organe) prin ajustarea standardelor şi protocoalelor naţionale la cele europene.</w:t>
            </w:r>
          </w:p>
          <w:p w:rsidR="00135518" w:rsidRDefault="00135518" w:rsidP="00135518">
            <w:pPr>
              <w:jc w:val="both"/>
              <w:rPr>
                <w:rFonts w:ascii="Times New Roman" w:eastAsia="Calibri" w:hAnsi="Times New Roman" w:cs="Times New Roman"/>
                <w:b/>
                <w:bCs/>
                <w:color w:val="4F81BD" w:themeColor="accent1"/>
                <w:sz w:val="20"/>
                <w:szCs w:val="20"/>
              </w:rPr>
            </w:pPr>
          </w:p>
        </w:tc>
        <w:tc>
          <w:tcPr>
            <w:tcW w:w="1663"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Numărul de standarde și protocoale ajustate</w:t>
            </w:r>
          </w:p>
        </w:tc>
        <w:tc>
          <w:tcPr>
            <w:tcW w:w="1850"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Ministerul Sănătății</w:t>
            </w:r>
          </w:p>
        </w:tc>
        <w:tc>
          <w:tcPr>
            <w:tcW w:w="2575" w:type="dxa"/>
          </w:tcPr>
          <w:p w:rsidR="00135518" w:rsidRDefault="00066A28" w:rsidP="00135518">
            <w:pPr>
              <w:jc w:val="both"/>
              <w:rPr>
                <w:rFonts w:ascii="Times New Roman" w:eastAsiaTheme="majorEastAsia" w:hAnsi="Times New Roman" w:cs="Times New Roman"/>
                <w:b/>
                <w:bCs/>
                <w:color w:val="4F81BD" w:themeColor="accent1"/>
                <w:sz w:val="20"/>
                <w:szCs w:val="20"/>
              </w:rPr>
            </w:pPr>
            <w:r w:rsidRPr="00EC08C0">
              <w:rPr>
                <w:rFonts w:ascii="Times New Roman" w:eastAsia="Calibri" w:hAnsi="Times New Roman" w:cs="Times New Roman"/>
                <w:sz w:val="20"/>
                <w:szCs w:val="20"/>
              </w:rPr>
              <w:t>Trimestrul IV 2019</w:t>
            </w:r>
          </w:p>
        </w:tc>
        <w:tc>
          <w:tcPr>
            <w:tcW w:w="1844" w:type="dxa"/>
          </w:tcPr>
          <w:p w:rsidR="00066A28" w:rsidRPr="00EC08C0" w:rsidRDefault="00066A28" w:rsidP="00F96006">
            <w:pPr>
              <w:jc w:val="center"/>
              <w:rPr>
                <w:rFonts w:ascii="Times New Roman" w:eastAsia="Calibri" w:hAnsi="Times New Roman" w:cs="Times New Roman"/>
                <w:sz w:val="20"/>
                <w:szCs w:val="20"/>
              </w:rPr>
            </w:pPr>
            <w:r w:rsidRPr="00EC08C0">
              <w:rPr>
                <w:rFonts w:ascii="Times New Roman" w:eastAsia="Calibri" w:hAnsi="Times New Roman" w:cs="Times New Roman"/>
                <w:sz w:val="20"/>
                <w:szCs w:val="20"/>
              </w:rPr>
              <w:t>Aproximativ suma</w:t>
            </w:r>
          </w:p>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0,0</w:t>
            </w:r>
          </w:p>
        </w:tc>
      </w:tr>
      <w:tr w:rsidR="00066A28" w:rsidRPr="008C1179" w:rsidTr="00EC08C0">
        <w:tc>
          <w:tcPr>
            <w:tcW w:w="646" w:type="dxa"/>
          </w:tcPr>
          <w:p w:rsidR="00066A28" w:rsidRPr="00770701" w:rsidRDefault="00066A28" w:rsidP="00342A4F">
            <w:pPr>
              <w:jc w:val="both"/>
              <w:rPr>
                <w:rFonts w:ascii="Times New Roman" w:hAnsi="Times New Roman"/>
                <w:b/>
                <w:sz w:val="20"/>
                <w:szCs w:val="20"/>
              </w:rPr>
            </w:pPr>
          </w:p>
        </w:tc>
        <w:tc>
          <w:tcPr>
            <w:tcW w:w="2661" w:type="dxa"/>
          </w:tcPr>
          <w:p w:rsidR="00135518" w:rsidRDefault="00066A28" w:rsidP="00135518">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 (f)</w:t>
            </w:r>
            <w:r w:rsidRPr="003A0C18">
              <w:rPr>
                <w:rFonts w:ascii="Times New Roman" w:eastAsia="SimSun" w:hAnsi="Times New Roman" w:cs="Times New Roman"/>
                <w:sz w:val="20"/>
                <w:szCs w:val="20"/>
              </w:rPr>
              <w:t xml:space="preserve"> Punerea în aplicare deplină și promptă a acordurilor internaționale în materie de sănătate, în special a Regulamentelor sanitare internaționale și a Convenției-cadru a Organizației Mondiale a Sănătății privind controlul tutunului din 2003</w:t>
            </w: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 xml:space="preserve">I.1 Implementarea </w:t>
            </w:r>
            <w:r w:rsidRPr="00EC08C0">
              <w:rPr>
                <w:rFonts w:ascii="Times New Roman" w:hAnsi="Times New Roman" w:cs="Times New Roman"/>
                <w:sz w:val="20"/>
                <w:szCs w:val="20"/>
              </w:rPr>
              <w:t>Regulamentului sanitar privind ingredientele din produsele din tutun</w:t>
            </w:r>
          </w:p>
        </w:tc>
        <w:tc>
          <w:tcPr>
            <w:tcW w:w="1663"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hAnsi="Times New Roman" w:cs="Times New Roman"/>
                <w:bCs/>
                <w:sz w:val="20"/>
                <w:szCs w:val="20"/>
                <w:lang w:val="ro-MO"/>
              </w:rPr>
              <w:t>Raport de monitorizare elaborat</w:t>
            </w:r>
          </w:p>
        </w:tc>
        <w:tc>
          <w:tcPr>
            <w:tcW w:w="1850"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Ministerul Sănătății</w:t>
            </w:r>
          </w:p>
        </w:tc>
        <w:tc>
          <w:tcPr>
            <w:tcW w:w="2575" w:type="dxa"/>
          </w:tcPr>
          <w:p w:rsidR="00135518" w:rsidRDefault="00066A28" w:rsidP="00135518">
            <w:pPr>
              <w:jc w:val="both"/>
              <w:rPr>
                <w:rFonts w:ascii="Times New Roman" w:eastAsiaTheme="majorEastAsia" w:hAnsi="Times New Roman" w:cs="Times New Roman"/>
                <w:b/>
                <w:bCs/>
                <w:color w:val="4F81BD" w:themeColor="accent1"/>
                <w:sz w:val="20"/>
                <w:szCs w:val="20"/>
              </w:rPr>
            </w:pPr>
            <w:r w:rsidRPr="00EC08C0">
              <w:rPr>
                <w:rFonts w:ascii="Times New Roman" w:eastAsia="Calibri" w:hAnsi="Times New Roman" w:cs="Times New Roman"/>
                <w:sz w:val="20"/>
                <w:szCs w:val="20"/>
              </w:rPr>
              <w:t>Trimestrul IV 2019</w:t>
            </w:r>
          </w:p>
        </w:tc>
        <w:tc>
          <w:tcPr>
            <w:tcW w:w="1844" w:type="dxa"/>
          </w:tcPr>
          <w:p w:rsidR="00066A28" w:rsidRPr="00EC08C0" w:rsidRDefault="00066A28" w:rsidP="00F96006">
            <w:pPr>
              <w:jc w:val="center"/>
              <w:rPr>
                <w:rFonts w:ascii="Times New Roman" w:eastAsia="Calibri" w:hAnsi="Times New Roman" w:cs="Times New Roman"/>
                <w:sz w:val="20"/>
                <w:szCs w:val="20"/>
              </w:rPr>
            </w:pPr>
            <w:r w:rsidRPr="00EC08C0">
              <w:rPr>
                <w:rFonts w:ascii="Times New Roman" w:eastAsia="Calibri" w:hAnsi="Times New Roman" w:cs="Times New Roman"/>
                <w:sz w:val="20"/>
                <w:szCs w:val="20"/>
              </w:rPr>
              <w:t>Aproximativ suma</w:t>
            </w:r>
          </w:p>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0,0</w:t>
            </w:r>
          </w:p>
        </w:tc>
      </w:tr>
      <w:tr w:rsidR="00066A28" w:rsidRPr="008C1179" w:rsidTr="00EC08C0">
        <w:trPr>
          <w:trHeight w:val="561"/>
        </w:trPr>
        <w:tc>
          <w:tcPr>
            <w:tcW w:w="646" w:type="dxa"/>
            <w:vMerge w:val="restart"/>
          </w:tcPr>
          <w:p w:rsidR="00066A28" w:rsidRPr="00770701" w:rsidRDefault="00066A28" w:rsidP="00342A4F">
            <w:pPr>
              <w:jc w:val="both"/>
              <w:rPr>
                <w:rFonts w:ascii="Times New Roman" w:eastAsia="SimSun" w:hAnsi="Times New Roman"/>
                <w:sz w:val="20"/>
                <w:szCs w:val="20"/>
              </w:rPr>
            </w:pPr>
            <w:r w:rsidRPr="00770701">
              <w:rPr>
                <w:rFonts w:ascii="Times New Roman" w:eastAsia="SimSun" w:hAnsi="Times New Roman"/>
                <w:b/>
                <w:sz w:val="20"/>
                <w:szCs w:val="20"/>
              </w:rPr>
              <w:t>115</w:t>
            </w:r>
          </w:p>
        </w:tc>
        <w:tc>
          <w:tcPr>
            <w:tcW w:w="2661" w:type="dxa"/>
            <w:vMerge w:val="restart"/>
          </w:tcPr>
          <w:p w:rsidR="00135518" w:rsidRDefault="00066A28" w:rsidP="00135518">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permite: </w:t>
            </w:r>
          </w:p>
          <w:p w:rsidR="00135518" w:rsidRDefault="00066A28" w:rsidP="00135518">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Integrarea progresivă a Republicii Moldova în rețelele UE din domeniul sănătății</w:t>
            </w:r>
          </w:p>
        </w:tc>
        <w:tc>
          <w:tcPr>
            <w:tcW w:w="1323" w:type="dxa"/>
            <w:vMerge w:val="restart"/>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I 1. Participarea la Reuniunea „Meeting of the HIV/AIDS Think Tank”</w:t>
            </w:r>
          </w:p>
        </w:tc>
        <w:tc>
          <w:tcPr>
            <w:tcW w:w="1663" w:type="dxa"/>
            <w:tcBorders>
              <w:bottom w:val="single" w:sz="4" w:space="0" w:color="auto"/>
            </w:tcBorders>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Nr. de evenimente la care Republica Moldova a luat parte</w:t>
            </w:r>
          </w:p>
        </w:tc>
        <w:tc>
          <w:tcPr>
            <w:tcW w:w="1850" w:type="dxa"/>
            <w:tcBorders>
              <w:bottom w:val="single" w:sz="4" w:space="0" w:color="auto"/>
            </w:tcBorders>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Ministerul Sănătății</w:t>
            </w:r>
          </w:p>
        </w:tc>
        <w:tc>
          <w:tcPr>
            <w:tcW w:w="2575" w:type="dxa"/>
            <w:tcBorders>
              <w:bottom w:val="single" w:sz="4" w:space="0" w:color="auto"/>
            </w:tcBorders>
          </w:tcPr>
          <w:p w:rsidR="00135518" w:rsidRDefault="00066A28" w:rsidP="00135518">
            <w:pPr>
              <w:jc w:val="both"/>
              <w:rPr>
                <w:rFonts w:ascii="Times New Roman" w:eastAsiaTheme="majorEastAsia" w:hAnsi="Times New Roman" w:cs="Times New Roman"/>
                <w:b/>
                <w:bCs/>
                <w:color w:val="4F81BD" w:themeColor="accent1"/>
                <w:sz w:val="20"/>
                <w:szCs w:val="20"/>
              </w:rPr>
            </w:pPr>
            <w:r w:rsidRPr="00EC08C0">
              <w:rPr>
                <w:rFonts w:ascii="Times New Roman" w:eastAsia="Calibri" w:hAnsi="Times New Roman" w:cs="Times New Roman"/>
                <w:sz w:val="20"/>
                <w:szCs w:val="20"/>
              </w:rPr>
              <w:t>Trimestrul IV 2018</w:t>
            </w:r>
          </w:p>
        </w:tc>
        <w:tc>
          <w:tcPr>
            <w:tcW w:w="1844" w:type="dxa"/>
            <w:tcBorders>
              <w:bottom w:val="single" w:sz="4" w:space="0" w:color="auto"/>
            </w:tcBorders>
          </w:tcPr>
          <w:p w:rsidR="00066A28" w:rsidRPr="00EC08C0" w:rsidRDefault="00066A28" w:rsidP="00F96006">
            <w:pPr>
              <w:jc w:val="center"/>
              <w:rPr>
                <w:rFonts w:ascii="Times New Roman" w:eastAsia="Calibri" w:hAnsi="Times New Roman" w:cs="Times New Roman"/>
                <w:sz w:val="20"/>
                <w:szCs w:val="20"/>
              </w:rPr>
            </w:pPr>
            <w:r w:rsidRPr="00EC08C0">
              <w:rPr>
                <w:rFonts w:ascii="Times New Roman" w:eastAsia="Calibri" w:hAnsi="Times New Roman" w:cs="Times New Roman"/>
                <w:sz w:val="20"/>
                <w:szCs w:val="20"/>
              </w:rPr>
              <w:t>Aproximativ suma</w:t>
            </w:r>
          </w:p>
          <w:p w:rsidR="00135518" w:rsidRPr="00135518" w:rsidRDefault="00066A28" w:rsidP="00135518">
            <w:pPr>
              <w:jc w:val="both"/>
              <w:rPr>
                <w:rFonts w:ascii="Times New Roman" w:eastAsia="Calibri" w:hAnsi="Times New Roman" w:cs="Times New Roman"/>
                <w:b/>
                <w:sz w:val="20"/>
                <w:szCs w:val="20"/>
              </w:rPr>
            </w:pPr>
            <w:r w:rsidRPr="00EC08C0">
              <w:rPr>
                <w:rFonts w:ascii="Times New Roman" w:eastAsia="Calibri" w:hAnsi="Times New Roman" w:cs="Times New Roman"/>
                <w:sz w:val="20"/>
                <w:szCs w:val="20"/>
              </w:rPr>
              <w:t>0,0</w:t>
            </w:r>
          </w:p>
        </w:tc>
      </w:tr>
      <w:tr w:rsidR="00066A28" w:rsidRPr="008C1179" w:rsidTr="00EC08C0">
        <w:trPr>
          <w:trHeight w:val="580"/>
        </w:trPr>
        <w:tc>
          <w:tcPr>
            <w:tcW w:w="646" w:type="dxa"/>
            <w:vMerge/>
          </w:tcPr>
          <w:p w:rsidR="00066A28" w:rsidRPr="00770701" w:rsidRDefault="00066A28" w:rsidP="00342A4F">
            <w:pPr>
              <w:jc w:val="both"/>
              <w:rPr>
                <w:rFonts w:ascii="Times New Roman" w:eastAsia="SimSun" w:hAnsi="Times New Roman"/>
                <w:b/>
                <w:sz w:val="20"/>
                <w:szCs w:val="20"/>
              </w:rPr>
            </w:pPr>
          </w:p>
        </w:tc>
        <w:tc>
          <w:tcPr>
            <w:tcW w:w="2661" w:type="dxa"/>
            <w:vMerge/>
          </w:tcPr>
          <w:p w:rsidR="00066A28" w:rsidRPr="003A0C18" w:rsidRDefault="00066A28">
            <w:pPr>
              <w:contextualSpacing/>
              <w:jc w:val="both"/>
              <w:rPr>
                <w:rFonts w:ascii="Times New Roman" w:eastAsia="SimSun" w:hAnsi="Times New Roman" w:cs="Times New Roman"/>
                <w:sz w:val="20"/>
                <w:szCs w:val="20"/>
              </w:rPr>
            </w:pPr>
          </w:p>
        </w:tc>
        <w:tc>
          <w:tcPr>
            <w:tcW w:w="1323" w:type="dxa"/>
            <w:vMerge/>
          </w:tcPr>
          <w:p w:rsidR="00066A28" w:rsidRDefault="00066A28">
            <w:pPr>
              <w:jc w:val="both"/>
              <w:rPr>
                <w:rFonts w:ascii="Times New Roman" w:eastAsia="Calibri" w:hAnsi="Times New Roman" w:cs="Times New Roman"/>
                <w:b/>
                <w:bCs/>
                <w:color w:val="4F81BD" w:themeColor="accent1"/>
                <w:sz w:val="20"/>
                <w:szCs w:val="20"/>
              </w:rPr>
            </w:pPr>
          </w:p>
        </w:tc>
        <w:tc>
          <w:tcPr>
            <w:tcW w:w="2857" w:type="dxa"/>
            <w:tcBorders>
              <w:top w:val="single" w:sz="4" w:space="0" w:color="auto"/>
            </w:tcBorders>
          </w:tcPr>
          <w:p w:rsidR="00066A28" w:rsidRPr="00EC08C0" w:rsidRDefault="00066A28">
            <w:pPr>
              <w:jc w:val="both"/>
              <w:rPr>
                <w:rFonts w:ascii="Times New Roman" w:eastAsia="Calibri" w:hAnsi="Times New Roman" w:cs="Times New Roman"/>
                <w:b/>
                <w:bCs/>
                <w:color w:val="4F81BD" w:themeColor="accent1"/>
                <w:sz w:val="20"/>
                <w:szCs w:val="20"/>
              </w:rPr>
            </w:pPr>
            <w:r w:rsidRPr="00EC08C0">
              <w:rPr>
                <w:rFonts w:ascii="Times New Roman" w:hAnsi="Times New Roman" w:cs="Times New Roman"/>
                <w:sz w:val="20"/>
                <w:szCs w:val="20"/>
              </w:rPr>
              <w:t>I 2. Participarea în organele de lucru şi structurile de monitorizare ale Consiliului Europei, precum şi în structurile subordonate, instituite în baza Rezoluţiei CM(2011)131</w:t>
            </w:r>
          </w:p>
        </w:tc>
        <w:tc>
          <w:tcPr>
            <w:tcW w:w="1663" w:type="dxa"/>
            <w:tcBorders>
              <w:top w:val="single" w:sz="4" w:space="0" w:color="auto"/>
            </w:tcBorders>
          </w:tcPr>
          <w:p w:rsidR="00066A28" w:rsidRPr="00EC08C0" w:rsidRDefault="00066A2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Nr. de evenimente la care Republica Moldova a luat parte</w:t>
            </w:r>
          </w:p>
        </w:tc>
        <w:tc>
          <w:tcPr>
            <w:tcW w:w="1850" w:type="dxa"/>
            <w:tcBorders>
              <w:top w:val="single" w:sz="4" w:space="0" w:color="auto"/>
            </w:tcBorders>
          </w:tcPr>
          <w:p w:rsidR="00066A28" w:rsidRPr="00EC08C0" w:rsidRDefault="00066A2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Ministerul Sănătății</w:t>
            </w:r>
          </w:p>
        </w:tc>
        <w:tc>
          <w:tcPr>
            <w:tcW w:w="2575" w:type="dxa"/>
            <w:tcBorders>
              <w:top w:val="single" w:sz="4" w:space="0" w:color="auto"/>
            </w:tcBorders>
          </w:tcPr>
          <w:p w:rsidR="00066A28" w:rsidRPr="00EC08C0" w:rsidRDefault="00066A28">
            <w:pPr>
              <w:jc w:val="both"/>
              <w:rPr>
                <w:rFonts w:ascii="Times New Roman" w:eastAsiaTheme="majorEastAsia" w:hAnsi="Times New Roman" w:cs="Times New Roman"/>
                <w:b/>
                <w:bCs/>
                <w:color w:val="4F81BD" w:themeColor="accent1"/>
                <w:sz w:val="20"/>
                <w:szCs w:val="20"/>
              </w:rPr>
            </w:pPr>
            <w:r w:rsidRPr="00EC08C0">
              <w:rPr>
                <w:rFonts w:ascii="Times New Roman" w:eastAsia="Calibri" w:hAnsi="Times New Roman" w:cs="Times New Roman"/>
                <w:sz w:val="20"/>
                <w:szCs w:val="20"/>
              </w:rPr>
              <w:t>Trimestrul IV 2017</w:t>
            </w:r>
          </w:p>
        </w:tc>
        <w:tc>
          <w:tcPr>
            <w:tcW w:w="1844" w:type="dxa"/>
            <w:tcBorders>
              <w:top w:val="single" w:sz="4" w:space="0" w:color="auto"/>
            </w:tcBorders>
          </w:tcPr>
          <w:p w:rsidR="00066A28" w:rsidRPr="00EC08C0" w:rsidRDefault="00066A28" w:rsidP="00F96006">
            <w:pPr>
              <w:jc w:val="center"/>
              <w:rPr>
                <w:rFonts w:ascii="Times New Roman" w:eastAsia="Calibri" w:hAnsi="Times New Roman" w:cs="Times New Roman"/>
                <w:sz w:val="20"/>
                <w:szCs w:val="20"/>
              </w:rPr>
            </w:pPr>
            <w:r w:rsidRPr="00EC08C0">
              <w:rPr>
                <w:rFonts w:ascii="Times New Roman" w:eastAsia="Calibri" w:hAnsi="Times New Roman" w:cs="Times New Roman"/>
                <w:sz w:val="20"/>
                <w:szCs w:val="20"/>
              </w:rPr>
              <w:t>Aproximativ suma</w:t>
            </w:r>
          </w:p>
          <w:p w:rsidR="00066A28" w:rsidRPr="00EC08C0" w:rsidRDefault="00066A28">
            <w:pPr>
              <w:jc w:val="both"/>
              <w:rPr>
                <w:rFonts w:ascii="Times New Roman" w:eastAsia="Calibri" w:hAnsi="Times New Roman" w:cs="Times New Roman"/>
                <w:b/>
                <w:sz w:val="20"/>
                <w:szCs w:val="20"/>
              </w:rPr>
            </w:pPr>
            <w:r w:rsidRPr="00EC08C0">
              <w:rPr>
                <w:rFonts w:ascii="Times New Roman" w:eastAsia="Calibri" w:hAnsi="Times New Roman" w:cs="Times New Roman"/>
                <w:sz w:val="20"/>
                <w:szCs w:val="20"/>
              </w:rPr>
              <w:t>0,0</w:t>
            </w:r>
          </w:p>
        </w:tc>
      </w:tr>
      <w:tr w:rsidR="00066A28" w:rsidRPr="008C1179" w:rsidTr="00EC08C0">
        <w:tc>
          <w:tcPr>
            <w:tcW w:w="646" w:type="dxa"/>
          </w:tcPr>
          <w:p w:rsidR="00066A28" w:rsidRPr="00770701" w:rsidRDefault="00066A28" w:rsidP="00342A4F">
            <w:pPr>
              <w:jc w:val="both"/>
              <w:rPr>
                <w:rFonts w:ascii="Times New Roman" w:hAnsi="Times New Roman"/>
                <w:b/>
                <w:sz w:val="20"/>
                <w:szCs w:val="20"/>
              </w:rPr>
            </w:pPr>
          </w:p>
        </w:tc>
        <w:tc>
          <w:tcPr>
            <w:tcW w:w="2661" w:type="dxa"/>
          </w:tcPr>
          <w:p w:rsidR="00135518" w:rsidRDefault="00066A28" w:rsidP="00135518">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Îmbunătățirea progresivă a interacțiunii dintre Republica </w:t>
            </w:r>
            <w:r w:rsidRPr="003A0C18">
              <w:rPr>
                <w:rFonts w:ascii="Times New Roman" w:eastAsia="SimSun" w:hAnsi="Times New Roman" w:cs="Times New Roman"/>
                <w:sz w:val="20"/>
                <w:szCs w:val="20"/>
              </w:rPr>
              <w:lastRenderedPageBreak/>
              <w:t>Moldova și Centrul European de Prevenire și Control al Bolilor</w:t>
            </w: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Pr="00135518" w:rsidRDefault="00066A28" w:rsidP="00135518">
            <w:pPr>
              <w:jc w:val="center"/>
              <w:rPr>
                <w:rFonts w:ascii="Times New Roman" w:eastAsia="Calibri" w:hAnsi="Times New Roman" w:cs="Times New Roman"/>
                <w:sz w:val="20"/>
                <w:szCs w:val="20"/>
              </w:rPr>
            </w:pPr>
            <w:r w:rsidRPr="00EC08C0">
              <w:rPr>
                <w:rFonts w:ascii="Times New Roman" w:hAnsi="Times New Roman" w:cs="Times New Roman"/>
                <w:sz w:val="20"/>
                <w:szCs w:val="20"/>
              </w:rPr>
              <w:t>I 1. Col</w:t>
            </w:r>
            <w:r w:rsidR="00A16405">
              <w:rPr>
                <w:rFonts w:ascii="Times New Roman" w:hAnsi="Times New Roman" w:cs="Times New Roman"/>
                <w:sz w:val="20"/>
                <w:szCs w:val="20"/>
              </w:rPr>
              <w:t>a</w:t>
            </w:r>
            <w:r w:rsidRPr="00EC08C0">
              <w:rPr>
                <w:rFonts w:ascii="Times New Roman" w:hAnsi="Times New Roman" w:cs="Times New Roman"/>
                <w:sz w:val="20"/>
                <w:szCs w:val="20"/>
              </w:rPr>
              <w:t xml:space="preserve">bararea la nivel  tehnic cu monitorizarea ulterioară a </w:t>
            </w:r>
            <w:r w:rsidRPr="00EC08C0">
              <w:rPr>
                <w:rFonts w:ascii="Times New Roman" w:hAnsi="Times New Roman" w:cs="Times New Roman"/>
                <w:sz w:val="20"/>
                <w:szCs w:val="20"/>
              </w:rPr>
              <w:lastRenderedPageBreak/>
              <w:t>serviciului de supraveghere de stat a sănătății publice</w:t>
            </w:r>
          </w:p>
        </w:tc>
        <w:tc>
          <w:tcPr>
            <w:tcW w:w="1663"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lastRenderedPageBreak/>
              <w:t xml:space="preserve">Nr. de evenimente la </w:t>
            </w:r>
            <w:r w:rsidRPr="00EC08C0">
              <w:rPr>
                <w:rFonts w:ascii="Times New Roman" w:eastAsia="Calibri" w:hAnsi="Times New Roman" w:cs="Times New Roman"/>
                <w:sz w:val="20"/>
                <w:szCs w:val="20"/>
              </w:rPr>
              <w:lastRenderedPageBreak/>
              <w:t>care Republica Moldova a luat parte</w:t>
            </w:r>
          </w:p>
        </w:tc>
        <w:tc>
          <w:tcPr>
            <w:tcW w:w="1850" w:type="dxa"/>
          </w:tcPr>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lastRenderedPageBreak/>
              <w:t>Ministerul Sănătății</w:t>
            </w:r>
          </w:p>
        </w:tc>
        <w:tc>
          <w:tcPr>
            <w:tcW w:w="2575" w:type="dxa"/>
          </w:tcPr>
          <w:p w:rsidR="00135518" w:rsidRDefault="00066A28" w:rsidP="00135518">
            <w:pPr>
              <w:jc w:val="both"/>
              <w:rPr>
                <w:rFonts w:ascii="Times New Roman" w:eastAsiaTheme="majorEastAsia" w:hAnsi="Times New Roman" w:cs="Times New Roman"/>
                <w:b/>
                <w:bCs/>
                <w:color w:val="4F81BD" w:themeColor="accent1"/>
                <w:sz w:val="20"/>
                <w:szCs w:val="20"/>
              </w:rPr>
            </w:pPr>
            <w:r w:rsidRPr="00EC08C0">
              <w:rPr>
                <w:rFonts w:ascii="Times New Roman" w:eastAsia="Calibri" w:hAnsi="Times New Roman" w:cs="Times New Roman"/>
                <w:sz w:val="20"/>
                <w:szCs w:val="20"/>
              </w:rPr>
              <w:t>Trimestrul IV 2018</w:t>
            </w:r>
          </w:p>
        </w:tc>
        <w:tc>
          <w:tcPr>
            <w:tcW w:w="1844" w:type="dxa"/>
          </w:tcPr>
          <w:p w:rsidR="00066A28" w:rsidRPr="00EC08C0" w:rsidRDefault="00066A28" w:rsidP="00F96006">
            <w:pPr>
              <w:jc w:val="center"/>
              <w:rPr>
                <w:rFonts w:ascii="Times New Roman" w:eastAsia="Calibri" w:hAnsi="Times New Roman" w:cs="Times New Roman"/>
                <w:sz w:val="20"/>
                <w:szCs w:val="20"/>
              </w:rPr>
            </w:pPr>
            <w:r w:rsidRPr="00EC08C0">
              <w:rPr>
                <w:rFonts w:ascii="Times New Roman" w:eastAsia="Calibri" w:hAnsi="Times New Roman" w:cs="Times New Roman"/>
                <w:sz w:val="20"/>
                <w:szCs w:val="20"/>
              </w:rPr>
              <w:t>Aproximativ suma</w:t>
            </w:r>
          </w:p>
          <w:p w:rsidR="00135518" w:rsidRDefault="00066A28" w:rsidP="00135518">
            <w:pPr>
              <w:jc w:val="both"/>
              <w:rPr>
                <w:rFonts w:ascii="Times New Roman" w:eastAsia="Calibri" w:hAnsi="Times New Roman" w:cs="Times New Roman"/>
                <w:b/>
                <w:bCs/>
                <w:color w:val="4F81BD" w:themeColor="accent1"/>
                <w:sz w:val="20"/>
                <w:szCs w:val="20"/>
              </w:rPr>
            </w:pPr>
            <w:r w:rsidRPr="00EC08C0">
              <w:rPr>
                <w:rFonts w:ascii="Times New Roman" w:eastAsia="Calibri" w:hAnsi="Times New Roman" w:cs="Times New Roman"/>
                <w:sz w:val="20"/>
                <w:szCs w:val="20"/>
              </w:rPr>
              <w:t>0,0</w:t>
            </w:r>
          </w:p>
        </w:tc>
      </w:tr>
      <w:tr w:rsidR="00066A28" w:rsidRPr="008C1179" w:rsidTr="00EC08C0">
        <w:tc>
          <w:tcPr>
            <w:tcW w:w="646" w:type="dxa"/>
          </w:tcPr>
          <w:p w:rsidR="00066A28" w:rsidRPr="00770701" w:rsidRDefault="00066A28" w:rsidP="00342A4F">
            <w:pPr>
              <w:jc w:val="center"/>
              <w:rPr>
                <w:rFonts w:ascii="Times New Roman" w:eastAsia="SimSun" w:hAnsi="Times New Roman"/>
                <w:sz w:val="20"/>
                <w:szCs w:val="20"/>
              </w:rPr>
            </w:pPr>
            <w:r w:rsidRPr="00770701">
              <w:rPr>
                <w:rFonts w:ascii="Times New Roman" w:eastAsia="SimSun" w:hAnsi="Times New Roman"/>
                <w:b/>
                <w:sz w:val="20"/>
                <w:szCs w:val="20"/>
              </w:rPr>
              <w:lastRenderedPageBreak/>
              <w:t>116</w:t>
            </w:r>
          </w:p>
        </w:tc>
        <w:tc>
          <w:tcPr>
            <w:tcW w:w="14773" w:type="dxa"/>
            <w:gridSpan w:val="7"/>
          </w:tcPr>
          <w:p w:rsidR="00135518" w:rsidRDefault="00066A28" w:rsidP="00135518">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Republica Moldova realizează apropierea legislației naționale de actele normative ale UE și de instrumentele internaționale menționate în anexa XIII la prezentul Acord, în conformitate cu dispozițiile din anexa respectivă</w:t>
            </w:r>
          </w:p>
          <w:p w:rsidR="00135518" w:rsidRDefault="00066A28" w:rsidP="00135518">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De completat</w:t>
            </w:r>
          </w:p>
        </w:tc>
      </w:tr>
      <w:tr w:rsidR="001E71FB" w:rsidRPr="008C1179" w:rsidTr="00EC08C0">
        <w:tc>
          <w:tcPr>
            <w:tcW w:w="15419" w:type="dxa"/>
            <w:gridSpan w:val="8"/>
          </w:tcPr>
          <w:p w:rsidR="00135518" w:rsidRDefault="001E71FB" w:rsidP="00135518">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28. PARTICIPAREA LA AGENȚIILE ȘI PROGRAMELE UNIUNII</w:t>
            </w:r>
          </w:p>
        </w:tc>
      </w:tr>
      <w:tr w:rsidR="001E71FB" w:rsidRPr="008C1179" w:rsidTr="00EC08C0">
        <w:tc>
          <w:tcPr>
            <w:tcW w:w="15419" w:type="dxa"/>
            <w:gridSpan w:val="8"/>
          </w:tcPr>
          <w:p w:rsidR="00135518" w:rsidRDefault="001E71FB" w:rsidP="00135518">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E71FB" w:rsidRPr="008C1179" w:rsidTr="00EC08C0">
        <w:tc>
          <w:tcPr>
            <w:tcW w:w="646" w:type="dxa"/>
          </w:tcPr>
          <w:p w:rsidR="001E71FB" w:rsidRPr="00770701" w:rsidRDefault="001E71FB" w:rsidP="00342A4F">
            <w:pPr>
              <w:jc w:val="center"/>
              <w:rPr>
                <w:rFonts w:ascii="Times New Roman" w:eastAsia="SimSun" w:hAnsi="Times New Roman"/>
                <w:b/>
                <w:sz w:val="20"/>
                <w:szCs w:val="20"/>
              </w:rPr>
            </w:pPr>
            <w:r w:rsidRPr="00770701">
              <w:rPr>
                <w:rFonts w:ascii="Times New Roman" w:eastAsia="SimSun" w:hAnsi="Times New Roman"/>
                <w:b/>
                <w:sz w:val="20"/>
                <w:szCs w:val="20"/>
              </w:rPr>
              <w:t>140</w:t>
            </w:r>
          </w:p>
        </w:tc>
        <w:tc>
          <w:tcPr>
            <w:tcW w:w="14773" w:type="dxa"/>
            <w:gridSpan w:val="7"/>
          </w:tcPr>
          <w:p w:rsidR="00135518" w:rsidRDefault="001E71FB" w:rsidP="00135518">
            <w:pPr>
              <w:tabs>
                <w:tab w:val="left" w:pos="73"/>
                <w:tab w:val="left" w:pos="11520"/>
              </w:tabs>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Se permite participarea Republicii Moldova la toate agențiile Uniunii deschise participării acestei țări în conformitate cu dispozițiile relevante de instituire a acestor agenții. Republica Moldova încheie acorduri separate cu UE care permit participarea sa la fiecare agenție, stabilind inclusiv suma contribuției financiare necesare</w:t>
            </w:r>
          </w:p>
        </w:tc>
      </w:tr>
      <w:tr w:rsidR="001E71FB" w:rsidRPr="008C1179" w:rsidTr="00EC08C0">
        <w:tc>
          <w:tcPr>
            <w:tcW w:w="646" w:type="dxa"/>
          </w:tcPr>
          <w:p w:rsidR="001E71FB" w:rsidRPr="00770701" w:rsidRDefault="001E71FB" w:rsidP="00342A4F">
            <w:pPr>
              <w:jc w:val="center"/>
              <w:rPr>
                <w:rFonts w:ascii="Times New Roman" w:eastAsia="SimSun" w:hAnsi="Times New Roman"/>
                <w:b/>
                <w:sz w:val="20"/>
                <w:szCs w:val="20"/>
              </w:rPr>
            </w:pPr>
            <w:r w:rsidRPr="00770701">
              <w:rPr>
                <w:rFonts w:ascii="Times New Roman" w:eastAsia="SimSun" w:hAnsi="Times New Roman"/>
                <w:b/>
                <w:sz w:val="20"/>
                <w:szCs w:val="20"/>
              </w:rPr>
              <w:t>141</w:t>
            </w:r>
          </w:p>
        </w:tc>
        <w:tc>
          <w:tcPr>
            <w:tcW w:w="2661" w:type="dxa"/>
          </w:tcPr>
          <w:p w:rsidR="00135518" w:rsidRDefault="001E71FB" w:rsidP="00135518">
            <w:pPr>
              <w:contextualSpacing/>
              <w:jc w:val="both"/>
              <w:rPr>
                <w:rFonts w:ascii="Times New Roman" w:hAnsi="Times New Roman" w:cs="Times New Roman"/>
                <w:sz w:val="20"/>
                <w:szCs w:val="20"/>
                <w:lang w:eastAsia="ro-RO"/>
              </w:rPr>
            </w:pPr>
            <w:r w:rsidRPr="003A0C18">
              <w:rPr>
                <w:rFonts w:ascii="Times New Roman" w:hAnsi="Times New Roman" w:cs="Times New Roman"/>
                <w:sz w:val="20"/>
                <w:szCs w:val="20"/>
                <w:lang w:eastAsia="ro-RO"/>
              </w:rPr>
              <w:t>Se permite participarea Republicii Moldova la toate programele actuale şi viitoare ale Uniunii deschise participării acestei ţări în conformitate cu dispoziţiile relevante de instituire a acestor programe. Participarea Republicii Moldova la programele Uniunii se efectuează în conformitate cu dispoziţiile prevăzute în Protocolul I la prezentul acord privind Acordul-cadru dintre Uniunea Europeană şi Republica Moldova cu privire la principiile generale de participare a Republicii Moldova la programele Uniunii</w:t>
            </w:r>
          </w:p>
          <w:p w:rsidR="00135518" w:rsidRDefault="00135518" w:rsidP="00135518">
            <w:pPr>
              <w:jc w:val="both"/>
              <w:rPr>
                <w:rFonts w:ascii="Times New Roman" w:eastAsiaTheme="majorEastAsia" w:hAnsi="Times New Roman" w:cs="Times New Roman"/>
                <w:b/>
                <w:bCs/>
                <w:color w:val="4F81BD" w:themeColor="accent1"/>
                <w:sz w:val="20"/>
                <w:szCs w:val="20"/>
              </w:rPr>
            </w:pPr>
          </w:p>
        </w:tc>
        <w:tc>
          <w:tcPr>
            <w:tcW w:w="1323" w:type="dxa"/>
          </w:tcPr>
          <w:p w:rsidR="00135518" w:rsidRDefault="00135518" w:rsidP="00135518">
            <w:pPr>
              <w:jc w:val="both"/>
              <w:rPr>
                <w:rFonts w:ascii="Times New Roman" w:eastAsia="Calibri" w:hAnsi="Times New Roman" w:cs="Times New Roman"/>
                <w:b/>
                <w:bCs/>
                <w:color w:val="4F81BD" w:themeColor="accent1"/>
                <w:sz w:val="20"/>
                <w:szCs w:val="20"/>
              </w:rPr>
            </w:pPr>
          </w:p>
        </w:tc>
        <w:tc>
          <w:tcPr>
            <w:tcW w:w="2857" w:type="dxa"/>
          </w:tcPr>
          <w:p w:rsidR="00135518" w:rsidRDefault="001E71FB" w:rsidP="00135518">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I 1. Facilitarea participării Republicii Moldova la proiectele în cadrul Programului Comisiei Europene „Health for Growth” 2014-2020</w:t>
            </w:r>
          </w:p>
        </w:tc>
        <w:tc>
          <w:tcPr>
            <w:tcW w:w="1663" w:type="dxa"/>
          </w:tcPr>
          <w:p w:rsidR="00135518" w:rsidRDefault="00135518" w:rsidP="00135518">
            <w:pPr>
              <w:jc w:val="both"/>
              <w:rPr>
                <w:rFonts w:ascii="Times New Roman" w:eastAsia="Calibri" w:hAnsi="Times New Roman" w:cs="Times New Roman"/>
                <w:b/>
                <w:sz w:val="20"/>
                <w:szCs w:val="20"/>
              </w:rPr>
            </w:pPr>
            <w:r w:rsidRPr="00135518">
              <w:rPr>
                <w:rFonts w:ascii="Times New Roman" w:eastAsia="Calibri" w:hAnsi="Times New Roman" w:cs="Times New Roman"/>
                <w:sz w:val="20"/>
                <w:szCs w:val="20"/>
              </w:rPr>
              <w:t>Nr. de proiecte implementate</w:t>
            </w:r>
          </w:p>
        </w:tc>
        <w:tc>
          <w:tcPr>
            <w:tcW w:w="1850" w:type="dxa"/>
          </w:tcPr>
          <w:p w:rsidR="00135518" w:rsidRDefault="00135518" w:rsidP="00135518">
            <w:pPr>
              <w:jc w:val="both"/>
              <w:rPr>
                <w:rFonts w:ascii="Times New Roman" w:eastAsia="Calibri" w:hAnsi="Times New Roman" w:cs="Times New Roman"/>
                <w:b/>
                <w:sz w:val="20"/>
                <w:szCs w:val="20"/>
              </w:rPr>
            </w:pPr>
            <w:r w:rsidRPr="00135518">
              <w:rPr>
                <w:rFonts w:ascii="Times New Roman" w:eastAsia="Calibri" w:hAnsi="Times New Roman" w:cs="Times New Roman"/>
                <w:sz w:val="20"/>
                <w:szCs w:val="20"/>
              </w:rPr>
              <w:t>Ministerul Sănătății</w:t>
            </w:r>
          </w:p>
        </w:tc>
        <w:tc>
          <w:tcPr>
            <w:tcW w:w="2575" w:type="dxa"/>
          </w:tcPr>
          <w:p w:rsidR="00135518" w:rsidRDefault="00135518" w:rsidP="00135518">
            <w:pPr>
              <w:jc w:val="both"/>
              <w:rPr>
                <w:rFonts w:ascii="Times New Roman" w:hAnsi="Times New Roman" w:cs="Times New Roman"/>
                <w:b/>
                <w:sz w:val="20"/>
                <w:szCs w:val="20"/>
              </w:rPr>
            </w:pPr>
            <w:r w:rsidRPr="00135518">
              <w:rPr>
                <w:rFonts w:ascii="Times New Roman" w:eastAsia="Calibri" w:hAnsi="Times New Roman" w:cs="Times New Roman"/>
                <w:sz w:val="20"/>
                <w:szCs w:val="20"/>
              </w:rPr>
              <w:t>Trimestrul IV 2019</w:t>
            </w:r>
          </w:p>
        </w:tc>
        <w:tc>
          <w:tcPr>
            <w:tcW w:w="1844" w:type="dxa"/>
          </w:tcPr>
          <w:p w:rsidR="00135518" w:rsidRDefault="00135518" w:rsidP="00135518">
            <w:pPr>
              <w:jc w:val="both"/>
              <w:rPr>
                <w:rFonts w:ascii="Times New Roman" w:eastAsia="Calibri" w:hAnsi="Times New Roman" w:cs="Times New Roman"/>
                <w:sz w:val="20"/>
                <w:szCs w:val="20"/>
              </w:rPr>
            </w:pPr>
            <w:r w:rsidRPr="00135518">
              <w:rPr>
                <w:rFonts w:ascii="Times New Roman" w:eastAsia="Calibri" w:hAnsi="Times New Roman" w:cs="Times New Roman"/>
                <w:sz w:val="20"/>
                <w:szCs w:val="20"/>
              </w:rPr>
              <w:t>Aproximativ suma</w:t>
            </w:r>
          </w:p>
          <w:p w:rsidR="00135518" w:rsidRDefault="00135518" w:rsidP="00135518">
            <w:pPr>
              <w:jc w:val="both"/>
              <w:rPr>
                <w:rFonts w:ascii="Times New Roman" w:eastAsia="Calibri" w:hAnsi="Times New Roman" w:cs="Times New Roman"/>
                <w:sz w:val="20"/>
                <w:szCs w:val="20"/>
              </w:rPr>
            </w:pPr>
            <w:r w:rsidRPr="00135518">
              <w:rPr>
                <w:rFonts w:ascii="Times New Roman" w:eastAsia="Calibri" w:hAnsi="Times New Roman" w:cs="Times New Roman"/>
                <w:sz w:val="20"/>
                <w:szCs w:val="20"/>
              </w:rPr>
              <w:t>Alocațiibugetare:</w:t>
            </w:r>
          </w:p>
          <w:p w:rsidR="00135518" w:rsidRDefault="00135518" w:rsidP="00135518">
            <w:pPr>
              <w:jc w:val="both"/>
              <w:rPr>
                <w:rFonts w:ascii="Times New Roman" w:eastAsia="Calibri" w:hAnsi="Times New Roman" w:cs="Times New Roman"/>
                <w:b/>
                <w:sz w:val="20"/>
                <w:szCs w:val="20"/>
              </w:rPr>
            </w:pPr>
            <w:r w:rsidRPr="00135518">
              <w:rPr>
                <w:rFonts w:ascii="Times New Roman" w:eastAsia="Calibri" w:hAnsi="Times New Roman" w:cs="Times New Roman"/>
                <w:sz w:val="20"/>
                <w:szCs w:val="20"/>
              </w:rPr>
              <w:t>cotizație anuală în sumă de 23 662 Euro</w:t>
            </w:r>
          </w:p>
        </w:tc>
      </w:tr>
      <w:tr w:rsidR="001E71FB" w:rsidRPr="008C1179" w:rsidTr="00EC08C0">
        <w:tc>
          <w:tcPr>
            <w:tcW w:w="646" w:type="dxa"/>
          </w:tcPr>
          <w:p w:rsidR="001E71FB" w:rsidRPr="00770701" w:rsidRDefault="001E71FB" w:rsidP="00342A4F">
            <w:pPr>
              <w:jc w:val="center"/>
              <w:rPr>
                <w:rFonts w:ascii="Times New Roman" w:eastAsia="SimSun" w:hAnsi="Times New Roman"/>
                <w:b/>
                <w:sz w:val="20"/>
                <w:szCs w:val="20"/>
              </w:rPr>
            </w:pPr>
            <w:r w:rsidRPr="00770701">
              <w:rPr>
                <w:rFonts w:ascii="Times New Roman" w:eastAsia="SimSun" w:hAnsi="Times New Roman"/>
                <w:b/>
                <w:sz w:val="20"/>
                <w:szCs w:val="20"/>
              </w:rPr>
              <w:t>142</w:t>
            </w:r>
          </w:p>
        </w:tc>
        <w:tc>
          <w:tcPr>
            <w:tcW w:w="2661" w:type="dxa"/>
          </w:tcPr>
          <w:p w:rsidR="001E71FB" w:rsidRPr="004B45AC" w:rsidRDefault="001E71FB" w:rsidP="00342A4F">
            <w:pPr>
              <w:contextualSpacing/>
              <w:rPr>
                <w:rFonts w:ascii="Times New Roman" w:eastAsia="SimSun" w:hAnsi="Times New Roman"/>
                <w:sz w:val="20"/>
                <w:szCs w:val="20"/>
              </w:rPr>
            </w:pPr>
          </w:p>
        </w:tc>
        <w:tc>
          <w:tcPr>
            <w:tcW w:w="1323" w:type="dxa"/>
          </w:tcPr>
          <w:p w:rsidR="001E71FB" w:rsidRPr="00D13B83" w:rsidRDefault="001E71FB" w:rsidP="00342A4F">
            <w:pPr>
              <w:rPr>
                <w:rFonts w:ascii="Times New Roman" w:eastAsia="Calibri" w:hAnsi="Times New Roman" w:cs="Times New Roman"/>
                <w:b/>
                <w:sz w:val="20"/>
                <w:szCs w:val="20"/>
              </w:rPr>
            </w:pPr>
          </w:p>
        </w:tc>
        <w:tc>
          <w:tcPr>
            <w:tcW w:w="2857" w:type="dxa"/>
          </w:tcPr>
          <w:p w:rsidR="001E71FB" w:rsidRPr="00D13B83" w:rsidRDefault="001E71FB" w:rsidP="00342A4F">
            <w:pPr>
              <w:rPr>
                <w:rFonts w:ascii="Times New Roman" w:eastAsia="Calibri" w:hAnsi="Times New Roman" w:cs="Times New Roman"/>
                <w:b/>
                <w:sz w:val="20"/>
                <w:szCs w:val="20"/>
              </w:rPr>
            </w:pPr>
          </w:p>
        </w:tc>
        <w:tc>
          <w:tcPr>
            <w:tcW w:w="1663" w:type="dxa"/>
          </w:tcPr>
          <w:p w:rsidR="001E71FB" w:rsidRPr="00D13B83" w:rsidRDefault="001E71FB" w:rsidP="00342A4F">
            <w:pPr>
              <w:rPr>
                <w:rFonts w:ascii="Times New Roman" w:eastAsia="Calibri" w:hAnsi="Times New Roman" w:cs="Times New Roman"/>
                <w:b/>
                <w:sz w:val="20"/>
                <w:szCs w:val="20"/>
              </w:rPr>
            </w:pPr>
          </w:p>
        </w:tc>
        <w:tc>
          <w:tcPr>
            <w:tcW w:w="1850" w:type="dxa"/>
          </w:tcPr>
          <w:p w:rsidR="001E71FB" w:rsidRPr="00D13B83" w:rsidRDefault="001E71FB" w:rsidP="00342A4F">
            <w:pPr>
              <w:rPr>
                <w:rFonts w:ascii="Times New Roman" w:eastAsia="Calibri" w:hAnsi="Times New Roman" w:cs="Times New Roman"/>
                <w:b/>
                <w:sz w:val="20"/>
                <w:szCs w:val="20"/>
              </w:rPr>
            </w:pPr>
          </w:p>
        </w:tc>
        <w:tc>
          <w:tcPr>
            <w:tcW w:w="2575" w:type="dxa"/>
          </w:tcPr>
          <w:p w:rsidR="001E71FB" w:rsidRPr="00D13B83" w:rsidRDefault="001E71FB" w:rsidP="00342A4F">
            <w:pPr>
              <w:rPr>
                <w:rFonts w:ascii="Times New Roman" w:hAnsi="Times New Roman" w:cs="Times New Roman"/>
                <w:b/>
                <w:sz w:val="20"/>
                <w:szCs w:val="20"/>
              </w:rPr>
            </w:pPr>
          </w:p>
        </w:tc>
        <w:tc>
          <w:tcPr>
            <w:tcW w:w="1844" w:type="dxa"/>
          </w:tcPr>
          <w:p w:rsidR="001E71FB" w:rsidRPr="00D13B83" w:rsidRDefault="001E71FB" w:rsidP="00342A4F">
            <w:pPr>
              <w:rPr>
                <w:rFonts w:ascii="Times New Roman" w:eastAsia="Calibri" w:hAnsi="Times New Roman" w:cs="Times New Roman"/>
                <w:b/>
                <w:sz w:val="20"/>
                <w:szCs w:val="20"/>
              </w:rPr>
            </w:pPr>
          </w:p>
        </w:tc>
      </w:tr>
    </w:tbl>
    <w:p w:rsidR="00E47ED1" w:rsidRDefault="00E47ED1"/>
    <w:p w:rsidR="00FC4BCE" w:rsidRDefault="00FC4BCE"/>
    <w:p w:rsidR="00FC4BCE" w:rsidRDefault="00FC4BCE"/>
    <w:p w:rsidR="00FC4BCE" w:rsidRDefault="00FC4BCE"/>
    <w:p w:rsidR="00FC4BCE" w:rsidRDefault="00FC4BCE"/>
    <w:p w:rsidR="00DE52CC" w:rsidRDefault="00DE52CC"/>
    <w:p w:rsidR="00314E28" w:rsidRDefault="00314E28"/>
    <w:sectPr w:rsidR="00314E28" w:rsidSect="0077605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0E" w:rsidRDefault="001A690E" w:rsidP="007847AA">
      <w:pPr>
        <w:spacing w:after="0" w:line="240" w:lineRule="auto"/>
      </w:pPr>
      <w:r>
        <w:separator/>
      </w:r>
    </w:p>
  </w:endnote>
  <w:endnote w:type="continuationSeparator" w:id="1">
    <w:p w:rsidR="001A690E" w:rsidRDefault="001A690E" w:rsidP="00784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207" w:usb1="080E0000" w:usb2="00000010" w:usb3="00000000" w:csb0="0004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0E" w:rsidRDefault="001A690E" w:rsidP="007847AA">
      <w:pPr>
        <w:spacing w:after="0" w:line="240" w:lineRule="auto"/>
      </w:pPr>
      <w:r>
        <w:separator/>
      </w:r>
    </w:p>
  </w:footnote>
  <w:footnote w:type="continuationSeparator" w:id="1">
    <w:p w:rsidR="001A690E" w:rsidRDefault="001A690E" w:rsidP="00784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4FE"/>
    <w:multiLevelType w:val="hybridMultilevel"/>
    <w:tmpl w:val="3D147D72"/>
    <w:lvl w:ilvl="0" w:tplc="FAA653DE">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CFC"/>
    <w:multiLevelType w:val="hybridMultilevel"/>
    <w:tmpl w:val="45449988"/>
    <w:lvl w:ilvl="0" w:tplc="C72EAFC2">
      <w:start w:val="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5DC0324"/>
    <w:multiLevelType w:val="hybridMultilevel"/>
    <w:tmpl w:val="CE8C5A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2F7255"/>
    <w:multiLevelType w:val="hybridMultilevel"/>
    <w:tmpl w:val="F59ACDA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407F7"/>
    <w:multiLevelType w:val="hybridMultilevel"/>
    <w:tmpl w:val="988842D2"/>
    <w:lvl w:ilvl="0" w:tplc="BC84C0B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B857020"/>
    <w:multiLevelType w:val="hybridMultilevel"/>
    <w:tmpl w:val="F808069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B56C1"/>
    <w:multiLevelType w:val="hybridMultilevel"/>
    <w:tmpl w:val="808263B2"/>
    <w:lvl w:ilvl="0" w:tplc="E1A66086">
      <w:start w:val="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820F6D"/>
    <w:multiLevelType w:val="hybridMultilevel"/>
    <w:tmpl w:val="43685930"/>
    <w:lvl w:ilvl="0" w:tplc="E9028B2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7E6D73"/>
    <w:multiLevelType w:val="hybridMultilevel"/>
    <w:tmpl w:val="26666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256FD"/>
    <w:multiLevelType w:val="hybridMultilevel"/>
    <w:tmpl w:val="B55AF240"/>
    <w:lvl w:ilvl="0" w:tplc="A87401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4C0274"/>
    <w:multiLevelType w:val="hybridMultilevel"/>
    <w:tmpl w:val="53101860"/>
    <w:lvl w:ilvl="0" w:tplc="0C068C24">
      <w:numFmt w:val="bullet"/>
      <w:lvlText w:val="-"/>
      <w:lvlJc w:val="left"/>
      <w:pPr>
        <w:ind w:left="702" w:hanging="360"/>
      </w:pPr>
      <w:rPr>
        <w:rFonts w:ascii="Calibri" w:eastAsia="Calibri" w:hAnsi="Calibri" w:cs="Calibri"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1">
    <w:nsid w:val="2D8E67C5"/>
    <w:multiLevelType w:val="hybridMultilevel"/>
    <w:tmpl w:val="796EF28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F1CA4"/>
    <w:multiLevelType w:val="hybridMultilevel"/>
    <w:tmpl w:val="FEACA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5369C6"/>
    <w:multiLevelType w:val="hybridMultilevel"/>
    <w:tmpl w:val="24566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27E65"/>
    <w:multiLevelType w:val="hybridMultilevel"/>
    <w:tmpl w:val="598CA3E0"/>
    <w:lvl w:ilvl="0" w:tplc="3B6603BC">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E0CF0"/>
    <w:multiLevelType w:val="hybridMultilevel"/>
    <w:tmpl w:val="06C63BC8"/>
    <w:lvl w:ilvl="0" w:tplc="92847618">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1BA2D89"/>
    <w:multiLevelType w:val="hybridMultilevel"/>
    <w:tmpl w:val="812AA68A"/>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9B414F"/>
    <w:multiLevelType w:val="hybridMultilevel"/>
    <w:tmpl w:val="0E84377C"/>
    <w:lvl w:ilvl="0" w:tplc="DC6817A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ABB1FEB"/>
    <w:multiLevelType w:val="hybridMultilevel"/>
    <w:tmpl w:val="5CE4275A"/>
    <w:lvl w:ilvl="0" w:tplc="05A288B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BF36895"/>
    <w:multiLevelType w:val="hybridMultilevel"/>
    <w:tmpl w:val="7F6A71F0"/>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A1534"/>
    <w:multiLevelType w:val="hybridMultilevel"/>
    <w:tmpl w:val="BC743470"/>
    <w:lvl w:ilvl="0" w:tplc="E006F7EC">
      <w:start w:val="1"/>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2D4C93"/>
    <w:multiLevelType w:val="hybridMultilevel"/>
    <w:tmpl w:val="FCA040A4"/>
    <w:lvl w:ilvl="0" w:tplc="4754C43C">
      <w:start w:val="1"/>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2">
    <w:nsid w:val="56DA1F00"/>
    <w:multiLevelType w:val="hybridMultilevel"/>
    <w:tmpl w:val="12884DBE"/>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B2CB6"/>
    <w:multiLevelType w:val="hybridMultilevel"/>
    <w:tmpl w:val="AE02F860"/>
    <w:lvl w:ilvl="0" w:tplc="FD66E7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B2C6AEE"/>
    <w:multiLevelType w:val="hybridMultilevel"/>
    <w:tmpl w:val="FC76C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D0D47"/>
    <w:multiLevelType w:val="multilevel"/>
    <w:tmpl w:val="885A666E"/>
    <w:lvl w:ilvl="0">
      <w:start w:val="1"/>
      <w:numFmt w:val="decimal"/>
      <w:lvlText w:val="%1."/>
      <w:lvlJc w:val="left"/>
      <w:pPr>
        <w:ind w:left="406" w:hanging="360"/>
      </w:pPr>
      <w:rPr>
        <w:rFonts w:hint="default"/>
        <w:b/>
      </w:rPr>
    </w:lvl>
    <w:lvl w:ilvl="1">
      <w:start w:val="1"/>
      <w:numFmt w:val="decimal"/>
      <w:isLgl/>
      <w:lvlText w:val="%1.%2"/>
      <w:lvlJc w:val="left"/>
      <w:pPr>
        <w:ind w:left="406" w:hanging="360"/>
      </w:pPr>
      <w:rPr>
        <w:rFonts w:hint="default"/>
      </w:rPr>
    </w:lvl>
    <w:lvl w:ilvl="2">
      <w:start w:val="1"/>
      <w:numFmt w:val="decimal"/>
      <w:isLgl/>
      <w:lvlText w:val="%1.%2.%3"/>
      <w:lvlJc w:val="left"/>
      <w:pPr>
        <w:ind w:left="766" w:hanging="720"/>
      </w:pPr>
      <w:rPr>
        <w:rFonts w:hint="default"/>
      </w:rPr>
    </w:lvl>
    <w:lvl w:ilvl="3">
      <w:start w:val="1"/>
      <w:numFmt w:val="decimal"/>
      <w:isLgl/>
      <w:lvlText w:val="%1.%2.%3.%4"/>
      <w:lvlJc w:val="left"/>
      <w:pPr>
        <w:ind w:left="766" w:hanging="720"/>
      </w:pPr>
      <w:rPr>
        <w:rFonts w:hint="default"/>
      </w:rPr>
    </w:lvl>
    <w:lvl w:ilvl="4">
      <w:start w:val="1"/>
      <w:numFmt w:val="decimal"/>
      <w:isLgl/>
      <w:lvlText w:val="%1.%2.%3.%4.%5"/>
      <w:lvlJc w:val="left"/>
      <w:pPr>
        <w:ind w:left="766" w:hanging="720"/>
      </w:pPr>
      <w:rPr>
        <w:rFonts w:hint="default"/>
      </w:rPr>
    </w:lvl>
    <w:lvl w:ilvl="5">
      <w:start w:val="1"/>
      <w:numFmt w:val="decimal"/>
      <w:isLgl/>
      <w:lvlText w:val="%1.%2.%3.%4.%5.%6"/>
      <w:lvlJc w:val="left"/>
      <w:pPr>
        <w:ind w:left="1126" w:hanging="1080"/>
      </w:pPr>
      <w:rPr>
        <w:rFonts w:hint="default"/>
      </w:rPr>
    </w:lvl>
    <w:lvl w:ilvl="6">
      <w:start w:val="1"/>
      <w:numFmt w:val="decimal"/>
      <w:isLgl/>
      <w:lvlText w:val="%1.%2.%3.%4.%5.%6.%7"/>
      <w:lvlJc w:val="left"/>
      <w:pPr>
        <w:ind w:left="1126" w:hanging="1080"/>
      </w:pPr>
      <w:rPr>
        <w:rFonts w:hint="default"/>
      </w:rPr>
    </w:lvl>
    <w:lvl w:ilvl="7">
      <w:start w:val="1"/>
      <w:numFmt w:val="decimal"/>
      <w:isLgl/>
      <w:lvlText w:val="%1.%2.%3.%4.%5.%6.%7.%8"/>
      <w:lvlJc w:val="left"/>
      <w:pPr>
        <w:ind w:left="1486" w:hanging="1440"/>
      </w:pPr>
      <w:rPr>
        <w:rFonts w:hint="default"/>
      </w:rPr>
    </w:lvl>
    <w:lvl w:ilvl="8">
      <w:start w:val="1"/>
      <w:numFmt w:val="decimal"/>
      <w:isLgl/>
      <w:lvlText w:val="%1.%2.%3.%4.%5.%6.%7.%8.%9"/>
      <w:lvlJc w:val="left"/>
      <w:pPr>
        <w:ind w:left="1486" w:hanging="1440"/>
      </w:pPr>
      <w:rPr>
        <w:rFonts w:hint="default"/>
      </w:rPr>
    </w:lvl>
  </w:abstractNum>
  <w:abstractNum w:abstractNumId="26">
    <w:nsid w:val="69507097"/>
    <w:multiLevelType w:val="hybridMultilevel"/>
    <w:tmpl w:val="25602FD2"/>
    <w:lvl w:ilvl="0" w:tplc="0F06B692">
      <w:start w:val="2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D025B2"/>
    <w:multiLevelType w:val="hybridMultilevel"/>
    <w:tmpl w:val="CB74BDD8"/>
    <w:lvl w:ilvl="0" w:tplc="28E0806E">
      <w:start w:val="20"/>
      <w:numFmt w:val="bullet"/>
      <w:lvlText w:val="-"/>
      <w:lvlJc w:val="left"/>
      <w:pPr>
        <w:ind w:left="-4887" w:hanging="360"/>
      </w:pPr>
      <w:rPr>
        <w:rFonts w:ascii="Calibri" w:eastAsia="Calibri" w:hAnsi="Calibri" w:cs="Calibri" w:hint="default"/>
        <w:color w:val="auto"/>
        <w:lang w:val="en-GB"/>
      </w:rPr>
    </w:lvl>
    <w:lvl w:ilvl="1" w:tplc="04190003">
      <w:start w:val="1"/>
      <w:numFmt w:val="bullet"/>
      <w:lvlText w:val="o"/>
      <w:lvlJc w:val="left"/>
      <w:pPr>
        <w:ind w:left="-430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2149" w:hanging="360"/>
      </w:pPr>
      <w:rPr>
        <w:rFonts w:ascii="Courier New" w:hAnsi="Courier New" w:cs="Courier New" w:hint="default"/>
      </w:rPr>
    </w:lvl>
    <w:lvl w:ilvl="5" w:tplc="04190005">
      <w:start w:val="1"/>
      <w:numFmt w:val="bullet"/>
      <w:lvlText w:val=""/>
      <w:lvlJc w:val="left"/>
      <w:pPr>
        <w:ind w:left="-1429" w:hanging="360"/>
      </w:pPr>
      <w:rPr>
        <w:rFonts w:ascii="Wingdings" w:hAnsi="Wingdings" w:hint="default"/>
      </w:rPr>
    </w:lvl>
    <w:lvl w:ilvl="6" w:tplc="04190001" w:tentative="1">
      <w:start w:val="1"/>
      <w:numFmt w:val="bullet"/>
      <w:lvlText w:val=""/>
      <w:lvlJc w:val="left"/>
      <w:pPr>
        <w:ind w:left="-709" w:hanging="360"/>
      </w:pPr>
      <w:rPr>
        <w:rFonts w:ascii="Symbol" w:hAnsi="Symbol" w:hint="default"/>
      </w:rPr>
    </w:lvl>
    <w:lvl w:ilvl="7" w:tplc="04190003" w:tentative="1">
      <w:start w:val="1"/>
      <w:numFmt w:val="bullet"/>
      <w:lvlText w:val="o"/>
      <w:lvlJc w:val="left"/>
      <w:pPr>
        <w:ind w:left="11" w:hanging="360"/>
      </w:pPr>
      <w:rPr>
        <w:rFonts w:ascii="Courier New" w:hAnsi="Courier New" w:cs="Courier New" w:hint="default"/>
      </w:rPr>
    </w:lvl>
    <w:lvl w:ilvl="8" w:tplc="04190005" w:tentative="1">
      <w:start w:val="1"/>
      <w:numFmt w:val="bullet"/>
      <w:lvlText w:val=""/>
      <w:lvlJc w:val="left"/>
      <w:pPr>
        <w:ind w:left="731" w:hanging="360"/>
      </w:pPr>
      <w:rPr>
        <w:rFonts w:ascii="Wingdings" w:hAnsi="Wingdings" w:hint="default"/>
      </w:rPr>
    </w:lvl>
  </w:abstractNum>
  <w:abstractNum w:abstractNumId="28">
    <w:nsid w:val="6B696490"/>
    <w:multiLevelType w:val="hybridMultilevel"/>
    <w:tmpl w:val="52E227DE"/>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6868CC"/>
    <w:multiLevelType w:val="hybridMultilevel"/>
    <w:tmpl w:val="4076770C"/>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B537F9"/>
    <w:multiLevelType w:val="hybridMultilevel"/>
    <w:tmpl w:val="1A94FB80"/>
    <w:lvl w:ilvl="0" w:tplc="37529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32971"/>
    <w:multiLevelType w:val="hybridMultilevel"/>
    <w:tmpl w:val="29946A60"/>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6"/>
  </w:num>
  <w:num w:numId="4">
    <w:abstractNumId w:val="17"/>
  </w:num>
  <w:num w:numId="5">
    <w:abstractNumId w:val="4"/>
  </w:num>
  <w:num w:numId="6">
    <w:abstractNumId w:val="21"/>
  </w:num>
  <w:num w:numId="7">
    <w:abstractNumId w:val="25"/>
  </w:num>
  <w:num w:numId="8">
    <w:abstractNumId w:val="13"/>
  </w:num>
  <w:num w:numId="9">
    <w:abstractNumId w:val="24"/>
  </w:num>
  <w:num w:numId="10">
    <w:abstractNumId w:val="30"/>
  </w:num>
  <w:num w:numId="11">
    <w:abstractNumId w:val="6"/>
  </w:num>
  <w:num w:numId="12">
    <w:abstractNumId w:val="1"/>
  </w:num>
  <w:num w:numId="13">
    <w:abstractNumId w:val="27"/>
  </w:num>
  <w:num w:numId="14">
    <w:abstractNumId w:val="8"/>
  </w:num>
  <w:num w:numId="15">
    <w:abstractNumId w:val="2"/>
  </w:num>
  <w:num w:numId="16">
    <w:abstractNumId w:val="10"/>
  </w:num>
  <w:num w:numId="17">
    <w:abstractNumId w:val="31"/>
  </w:num>
  <w:num w:numId="18">
    <w:abstractNumId w:val="22"/>
  </w:num>
  <w:num w:numId="19">
    <w:abstractNumId w:val="29"/>
  </w:num>
  <w:num w:numId="20">
    <w:abstractNumId w:val="20"/>
  </w:num>
  <w:num w:numId="21">
    <w:abstractNumId w:val="3"/>
  </w:num>
  <w:num w:numId="22">
    <w:abstractNumId w:val="5"/>
  </w:num>
  <w:num w:numId="23">
    <w:abstractNumId w:val="19"/>
  </w:num>
  <w:num w:numId="24">
    <w:abstractNumId w:val="11"/>
  </w:num>
  <w:num w:numId="25">
    <w:abstractNumId w:val="28"/>
  </w:num>
  <w:num w:numId="26">
    <w:abstractNumId w:val="16"/>
  </w:num>
  <w:num w:numId="27">
    <w:abstractNumId w:val="18"/>
  </w:num>
  <w:num w:numId="28">
    <w:abstractNumId w:val="15"/>
  </w:num>
  <w:num w:numId="29">
    <w:abstractNumId w:val="12"/>
  </w:num>
  <w:num w:numId="30">
    <w:abstractNumId w:val="23"/>
  </w:num>
  <w:num w:numId="31">
    <w:abstractNumId w:val="1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08"/>
  <w:hyphenationZone w:val="425"/>
  <w:characterSpacingControl w:val="doNotCompress"/>
  <w:footnotePr>
    <w:footnote w:id="0"/>
    <w:footnote w:id="1"/>
  </w:footnotePr>
  <w:endnotePr>
    <w:endnote w:id="0"/>
    <w:endnote w:id="1"/>
  </w:endnotePr>
  <w:compat/>
  <w:rsids>
    <w:rsidRoot w:val="0077605C"/>
    <w:rsid w:val="000000C9"/>
    <w:rsid w:val="0000223D"/>
    <w:rsid w:val="00016251"/>
    <w:rsid w:val="00034D06"/>
    <w:rsid w:val="00035CA0"/>
    <w:rsid w:val="000449F4"/>
    <w:rsid w:val="00046A12"/>
    <w:rsid w:val="00047312"/>
    <w:rsid w:val="00055F67"/>
    <w:rsid w:val="00060768"/>
    <w:rsid w:val="00066A28"/>
    <w:rsid w:val="00070F78"/>
    <w:rsid w:val="00072910"/>
    <w:rsid w:val="00074AC3"/>
    <w:rsid w:val="00080D5E"/>
    <w:rsid w:val="00087492"/>
    <w:rsid w:val="000A6514"/>
    <w:rsid w:val="000B6EC6"/>
    <w:rsid w:val="000B757E"/>
    <w:rsid w:val="000C16B4"/>
    <w:rsid w:val="000C67ED"/>
    <w:rsid w:val="000D0A87"/>
    <w:rsid w:val="000D10E8"/>
    <w:rsid w:val="000D4951"/>
    <w:rsid w:val="000E09E0"/>
    <w:rsid w:val="000E0D72"/>
    <w:rsid w:val="000F300E"/>
    <w:rsid w:val="000F68D0"/>
    <w:rsid w:val="00105F7D"/>
    <w:rsid w:val="001060C6"/>
    <w:rsid w:val="00111481"/>
    <w:rsid w:val="00125040"/>
    <w:rsid w:val="001327A7"/>
    <w:rsid w:val="00133011"/>
    <w:rsid w:val="00135518"/>
    <w:rsid w:val="00136722"/>
    <w:rsid w:val="00144677"/>
    <w:rsid w:val="00151CDB"/>
    <w:rsid w:val="0015396D"/>
    <w:rsid w:val="00156C96"/>
    <w:rsid w:val="00161A16"/>
    <w:rsid w:val="001676CC"/>
    <w:rsid w:val="00171951"/>
    <w:rsid w:val="00175821"/>
    <w:rsid w:val="0018252B"/>
    <w:rsid w:val="0018368F"/>
    <w:rsid w:val="001845E2"/>
    <w:rsid w:val="0019518E"/>
    <w:rsid w:val="001968C6"/>
    <w:rsid w:val="001A690E"/>
    <w:rsid w:val="001B09C1"/>
    <w:rsid w:val="001B0B11"/>
    <w:rsid w:val="001B346A"/>
    <w:rsid w:val="001C0768"/>
    <w:rsid w:val="001C2408"/>
    <w:rsid w:val="001C3C3C"/>
    <w:rsid w:val="001D16F2"/>
    <w:rsid w:val="001E1688"/>
    <w:rsid w:val="001E71FB"/>
    <w:rsid w:val="001F67AD"/>
    <w:rsid w:val="002025E3"/>
    <w:rsid w:val="0020362E"/>
    <w:rsid w:val="00216CC3"/>
    <w:rsid w:val="00217090"/>
    <w:rsid w:val="0022520D"/>
    <w:rsid w:val="00227D12"/>
    <w:rsid w:val="00233D0A"/>
    <w:rsid w:val="00233F9F"/>
    <w:rsid w:val="002374E9"/>
    <w:rsid w:val="002550FD"/>
    <w:rsid w:val="00256D78"/>
    <w:rsid w:val="00260CFB"/>
    <w:rsid w:val="002613BA"/>
    <w:rsid w:val="00270D86"/>
    <w:rsid w:val="00282CE6"/>
    <w:rsid w:val="0028351F"/>
    <w:rsid w:val="00295D78"/>
    <w:rsid w:val="00296BF4"/>
    <w:rsid w:val="00297C95"/>
    <w:rsid w:val="002A32BF"/>
    <w:rsid w:val="002A36FE"/>
    <w:rsid w:val="002A41BA"/>
    <w:rsid w:val="002A452F"/>
    <w:rsid w:val="002B70D7"/>
    <w:rsid w:val="002C370E"/>
    <w:rsid w:val="002D2728"/>
    <w:rsid w:val="002E5A4A"/>
    <w:rsid w:val="002F3139"/>
    <w:rsid w:val="00300D86"/>
    <w:rsid w:val="0030474D"/>
    <w:rsid w:val="00314694"/>
    <w:rsid w:val="00314717"/>
    <w:rsid w:val="00314C30"/>
    <w:rsid w:val="00314E28"/>
    <w:rsid w:val="003204EB"/>
    <w:rsid w:val="0033389C"/>
    <w:rsid w:val="00336206"/>
    <w:rsid w:val="00340299"/>
    <w:rsid w:val="00342A4F"/>
    <w:rsid w:val="003476F3"/>
    <w:rsid w:val="003709A9"/>
    <w:rsid w:val="00375401"/>
    <w:rsid w:val="003755A5"/>
    <w:rsid w:val="00377B26"/>
    <w:rsid w:val="003828E7"/>
    <w:rsid w:val="003A0C18"/>
    <w:rsid w:val="003A4FFD"/>
    <w:rsid w:val="003B0349"/>
    <w:rsid w:val="003B0DA4"/>
    <w:rsid w:val="003B6CFF"/>
    <w:rsid w:val="003B7FEC"/>
    <w:rsid w:val="003C0B1D"/>
    <w:rsid w:val="003C1F92"/>
    <w:rsid w:val="003D2F70"/>
    <w:rsid w:val="003D69CD"/>
    <w:rsid w:val="003E0F53"/>
    <w:rsid w:val="003E572D"/>
    <w:rsid w:val="003F2B8B"/>
    <w:rsid w:val="0040037B"/>
    <w:rsid w:val="004007EC"/>
    <w:rsid w:val="0041654F"/>
    <w:rsid w:val="00431235"/>
    <w:rsid w:val="004409E7"/>
    <w:rsid w:val="00442172"/>
    <w:rsid w:val="00442665"/>
    <w:rsid w:val="00442824"/>
    <w:rsid w:val="00461830"/>
    <w:rsid w:val="0046634D"/>
    <w:rsid w:val="00474277"/>
    <w:rsid w:val="004743E3"/>
    <w:rsid w:val="00475C8F"/>
    <w:rsid w:val="00480687"/>
    <w:rsid w:val="004914D8"/>
    <w:rsid w:val="00493B0F"/>
    <w:rsid w:val="004A4EA0"/>
    <w:rsid w:val="004A7016"/>
    <w:rsid w:val="004B45AC"/>
    <w:rsid w:val="004B56DF"/>
    <w:rsid w:val="004B6744"/>
    <w:rsid w:val="004C483B"/>
    <w:rsid w:val="004D704F"/>
    <w:rsid w:val="004E3061"/>
    <w:rsid w:val="004E3A2C"/>
    <w:rsid w:val="004F1488"/>
    <w:rsid w:val="004F17A5"/>
    <w:rsid w:val="00502B5D"/>
    <w:rsid w:val="00503FF9"/>
    <w:rsid w:val="005072D8"/>
    <w:rsid w:val="0051003B"/>
    <w:rsid w:val="00510D48"/>
    <w:rsid w:val="005243B7"/>
    <w:rsid w:val="00556227"/>
    <w:rsid w:val="00560CEC"/>
    <w:rsid w:val="005624BC"/>
    <w:rsid w:val="00567BBC"/>
    <w:rsid w:val="00572021"/>
    <w:rsid w:val="00592A21"/>
    <w:rsid w:val="0059394B"/>
    <w:rsid w:val="005A5B39"/>
    <w:rsid w:val="005A62C1"/>
    <w:rsid w:val="005B0DB0"/>
    <w:rsid w:val="005C5B50"/>
    <w:rsid w:val="005E3072"/>
    <w:rsid w:val="005E774E"/>
    <w:rsid w:val="005F59CB"/>
    <w:rsid w:val="005F5A21"/>
    <w:rsid w:val="005F749B"/>
    <w:rsid w:val="00601C45"/>
    <w:rsid w:val="006049EC"/>
    <w:rsid w:val="00605625"/>
    <w:rsid w:val="00614F42"/>
    <w:rsid w:val="00621EE7"/>
    <w:rsid w:val="0062637C"/>
    <w:rsid w:val="00630D8D"/>
    <w:rsid w:val="00632F17"/>
    <w:rsid w:val="00637026"/>
    <w:rsid w:val="0064295F"/>
    <w:rsid w:val="00650FF5"/>
    <w:rsid w:val="006558FB"/>
    <w:rsid w:val="006648AE"/>
    <w:rsid w:val="00673F24"/>
    <w:rsid w:val="00680F0F"/>
    <w:rsid w:val="00683A34"/>
    <w:rsid w:val="00694DAA"/>
    <w:rsid w:val="00695928"/>
    <w:rsid w:val="00697639"/>
    <w:rsid w:val="006B6DF2"/>
    <w:rsid w:val="006C4E0C"/>
    <w:rsid w:val="006D4D28"/>
    <w:rsid w:val="006E3FFB"/>
    <w:rsid w:val="006E498E"/>
    <w:rsid w:val="006F1EC9"/>
    <w:rsid w:val="0070087D"/>
    <w:rsid w:val="00701DE0"/>
    <w:rsid w:val="007031C8"/>
    <w:rsid w:val="00712972"/>
    <w:rsid w:val="00720A00"/>
    <w:rsid w:val="00721971"/>
    <w:rsid w:val="00725538"/>
    <w:rsid w:val="00735454"/>
    <w:rsid w:val="00737C9A"/>
    <w:rsid w:val="00750D47"/>
    <w:rsid w:val="00751E5F"/>
    <w:rsid w:val="00764B92"/>
    <w:rsid w:val="00771884"/>
    <w:rsid w:val="00773B9E"/>
    <w:rsid w:val="0077605C"/>
    <w:rsid w:val="007832AB"/>
    <w:rsid w:val="007847AA"/>
    <w:rsid w:val="00787E0F"/>
    <w:rsid w:val="007A2C2C"/>
    <w:rsid w:val="007A7599"/>
    <w:rsid w:val="007B57F6"/>
    <w:rsid w:val="007C37ED"/>
    <w:rsid w:val="007C6834"/>
    <w:rsid w:val="007D25B7"/>
    <w:rsid w:val="007D6750"/>
    <w:rsid w:val="007E18AA"/>
    <w:rsid w:val="007E1C7F"/>
    <w:rsid w:val="007E7AEC"/>
    <w:rsid w:val="007E7C16"/>
    <w:rsid w:val="007F403A"/>
    <w:rsid w:val="00803AD3"/>
    <w:rsid w:val="00806468"/>
    <w:rsid w:val="00813EA2"/>
    <w:rsid w:val="00816EE6"/>
    <w:rsid w:val="00824FCC"/>
    <w:rsid w:val="008320B2"/>
    <w:rsid w:val="00836EFE"/>
    <w:rsid w:val="00844FC9"/>
    <w:rsid w:val="00845C26"/>
    <w:rsid w:val="008473B7"/>
    <w:rsid w:val="008572E5"/>
    <w:rsid w:val="008715B9"/>
    <w:rsid w:val="0087348D"/>
    <w:rsid w:val="00882B90"/>
    <w:rsid w:val="00883A72"/>
    <w:rsid w:val="00883DC7"/>
    <w:rsid w:val="00891629"/>
    <w:rsid w:val="008929DE"/>
    <w:rsid w:val="00894B64"/>
    <w:rsid w:val="008978BC"/>
    <w:rsid w:val="008978EF"/>
    <w:rsid w:val="008A6F67"/>
    <w:rsid w:val="008B48DC"/>
    <w:rsid w:val="008C130B"/>
    <w:rsid w:val="008C1355"/>
    <w:rsid w:val="008C505E"/>
    <w:rsid w:val="008D6735"/>
    <w:rsid w:val="008D7B26"/>
    <w:rsid w:val="008E1282"/>
    <w:rsid w:val="008E5381"/>
    <w:rsid w:val="008E7862"/>
    <w:rsid w:val="008F0BB8"/>
    <w:rsid w:val="008F4AD8"/>
    <w:rsid w:val="00902842"/>
    <w:rsid w:val="00906543"/>
    <w:rsid w:val="009110C0"/>
    <w:rsid w:val="00913C5C"/>
    <w:rsid w:val="00916B0B"/>
    <w:rsid w:val="0093058F"/>
    <w:rsid w:val="0094226D"/>
    <w:rsid w:val="009522D4"/>
    <w:rsid w:val="009540F8"/>
    <w:rsid w:val="00954BF2"/>
    <w:rsid w:val="00956EC0"/>
    <w:rsid w:val="0096636E"/>
    <w:rsid w:val="00967183"/>
    <w:rsid w:val="00967EE5"/>
    <w:rsid w:val="009740C4"/>
    <w:rsid w:val="009740E9"/>
    <w:rsid w:val="0097472A"/>
    <w:rsid w:val="00984FE8"/>
    <w:rsid w:val="0098733F"/>
    <w:rsid w:val="00987967"/>
    <w:rsid w:val="0099577F"/>
    <w:rsid w:val="009A616C"/>
    <w:rsid w:val="009A6C73"/>
    <w:rsid w:val="009B294E"/>
    <w:rsid w:val="009B5B65"/>
    <w:rsid w:val="009C3BB2"/>
    <w:rsid w:val="009C5166"/>
    <w:rsid w:val="009F0840"/>
    <w:rsid w:val="00A0199B"/>
    <w:rsid w:val="00A036EA"/>
    <w:rsid w:val="00A07221"/>
    <w:rsid w:val="00A0729E"/>
    <w:rsid w:val="00A07920"/>
    <w:rsid w:val="00A153F9"/>
    <w:rsid w:val="00A16405"/>
    <w:rsid w:val="00A1650A"/>
    <w:rsid w:val="00A174FE"/>
    <w:rsid w:val="00A27CAA"/>
    <w:rsid w:val="00A32BF9"/>
    <w:rsid w:val="00A3629E"/>
    <w:rsid w:val="00A410C8"/>
    <w:rsid w:val="00A4176B"/>
    <w:rsid w:val="00A42FA4"/>
    <w:rsid w:val="00A6051B"/>
    <w:rsid w:val="00A619D2"/>
    <w:rsid w:val="00A663B0"/>
    <w:rsid w:val="00A66C05"/>
    <w:rsid w:val="00A72D37"/>
    <w:rsid w:val="00A74276"/>
    <w:rsid w:val="00A7760A"/>
    <w:rsid w:val="00A83229"/>
    <w:rsid w:val="00A84B18"/>
    <w:rsid w:val="00A857BE"/>
    <w:rsid w:val="00A97A37"/>
    <w:rsid w:val="00AA29E7"/>
    <w:rsid w:val="00AB28E2"/>
    <w:rsid w:val="00AB481B"/>
    <w:rsid w:val="00AB53E9"/>
    <w:rsid w:val="00AC0F94"/>
    <w:rsid w:val="00AC4039"/>
    <w:rsid w:val="00AC7BAA"/>
    <w:rsid w:val="00AD1650"/>
    <w:rsid w:val="00AD3B18"/>
    <w:rsid w:val="00AE2521"/>
    <w:rsid w:val="00AE3E21"/>
    <w:rsid w:val="00AF064A"/>
    <w:rsid w:val="00AF3097"/>
    <w:rsid w:val="00B04A2F"/>
    <w:rsid w:val="00B10E2A"/>
    <w:rsid w:val="00B13987"/>
    <w:rsid w:val="00B13A5D"/>
    <w:rsid w:val="00B17ED3"/>
    <w:rsid w:val="00B34429"/>
    <w:rsid w:val="00B361F0"/>
    <w:rsid w:val="00B41B70"/>
    <w:rsid w:val="00B46C0A"/>
    <w:rsid w:val="00B56638"/>
    <w:rsid w:val="00B57DD4"/>
    <w:rsid w:val="00B63A1F"/>
    <w:rsid w:val="00B67219"/>
    <w:rsid w:val="00B72D79"/>
    <w:rsid w:val="00B76434"/>
    <w:rsid w:val="00B80AAC"/>
    <w:rsid w:val="00B912CE"/>
    <w:rsid w:val="00BB1FEC"/>
    <w:rsid w:val="00BC22DA"/>
    <w:rsid w:val="00BD7884"/>
    <w:rsid w:val="00BE4A06"/>
    <w:rsid w:val="00BF009D"/>
    <w:rsid w:val="00BF21FC"/>
    <w:rsid w:val="00BF2667"/>
    <w:rsid w:val="00BF3557"/>
    <w:rsid w:val="00C2048C"/>
    <w:rsid w:val="00C23A42"/>
    <w:rsid w:val="00C26F23"/>
    <w:rsid w:val="00C33919"/>
    <w:rsid w:val="00C3454D"/>
    <w:rsid w:val="00C5415F"/>
    <w:rsid w:val="00C62435"/>
    <w:rsid w:val="00C70757"/>
    <w:rsid w:val="00C7707A"/>
    <w:rsid w:val="00C804AD"/>
    <w:rsid w:val="00C8135D"/>
    <w:rsid w:val="00C82CBA"/>
    <w:rsid w:val="00C86342"/>
    <w:rsid w:val="00C87C1E"/>
    <w:rsid w:val="00C91AA7"/>
    <w:rsid w:val="00CB0CFE"/>
    <w:rsid w:val="00CB2B83"/>
    <w:rsid w:val="00CB5E63"/>
    <w:rsid w:val="00CC3F1C"/>
    <w:rsid w:val="00CD2783"/>
    <w:rsid w:val="00CD4BD7"/>
    <w:rsid w:val="00CD573A"/>
    <w:rsid w:val="00CE0595"/>
    <w:rsid w:val="00CE44BA"/>
    <w:rsid w:val="00D0168E"/>
    <w:rsid w:val="00D018E0"/>
    <w:rsid w:val="00D019A3"/>
    <w:rsid w:val="00D073B0"/>
    <w:rsid w:val="00D13B83"/>
    <w:rsid w:val="00D13F84"/>
    <w:rsid w:val="00D27EEF"/>
    <w:rsid w:val="00D315BB"/>
    <w:rsid w:val="00D318D2"/>
    <w:rsid w:val="00D33271"/>
    <w:rsid w:val="00D8177C"/>
    <w:rsid w:val="00D87119"/>
    <w:rsid w:val="00DA265F"/>
    <w:rsid w:val="00DA3DDF"/>
    <w:rsid w:val="00DB3332"/>
    <w:rsid w:val="00DC598B"/>
    <w:rsid w:val="00DD40A5"/>
    <w:rsid w:val="00DD66DF"/>
    <w:rsid w:val="00DE0619"/>
    <w:rsid w:val="00DE52CC"/>
    <w:rsid w:val="00DE654F"/>
    <w:rsid w:val="00DF58B2"/>
    <w:rsid w:val="00E06792"/>
    <w:rsid w:val="00E207CC"/>
    <w:rsid w:val="00E24191"/>
    <w:rsid w:val="00E24984"/>
    <w:rsid w:val="00E3376D"/>
    <w:rsid w:val="00E44CF9"/>
    <w:rsid w:val="00E450E4"/>
    <w:rsid w:val="00E47ED1"/>
    <w:rsid w:val="00E50C5D"/>
    <w:rsid w:val="00E56CDC"/>
    <w:rsid w:val="00E56DBA"/>
    <w:rsid w:val="00E643CB"/>
    <w:rsid w:val="00E66433"/>
    <w:rsid w:val="00E703CB"/>
    <w:rsid w:val="00E733B3"/>
    <w:rsid w:val="00E74C0A"/>
    <w:rsid w:val="00E80231"/>
    <w:rsid w:val="00E850D1"/>
    <w:rsid w:val="00E8646D"/>
    <w:rsid w:val="00E91452"/>
    <w:rsid w:val="00E94B07"/>
    <w:rsid w:val="00E97771"/>
    <w:rsid w:val="00EA2A1F"/>
    <w:rsid w:val="00EA6F99"/>
    <w:rsid w:val="00EC08C0"/>
    <w:rsid w:val="00EC32B1"/>
    <w:rsid w:val="00ED354B"/>
    <w:rsid w:val="00EE05C4"/>
    <w:rsid w:val="00EE3AFF"/>
    <w:rsid w:val="00EE59A2"/>
    <w:rsid w:val="00EF4A4B"/>
    <w:rsid w:val="00F0429E"/>
    <w:rsid w:val="00F11EBE"/>
    <w:rsid w:val="00F20F28"/>
    <w:rsid w:val="00F25A57"/>
    <w:rsid w:val="00F33CCF"/>
    <w:rsid w:val="00F4488A"/>
    <w:rsid w:val="00F44945"/>
    <w:rsid w:val="00F46020"/>
    <w:rsid w:val="00F461C6"/>
    <w:rsid w:val="00F464D5"/>
    <w:rsid w:val="00F667C9"/>
    <w:rsid w:val="00F669C9"/>
    <w:rsid w:val="00F713D0"/>
    <w:rsid w:val="00F72402"/>
    <w:rsid w:val="00F72AE4"/>
    <w:rsid w:val="00F87406"/>
    <w:rsid w:val="00F87C27"/>
    <w:rsid w:val="00F9193C"/>
    <w:rsid w:val="00F96006"/>
    <w:rsid w:val="00FA5E7C"/>
    <w:rsid w:val="00FB59B5"/>
    <w:rsid w:val="00FC4BCE"/>
    <w:rsid w:val="00FC5CB8"/>
    <w:rsid w:val="00FC716E"/>
    <w:rsid w:val="00FD008B"/>
    <w:rsid w:val="00FD1417"/>
    <w:rsid w:val="00FD1701"/>
    <w:rsid w:val="00FD17F3"/>
    <w:rsid w:val="00FD337F"/>
    <w:rsid w:val="00FD352D"/>
    <w:rsid w:val="00FE4323"/>
    <w:rsid w:val="00FF3392"/>
    <w:rsid w:val="00FF45ED"/>
    <w:rsid w:val="00FF67EE"/>
    <w:rsid w:val="00FF728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5C"/>
  </w:style>
  <w:style w:type="paragraph" w:styleId="Heading1">
    <w:name w:val="heading 1"/>
    <w:basedOn w:val="Normal"/>
    <w:link w:val="Heading1Char"/>
    <w:qFormat/>
    <w:rsid w:val="00987967"/>
    <w:pPr>
      <w:spacing w:before="100" w:beforeAutospacing="1" w:after="100" w:afterAutospacing="1" w:line="240" w:lineRule="auto"/>
      <w:outlineLvl w:val="0"/>
    </w:pPr>
    <w:rPr>
      <w:rFonts w:ascii="Times New Roman" w:eastAsia="Calibri" w:hAnsi="Times New Roman" w:cs="Times New Roman"/>
      <w:b/>
      <w:bCs/>
      <w:kern w:val="36"/>
      <w:sz w:val="48"/>
      <w:szCs w:val="48"/>
      <w:lang w:val="ru-RU" w:eastAsia="zh-CN"/>
    </w:rPr>
  </w:style>
  <w:style w:type="paragraph" w:styleId="Heading3">
    <w:name w:val="heading 3"/>
    <w:basedOn w:val="Normal"/>
    <w:next w:val="Normal"/>
    <w:link w:val="Heading3Char"/>
    <w:uiPriority w:val="9"/>
    <w:semiHidden/>
    <w:unhideWhenUsed/>
    <w:qFormat/>
    <w:rsid w:val="002F3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7967"/>
    <w:rPr>
      <w:rFonts w:ascii="Times New Roman" w:eastAsia="Calibri" w:hAnsi="Times New Roman" w:cs="Times New Roman"/>
      <w:b/>
      <w:bCs/>
      <w:kern w:val="36"/>
      <w:sz w:val="48"/>
      <w:szCs w:val="48"/>
      <w:lang w:val="ru-RU" w:eastAsia="zh-CN"/>
    </w:rPr>
  </w:style>
  <w:style w:type="paragraph" w:customStyle="1" w:styleId="Default">
    <w:name w:val="Default"/>
    <w:rsid w:val="007B57F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Heading3Char">
    <w:name w:val="Heading 3 Char"/>
    <w:basedOn w:val="DefaultParagraphFont"/>
    <w:link w:val="Heading3"/>
    <w:rsid w:val="002F3139"/>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rsid w:val="00956EC0"/>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16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CC"/>
    <w:rPr>
      <w:rFonts w:ascii="Tahoma" w:hAnsi="Tahoma" w:cs="Tahoma"/>
      <w:sz w:val="16"/>
      <w:szCs w:val="16"/>
    </w:rPr>
  </w:style>
  <w:style w:type="character" w:styleId="CommentReference">
    <w:name w:val="annotation reference"/>
    <w:basedOn w:val="DefaultParagraphFont"/>
    <w:uiPriority w:val="99"/>
    <w:semiHidden/>
    <w:unhideWhenUsed/>
    <w:rsid w:val="001676CC"/>
    <w:rPr>
      <w:sz w:val="16"/>
      <w:szCs w:val="16"/>
    </w:rPr>
  </w:style>
  <w:style w:type="paragraph" w:styleId="CommentText">
    <w:name w:val="annotation text"/>
    <w:basedOn w:val="Normal"/>
    <w:link w:val="CommentTextChar"/>
    <w:uiPriority w:val="99"/>
    <w:semiHidden/>
    <w:unhideWhenUsed/>
    <w:rsid w:val="001676CC"/>
    <w:pPr>
      <w:spacing w:line="240" w:lineRule="auto"/>
    </w:pPr>
    <w:rPr>
      <w:sz w:val="20"/>
      <w:szCs w:val="20"/>
    </w:rPr>
  </w:style>
  <w:style w:type="character" w:customStyle="1" w:styleId="CommentTextChar">
    <w:name w:val="Comment Text Char"/>
    <w:basedOn w:val="DefaultParagraphFont"/>
    <w:link w:val="CommentText"/>
    <w:uiPriority w:val="99"/>
    <w:semiHidden/>
    <w:rsid w:val="001676CC"/>
    <w:rPr>
      <w:sz w:val="20"/>
      <w:szCs w:val="20"/>
    </w:rPr>
  </w:style>
  <w:style w:type="paragraph" w:styleId="CommentSubject">
    <w:name w:val="annotation subject"/>
    <w:basedOn w:val="CommentText"/>
    <w:next w:val="CommentText"/>
    <w:link w:val="CommentSubjectChar"/>
    <w:uiPriority w:val="99"/>
    <w:semiHidden/>
    <w:unhideWhenUsed/>
    <w:rsid w:val="001676CC"/>
    <w:rPr>
      <w:b/>
      <w:bCs/>
    </w:rPr>
  </w:style>
  <w:style w:type="character" w:customStyle="1" w:styleId="CommentSubjectChar">
    <w:name w:val="Comment Subject Char"/>
    <w:basedOn w:val="CommentTextChar"/>
    <w:link w:val="CommentSubject"/>
    <w:uiPriority w:val="99"/>
    <w:semiHidden/>
    <w:rsid w:val="001676CC"/>
    <w:rPr>
      <w:b/>
      <w:bCs/>
    </w:rPr>
  </w:style>
  <w:style w:type="paragraph" w:styleId="Header">
    <w:name w:val="header"/>
    <w:basedOn w:val="Normal"/>
    <w:link w:val="HeaderChar"/>
    <w:uiPriority w:val="99"/>
    <w:semiHidden/>
    <w:unhideWhenUsed/>
    <w:rsid w:val="007847A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847AA"/>
  </w:style>
  <w:style w:type="paragraph" w:styleId="Footer">
    <w:name w:val="footer"/>
    <w:basedOn w:val="Normal"/>
    <w:link w:val="FooterChar"/>
    <w:uiPriority w:val="99"/>
    <w:semiHidden/>
    <w:unhideWhenUsed/>
    <w:rsid w:val="007847AA"/>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7847AA"/>
  </w:style>
  <w:style w:type="paragraph" w:styleId="Quote">
    <w:name w:val="Quote"/>
    <w:basedOn w:val="Normal"/>
    <w:next w:val="Normal"/>
    <w:link w:val="QuoteChar"/>
    <w:uiPriority w:val="29"/>
    <w:qFormat/>
    <w:rsid w:val="00605625"/>
    <w:rPr>
      <w:i/>
      <w:iCs/>
      <w:color w:val="000000" w:themeColor="text1"/>
    </w:rPr>
  </w:style>
  <w:style w:type="character" w:customStyle="1" w:styleId="QuoteChar">
    <w:name w:val="Quote Char"/>
    <w:basedOn w:val="DefaultParagraphFont"/>
    <w:link w:val="Quote"/>
    <w:uiPriority w:val="29"/>
    <w:rsid w:val="00605625"/>
    <w:rPr>
      <w:i/>
      <w:iCs/>
      <w:color w:val="000000" w:themeColor="text1"/>
    </w:rPr>
  </w:style>
  <w:style w:type="character" w:styleId="Hyperlink">
    <w:name w:val="Hyperlink"/>
    <w:uiPriority w:val="99"/>
    <w:unhideWhenUsed/>
    <w:rsid w:val="00296BF4"/>
    <w:rPr>
      <w:color w:val="0000FF"/>
      <w:u w:val="single"/>
    </w:rPr>
  </w:style>
  <w:style w:type="paragraph" w:styleId="BodyText">
    <w:name w:val="Body Text"/>
    <w:basedOn w:val="Normal"/>
    <w:link w:val="BodyTextChar"/>
    <w:rsid w:val="004F1488"/>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4F1488"/>
    <w:rPr>
      <w:rFonts w:ascii="Times New Roman" w:eastAsia="Times New Roman" w:hAnsi="Times New Roman" w:cs="Times New Roman"/>
      <w:sz w:val="20"/>
      <w:szCs w:val="20"/>
      <w:lang w:val="en-GB" w:eastAsia="ru-RU"/>
    </w:rPr>
  </w:style>
  <w:style w:type="paragraph" w:styleId="NoSpacing">
    <w:name w:val="No Spacing"/>
    <w:link w:val="NoSpacingChar"/>
    <w:uiPriority w:val="1"/>
    <w:qFormat/>
    <w:rsid w:val="008715B9"/>
    <w:pPr>
      <w:spacing w:after="0" w:line="240" w:lineRule="auto"/>
    </w:pPr>
    <w:rPr>
      <w:rFonts w:ascii="Calibri" w:eastAsia="Calibri" w:hAnsi="Calibri" w:cs="Times New Roman"/>
      <w:sz w:val="20"/>
      <w:szCs w:val="20"/>
      <w:lang w:val="ru-RU" w:eastAsia="ru-RU"/>
    </w:rPr>
  </w:style>
  <w:style w:type="character" w:customStyle="1" w:styleId="NoSpacingChar">
    <w:name w:val="No Spacing Char"/>
    <w:link w:val="NoSpacing"/>
    <w:locked/>
    <w:rsid w:val="008715B9"/>
    <w:rPr>
      <w:rFonts w:ascii="Calibri" w:eastAsia="Calibri" w:hAnsi="Calibri" w:cs="Times New Roman"/>
      <w:sz w:val="20"/>
      <w:szCs w:val="20"/>
      <w:lang w:val="ru-RU" w:eastAsia="ru-RU"/>
    </w:rPr>
  </w:style>
  <w:style w:type="paragraph" w:customStyle="1" w:styleId="p9">
    <w:name w:val="p9"/>
    <w:basedOn w:val="Normal"/>
    <w:rsid w:val="008715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715B9"/>
    <w:pPr>
      <w:spacing w:after="0" w:line="240" w:lineRule="auto"/>
    </w:pPr>
  </w:style>
  <w:style w:type="character" w:customStyle="1" w:styleId="docheader">
    <w:name w:val="doc_header"/>
    <w:rsid w:val="00A174FE"/>
  </w:style>
  <w:style w:type="character" w:customStyle="1" w:styleId="ListParagraphChar">
    <w:name w:val="List Paragraph Char"/>
    <w:link w:val="ListParagraph"/>
    <w:locked/>
    <w:rsid w:val="002C370E"/>
    <w:rPr>
      <w:rFonts w:ascii="Calibri" w:eastAsia="SimSun" w:hAnsi="Calibri" w:cs="Times New Roman"/>
    </w:rPr>
  </w:style>
  <w:style w:type="paragraph" w:customStyle="1" w:styleId="NoSpacing1">
    <w:name w:val="No Spacing1"/>
    <w:rsid w:val="00DC598B"/>
    <w:pPr>
      <w:spacing w:after="0" w:line="240" w:lineRule="auto"/>
    </w:pPr>
    <w:rPr>
      <w:rFonts w:ascii="Calibri" w:eastAsia="Times New Roman" w:hAnsi="Calibri" w:cs="Times New Roman"/>
      <w:sz w:val="20"/>
      <w:lang w:val="en-US" w:eastAsia="ru-RU"/>
    </w:rPr>
  </w:style>
  <w:style w:type="character" w:customStyle="1" w:styleId="apple-converted-space">
    <w:name w:val="apple-converted-space"/>
    <w:basedOn w:val="DefaultParagraphFont"/>
    <w:rsid w:val="00894B64"/>
  </w:style>
  <w:style w:type="character" w:customStyle="1" w:styleId="object">
    <w:name w:val="object"/>
    <w:basedOn w:val="DefaultParagraphFont"/>
    <w:rsid w:val="005F59CB"/>
  </w:style>
</w:styles>
</file>

<file path=word/webSettings.xml><?xml version="1.0" encoding="utf-8"?>
<w:webSettings xmlns:r="http://schemas.openxmlformats.org/officeDocument/2006/relationships" xmlns:w="http://schemas.openxmlformats.org/wordprocessingml/2006/main">
  <w:divs>
    <w:div w:id="91517893">
      <w:bodyDiv w:val="1"/>
      <w:marLeft w:val="0"/>
      <w:marRight w:val="0"/>
      <w:marTop w:val="0"/>
      <w:marBottom w:val="0"/>
      <w:divBdr>
        <w:top w:val="none" w:sz="0" w:space="0" w:color="auto"/>
        <w:left w:val="none" w:sz="0" w:space="0" w:color="auto"/>
        <w:bottom w:val="none" w:sz="0" w:space="0" w:color="auto"/>
        <w:right w:val="none" w:sz="0" w:space="0" w:color="auto"/>
      </w:divBdr>
    </w:div>
    <w:div w:id="312833726">
      <w:bodyDiv w:val="1"/>
      <w:marLeft w:val="0"/>
      <w:marRight w:val="0"/>
      <w:marTop w:val="0"/>
      <w:marBottom w:val="0"/>
      <w:divBdr>
        <w:top w:val="none" w:sz="0" w:space="0" w:color="auto"/>
        <w:left w:val="none" w:sz="0" w:space="0" w:color="auto"/>
        <w:bottom w:val="none" w:sz="0" w:space="0" w:color="auto"/>
        <w:right w:val="none" w:sz="0" w:space="0" w:color="auto"/>
      </w:divBdr>
    </w:div>
    <w:div w:id="408888192">
      <w:bodyDiv w:val="1"/>
      <w:marLeft w:val="0"/>
      <w:marRight w:val="0"/>
      <w:marTop w:val="0"/>
      <w:marBottom w:val="0"/>
      <w:divBdr>
        <w:top w:val="none" w:sz="0" w:space="0" w:color="auto"/>
        <w:left w:val="none" w:sz="0" w:space="0" w:color="auto"/>
        <w:bottom w:val="none" w:sz="0" w:space="0" w:color="auto"/>
        <w:right w:val="none" w:sz="0" w:space="0" w:color="auto"/>
      </w:divBdr>
    </w:div>
    <w:div w:id="637222641">
      <w:bodyDiv w:val="1"/>
      <w:marLeft w:val="0"/>
      <w:marRight w:val="0"/>
      <w:marTop w:val="0"/>
      <w:marBottom w:val="0"/>
      <w:divBdr>
        <w:top w:val="none" w:sz="0" w:space="0" w:color="auto"/>
        <w:left w:val="none" w:sz="0" w:space="0" w:color="auto"/>
        <w:bottom w:val="none" w:sz="0" w:space="0" w:color="auto"/>
        <w:right w:val="none" w:sz="0" w:space="0" w:color="auto"/>
      </w:divBdr>
    </w:div>
    <w:div w:id="653073038">
      <w:bodyDiv w:val="1"/>
      <w:marLeft w:val="0"/>
      <w:marRight w:val="0"/>
      <w:marTop w:val="0"/>
      <w:marBottom w:val="0"/>
      <w:divBdr>
        <w:top w:val="none" w:sz="0" w:space="0" w:color="auto"/>
        <w:left w:val="none" w:sz="0" w:space="0" w:color="auto"/>
        <w:bottom w:val="none" w:sz="0" w:space="0" w:color="auto"/>
        <w:right w:val="none" w:sz="0" w:space="0" w:color="auto"/>
      </w:divBdr>
    </w:div>
    <w:div w:id="677778628">
      <w:bodyDiv w:val="1"/>
      <w:marLeft w:val="0"/>
      <w:marRight w:val="0"/>
      <w:marTop w:val="0"/>
      <w:marBottom w:val="0"/>
      <w:divBdr>
        <w:top w:val="none" w:sz="0" w:space="0" w:color="auto"/>
        <w:left w:val="none" w:sz="0" w:space="0" w:color="auto"/>
        <w:bottom w:val="none" w:sz="0" w:space="0" w:color="auto"/>
        <w:right w:val="none" w:sz="0" w:space="0" w:color="auto"/>
      </w:divBdr>
    </w:div>
    <w:div w:id="811365613">
      <w:bodyDiv w:val="1"/>
      <w:marLeft w:val="0"/>
      <w:marRight w:val="0"/>
      <w:marTop w:val="0"/>
      <w:marBottom w:val="0"/>
      <w:divBdr>
        <w:top w:val="none" w:sz="0" w:space="0" w:color="auto"/>
        <w:left w:val="none" w:sz="0" w:space="0" w:color="auto"/>
        <w:bottom w:val="none" w:sz="0" w:space="0" w:color="auto"/>
        <w:right w:val="none" w:sz="0" w:space="0" w:color="auto"/>
      </w:divBdr>
    </w:div>
    <w:div w:id="897715591">
      <w:bodyDiv w:val="1"/>
      <w:marLeft w:val="0"/>
      <w:marRight w:val="0"/>
      <w:marTop w:val="0"/>
      <w:marBottom w:val="0"/>
      <w:divBdr>
        <w:top w:val="none" w:sz="0" w:space="0" w:color="auto"/>
        <w:left w:val="none" w:sz="0" w:space="0" w:color="auto"/>
        <w:bottom w:val="none" w:sz="0" w:space="0" w:color="auto"/>
        <w:right w:val="none" w:sz="0" w:space="0" w:color="auto"/>
      </w:divBdr>
    </w:div>
    <w:div w:id="1070812088">
      <w:bodyDiv w:val="1"/>
      <w:marLeft w:val="0"/>
      <w:marRight w:val="0"/>
      <w:marTop w:val="0"/>
      <w:marBottom w:val="0"/>
      <w:divBdr>
        <w:top w:val="none" w:sz="0" w:space="0" w:color="auto"/>
        <w:left w:val="none" w:sz="0" w:space="0" w:color="auto"/>
        <w:bottom w:val="none" w:sz="0" w:space="0" w:color="auto"/>
        <w:right w:val="none" w:sz="0" w:space="0" w:color="auto"/>
      </w:divBdr>
    </w:div>
    <w:div w:id="1168599321">
      <w:bodyDiv w:val="1"/>
      <w:marLeft w:val="0"/>
      <w:marRight w:val="0"/>
      <w:marTop w:val="0"/>
      <w:marBottom w:val="0"/>
      <w:divBdr>
        <w:top w:val="none" w:sz="0" w:space="0" w:color="auto"/>
        <w:left w:val="none" w:sz="0" w:space="0" w:color="auto"/>
        <w:bottom w:val="none" w:sz="0" w:space="0" w:color="auto"/>
        <w:right w:val="none" w:sz="0" w:space="0" w:color="auto"/>
      </w:divBdr>
    </w:div>
    <w:div w:id="1271157103">
      <w:bodyDiv w:val="1"/>
      <w:marLeft w:val="0"/>
      <w:marRight w:val="0"/>
      <w:marTop w:val="0"/>
      <w:marBottom w:val="0"/>
      <w:divBdr>
        <w:top w:val="none" w:sz="0" w:space="0" w:color="auto"/>
        <w:left w:val="none" w:sz="0" w:space="0" w:color="auto"/>
        <w:bottom w:val="none" w:sz="0" w:space="0" w:color="auto"/>
        <w:right w:val="none" w:sz="0" w:space="0" w:color="auto"/>
      </w:divBdr>
    </w:div>
    <w:div w:id="1324435391">
      <w:bodyDiv w:val="1"/>
      <w:marLeft w:val="0"/>
      <w:marRight w:val="0"/>
      <w:marTop w:val="0"/>
      <w:marBottom w:val="0"/>
      <w:divBdr>
        <w:top w:val="none" w:sz="0" w:space="0" w:color="auto"/>
        <w:left w:val="none" w:sz="0" w:space="0" w:color="auto"/>
        <w:bottom w:val="none" w:sz="0" w:space="0" w:color="auto"/>
        <w:right w:val="none" w:sz="0" w:space="0" w:color="auto"/>
      </w:divBdr>
    </w:div>
    <w:div w:id="1324820507">
      <w:bodyDiv w:val="1"/>
      <w:marLeft w:val="0"/>
      <w:marRight w:val="0"/>
      <w:marTop w:val="0"/>
      <w:marBottom w:val="0"/>
      <w:divBdr>
        <w:top w:val="none" w:sz="0" w:space="0" w:color="auto"/>
        <w:left w:val="none" w:sz="0" w:space="0" w:color="auto"/>
        <w:bottom w:val="none" w:sz="0" w:space="0" w:color="auto"/>
        <w:right w:val="none" w:sz="0" w:space="0" w:color="auto"/>
      </w:divBdr>
    </w:div>
    <w:div w:id="1337657696">
      <w:bodyDiv w:val="1"/>
      <w:marLeft w:val="0"/>
      <w:marRight w:val="0"/>
      <w:marTop w:val="0"/>
      <w:marBottom w:val="0"/>
      <w:divBdr>
        <w:top w:val="none" w:sz="0" w:space="0" w:color="auto"/>
        <w:left w:val="none" w:sz="0" w:space="0" w:color="auto"/>
        <w:bottom w:val="none" w:sz="0" w:space="0" w:color="auto"/>
        <w:right w:val="none" w:sz="0" w:space="0" w:color="auto"/>
      </w:divBdr>
    </w:div>
    <w:div w:id="1450707745">
      <w:bodyDiv w:val="1"/>
      <w:marLeft w:val="0"/>
      <w:marRight w:val="0"/>
      <w:marTop w:val="0"/>
      <w:marBottom w:val="0"/>
      <w:divBdr>
        <w:top w:val="none" w:sz="0" w:space="0" w:color="auto"/>
        <w:left w:val="none" w:sz="0" w:space="0" w:color="auto"/>
        <w:bottom w:val="none" w:sz="0" w:space="0" w:color="auto"/>
        <w:right w:val="none" w:sz="0" w:space="0" w:color="auto"/>
      </w:divBdr>
    </w:div>
    <w:div w:id="1457063176">
      <w:bodyDiv w:val="1"/>
      <w:marLeft w:val="0"/>
      <w:marRight w:val="0"/>
      <w:marTop w:val="0"/>
      <w:marBottom w:val="0"/>
      <w:divBdr>
        <w:top w:val="none" w:sz="0" w:space="0" w:color="auto"/>
        <w:left w:val="none" w:sz="0" w:space="0" w:color="auto"/>
        <w:bottom w:val="none" w:sz="0" w:space="0" w:color="auto"/>
        <w:right w:val="none" w:sz="0" w:space="0" w:color="auto"/>
      </w:divBdr>
    </w:div>
    <w:div w:id="1494756222">
      <w:bodyDiv w:val="1"/>
      <w:marLeft w:val="0"/>
      <w:marRight w:val="0"/>
      <w:marTop w:val="0"/>
      <w:marBottom w:val="0"/>
      <w:divBdr>
        <w:top w:val="none" w:sz="0" w:space="0" w:color="auto"/>
        <w:left w:val="none" w:sz="0" w:space="0" w:color="auto"/>
        <w:bottom w:val="none" w:sz="0" w:space="0" w:color="auto"/>
        <w:right w:val="none" w:sz="0" w:space="0" w:color="auto"/>
      </w:divBdr>
    </w:div>
    <w:div w:id="1508669377">
      <w:bodyDiv w:val="1"/>
      <w:marLeft w:val="0"/>
      <w:marRight w:val="0"/>
      <w:marTop w:val="0"/>
      <w:marBottom w:val="0"/>
      <w:divBdr>
        <w:top w:val="none" w:sz="0" w:space="0" w:color="auto"/>
        <w:left w:val="none" w:sz="0" w:space="0" w:color="auto"/>
        <w:bottom w:val="none" w:sz="0" w:space="0" w:color="auto"/>
        <w:right w:val="none" w:sz="0" w:space="0" w:color="auto"/>
      </w:divBdr>
    </w:div>
    <w:div w:id="1575120783">
      <w:bodyDiv w:val="1"/>
      <w:marLeft w:val="0"/>
      <w:marRight w:val="0"/>
      <w:marTop w:val="0"/>
      <w:marBottom w:val="0"/>
      <w:divBdr>
        <w:top w:val="none" w:sz="0" w:space="0" w:color="auto"/>
        <w:left w:val="none" w:sz="0" w:space="0" w:color="auto"/>
        <w:bottom w:val="none" w:sz="0" w:space="0" w:color="auto"/>
        <w:right w:val="none" w:sz="0" w:space="0" w:color="auto"/>
      </w:divBdr>
    </w:div>
    <w:div w:id="1596281519">
      <w:bodyDiv w:val="1"/>
      <w:marLeft w:val="0"/>
      <w:marRight w:val="0"/>
      <w:marTop w:val="0"/>
      <w:marBottom w:val="0"/>
      <w:divBdr>
        <w:top w:val="none" w:sz="0" w:space="0" w:color="auto"/>
        <w:left w:val="none" w:sz="0" w:space="0" w:color="auto"/>
        <w:bottom w:val="none" w:sz="0" w:space="0" w:color="auto"/>
        <w:right w:val="none" w:sz="0" w:space="0" w:color="auto"/>
      </w:divBdr>
    </w:div>
    <w:div w:id="1749302562">
      <w:bodyDiv w:val="1"/>
      <w:marLeft w:val="0"/>
      <w:marRight w:val="0"/>
      <w:marTop w:val="0"/>
      <w:marBottom w:val="0"/>
      <w:divBdr>
        <w:top w:val="none" w:sz="0" w:space="0" w:color="auto"/>
        <w:left w:val="none" w:sz="0" w:space="0" w:color="auto"/>
        <w:bottom w:val="none" w:sz="0" w:space="0" w:color="auto"/>
        <w:right w:val="none" w:sz="0" w:space="0" w:color="auto"/>
      </w:divBdr>
    </w:div>
    <w:div w:id="1752460366">
      <w:bodyDiv w:val="1"/>
      <w:marLeft w:val="0"/>
      <w:marRight w:val="0"/>
      <w:marTop w:val="0"/>
      <w:marBottom w:val="0"/>
      <w:divBdr>
        <w:top w:val="none" w:sz="0" w:space="0" w:color="auto"/>
        <w:left w:val="none" w:sz="0" w:space="0" w:color="auto"/>
        <w:bottom w:val="none" w:sz="0" w:space="0" w:color="auto"/>
        <w:right w:val="none" w:sz="0" w:space="0" w:color="auto"/>
      </w:divBdr>
    </w:div>
    <w:div w:id="1810172179">
      <w:bodyDiv w:val="1"/>
      <w:marLeft w:val="0"/>
      <w:marRight w:val="0"/>
      <w:marTop w:val="0"/>
      <w:marBottom w:val="0"/>
      <w:divBdr>
        <w:top w:val="none" w:sz="0" w:space="0" w:color="auto"/>
        <w:left w:val="none" w:sz="0" w:space="0" w:color="auto"/>
        <w:bottom w:val="none" w:sz="0" w:space="0" w:color="auto"/>
        <w:right w:val="none" w:sz="0" w:space="0" w:color="auto"/>
      </w:divBdr>
    </w:div>
    <w:div w:id="1828475900">
      <w:bodyDiv w:val="1"/>
      <w:marLeft w:val="0"/>
      <w:marRight w:val="0"/>
      <w:marTop w:val="0"/>
      <w:marBottom w:val="0"/>
      <w:divBdr>
        <w:top w:val="none" w:sz="0" w:space="0" w:color="auto"/>
        <w:left w:val="none" w:sz="0" w:space="0" w:color="auto"/>
        <w:bottom w:val="none" w:sz="0" w:space="0" w:color="auto"/>
        <w:right w:val="none" w:sz="0" w:space="0" w:color="auto"/>
      </w:divBdr>
    </w:div>
    <w:div w:id="1999721706">
      <w:bodyDiv w:val="1"/>
      <w:marLeft w:val="0"/>
      <w:marRight w:val="0"/>
      <w:marTop w:val="0"/>
      <w:marBottom w:val="0"/>
      <w:divBdr>
        <w:top w:val="none" w:sz="0" w:space="0" w:color="auto"/>
        <w:left w:val="none" w:sz="0" w:space="0" w:color="auto"/>
        <w:bottom w:val="none" w:sz="0" w:space="0" w:color="auto"/>
        <w:right w:val="none" w:sz="0" w:space="0" w:color="auto"/>
      </w:divBdr>
    </w:div>
    <w:div w:id="2054766076">
      <w:bodyDiv w:val="1"/>
      <w:marLeft w:val="0"/>
      <w:marRight w:val="0"/>
      <w:marTop w:val="0"/>
      <w:marBottom w:val="0"/>
      <w:divBdr>
        <w:top w:val="none" w:sz="0" w:space="0" w:color="auto"/>
        <w:left w:val="none" w:sz="0" w:space="0" w:color="auto"/>
        <w:bottom w:val="none" w:sz="0" w:space="0" w:color="auto"/>
        <w:right w:val="none" w:sz="0" w:space="0" w:color="auto"/>
      </w:divBdr>
    </w:div>
    <w:div w:id="20710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22F1-C19F-4BEA-8C64-572221BFFACD}">
  <ds:schemaRefs>
    <ds:schemaRef ds:uri="http://schemas.openxmlformats.org/officeDocument/2006/bibliography"/>
  </ds:schemaRefs>
</ds:datastoreItem>
</file>

<file path=customXml/itemProps2.xml><?xml version="1.0" encoding="utf-8"?>
<ds:datastoreItem xmlns:ds="http://schemas.openxmlformats.org/officeDocument/2006/customXml" ds:itemID="{D7FF3BCB-E6A8-4032-AA56-2ED3533F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2306</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Anton.Lungu</dc:creator>
  <cp:lastModifiedBy>DGIE</cp:lastModifiedBy>
  <cp:revision>3</cp:revision>
  <dcterms:created xsi:type="dcterms:W3CDTF">2016-10-11T12:56:00Z</dcterms:created>
  <dcterms:modified xsi:type="dcterms:W3CDTF">2016-10-11T12:57:00Z</dcterms:modified>
</cp:coreProperties>
</file>