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2C8" w:rsidRPr="00545238" w:rsidRDefault="00881D15" w:rsidP="000152C8">
      <w:pPr>
        <w:jc w:val="center"/>
        <w:rPr>
          <w:b/>
        </w:rPr>
      </w:pPr>
      <w:bookmarkStart w:id="0" w:name="_GoBack"/>
      <w:bookmarkEnd w:id="0"/>
      <w:r>
        <w:rPr>
          <w:b/>
        </w:rPr>
        <w:t>LISTA</w:t>
      </w:r>
      <w:r w:rsidR="000152C8" w:rsidRPr="00545238">
        <w:rPr>
          <w:b/>
        </w:rPr>
        <w:t xml:space="preserve"> DIVERGENŢE</w:t>
      </w:r>
      <w:r w:rsidR="0006268B">
        <w:rPr>
          <w:b/>
        </w:rPr>
        <w:t>LOR</w:t>
      </w:r>
    </w:p>
    <w:p w:rsidR="00347C66" w:rsidRPr="00545238" w:rsidRDefault="000152C8" w:rsidP="008756A1">
      <w:pPr>
        <w:widowControl w:val="0"/>
        <w:shd w:val="clear" w:color="auto" w:fill="FFFFFF"/>
        <w:autoSpaceDE w:val="0"/>
        <w:autoSpaceDN w:val="0"/>
        <w:adjustRightInd w:val="0"/>
        <w:jc w:val="center"/>
        <w:rPr>
          <w:b/>
        </w:rPr>
      </w:pPr>
      <w:r w:rsidRPr="00545238">
        <w:rPr>
          <w:b/>
        </w:rPr>
        <w:t xml:space="preserve">asupra obiecţiilor şi propunerilor la </w:t>
      </w:r>
      <w:r w:rsidR="00A17EC4" w:rsidRPr="00545238">
        <w:rPr>
          <w:b/>
        </w:rPr>
        <w:t xml:space="preserve">proiectul </w:t>
      </w:r>
      <w:proofErr w:type="spellStart"/>
      <w:r w:rsidR="008756A1" w:rsidRPr="005466A3">
        <w:rPr>
          <w:b/>
        </w:rPr>
        <w:t>Hotărîrii</w:t>
      </w:r>
      <w:proofErr w:type="spellEnd"/>
      <w:r w:rsidR="008756A1" w:rsidRPr="005466A3">
        <w:rPr>
          <w:b/>
        </w:rPr>
        <w:t xml:space="preserve"> Guvernului </w:t>
      </w:r>
      <w:r w:rsidR="00F93039">
        <w:rPr>
          <w:b/>
        </w:rPr>
        <w:t>cu privire la reglementarea utilizării în condiții de izolare a micro</w:t>
      </w:r>
      <w:r w:rsidR="00D966CA">
        <w:rPr>
          <w:b/>
        </w:rPr>
        <w:t>organismelor modificate genetic</w:t>
      </w:r>
    </w:p>
    <w:tbl>
      <w:tblPr>
        <w:tblW w:w="144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045"/>
        <w:gridCol w:w="7548"/>
        <w:gridCol w:w="4337"/>
      </w:tblGrid>
      <w:tr w:rsidR="00845482" w:rsidRPr="00545238" w:rsidTr="009F4C1F">
        <w:tc>
          <w:tcPr>
            <w:tcW w:w="530" w:type="dxa"/>
          </w:tcPr>
          <w:p w:rsidR="00845482" w:rsidRPr="00545238" w:rsidRDefault="003062F8" w:rsidP="00077814">
            <w:pPr>
              <w:jc w:val="center"/>
            </w:pPr>
            <w:r w:rsidRPr="00545238">
              <w:rPr>
                <w:b/>
              </w:rPr>
              <w:t>Nr d/r</w:t>
            </w:r>
          </w:p>
        </w:tc>
        <w:tc>
          <w:tcPr>
            <w:tcW w:w="2045" w:type="dxa"/>
          </w:tcPr>
          <w:p w:rsidR="00845482" w:rsidRPr="00545238" w:rsidRDefault="003062F8" w:rsidP="00545238">
            <w:pPr>
              <w:jc w:val="center"/>
            </w:pPr>
            <w:r w:rsidRPr="00545238">
              <w:rPr>
                <w:b/>
              </w:rPr>
              <w:t>Denumirea autorităţii</w:t>
            </w:r>
          </w:p>
        </w:tc>
        <w:tc>
          <w:tcPr>
            <w:tcW w:w="7548" w:type="dxa"/>
          </w:tcPr>
          <w:p w:rsidR="00845482" w:rsidRPr="00545238" w:rsidRDefault="003062F8" w:rsidP="00545238">
            <w:pPr>
              <w:jc w:val="center"/>
            </w:pPr>
            <w:r w:rsidRPr="00545238">
              <w:rPr>
                <w:b/>
              </w:rPr>
              <w:t>Propuneri</w:t>
            </w:r>
            <w:r w:rsidR="005F4DBB">
              <w:rPr>
                <w:b/>
              </w:rPr>
              <w:t>le</w:t>
            </w:r>
            <w:r w:rsidRPr="00545238">
              <w:rPr>
                <w:b/>
              </w:rPr>
              <w:t xml:space="preserve"> şi obiecţii</w:t>
            </w:r>
            <w:r w:rsidR="005F4DBB">
              <w:rPr>
                <w:b/>
              </w:rPr>
              <w:t>le</w:t>
            </w:r>
            <w:r w:rsidRPr="00545238">
              <w:rPr>
                <w:b/>
              </w:rPr>
              <w:t xml:space="preserve"> înaintate</w:t>
            </w:r>
          </w:p>
        </w:tc>
        <w:tc>
          <w:tcPr>
            <w:tcW w:w="4337" w:type="dxa"/>
          </w:tcPr>
          <w:p w:rsidR="00845482" w:rsidRPr="00545238" w:rsidRDefault="003062F8" w:rsidP="00545238">
            <w:pPr>
              <w:jc w:val="center"/>
            </w:pPr>
            <w:r w:rsidRPr="00545238">
              <w:rPr>
                <w:b/>
              </w:rPr>
              <w:t>Expunere de motive (soluţii)</w:t>
            </w:r>
          </w:p>
        </w:tc>
      </w:tr>
      <w:tr w:rsidR="00845482" w:rsidRPr="00545238" w:rsidTr="009F4C1F">
        <w:tc>
          <w:tcPr>
            <w:tcW w:w="530" w:type="dxa"/>
          </w:tcPr>
          <w:p w:rsidR="00845482" w:rsidRPr="00545238" w:rsidRDefault="005965D1" w:rsidP="00077814">
            <w:pPr>
              <w:jc w:val="center"/>
            </w:pPr>
            <w:r>
              <w:t>1.</w:t>
            </w:r>
          </w:p>
        </w:tc>
        <w:tc>
          <w:tcPr>
            <w:tcW w:w="2045" w:type="dxa"/>
          </w:tcPr>
          <w:p w:rsidR="00F93039" w:rsidRDefault="00F93039" w:rsidP="005965D1">
            <w:r>
              <w:t xml:space="preserve">Ministerul Afacerilor Externe și Integrării Europene </w:t>
            </w:r>
          </w:p>
          <w:p w:rsidR="00F93039" w:rsidRPr="00F93039" w:rsidRDefault="00F93039" w:rsidP="00F93039">
            <w:pPr>
              <w:rPr>
                <w:b/>
                <w:sz w:val="20"/>
                <w:szCs w:val="20"/>
              </w:rPr>
            </w:pPr>
            <w:r>
              <w:rPr>
                <w:b/>
                <w:sz w:val="20"/>
                <w:szCs w:val="20"/>
              </w:rPr>
              <w:t>(</w:t>
            </w:r>
            <w:proofErr w:type="spellStart"/>
            <w:r>
              <w:rPr>
                <w:b/>
                <w:sz w:val="20"/>
                <w:szCs w:val="20"/>
              </w:rPr>
              <w:t>nr.DI</w:t>
            </w:r>
            <w:proofErr w:type="spellEnd"/>
            <w:r>
              <w:rPr>
                <w:b/>
                <w:sz w:val="20"/>
                <w:szCs w:val="20"/>
              </w:rPr>
              <w:t>/</w:t>
            </w:r>
            <w:r w:rsidRPr="00F93039">
              <w:rPr>
                <w:b/>
                <w:sz w:val="20"/>
                <w:szCs w:val="20"/>
              </w:rPr>
              <w:t xml:space="preserve">3/041.1-6842)  </w:t>
            </w:r>
          </w:p>
          <w:p w:rsidR="00F93039" w:rsidRDefault="00F93039" w:rsidP="00F93039">
            <w:pPr>
              <w:rPr>
                <w:b/>
              </w:rPr>
            </w:pPr>
            <w:r>
              <w:rPr>
                <w:b/>
              </w:rPr>
              <w:t>din 02.06.2016</w:t>
            </w:r>
          </w:p>
          <w:p w:rsidR="00881D15" w:rsidRPr="00DF0676" w:rsidRDefault="00881D15" w:rsidP="005965D1"/>
        </w:tc>
        <w:tc>
          <w:tcPr>
            <w:tcW w:w="7548" w:type="dxa"/>
          </w:tcPr>
          <w:p w:rsidR="00881D15" w:rsidRPr="00DF0676" w:rsidRDefault="004D250B" w:rsidP="004D250B">
            <w:pPr>
              <w:jc w:val="both"/>
            </w:pPr>
            <w:r>
              <w:t xml:space="preserve">Solicită de remis repetat proiectul </w:t>
            </w:r>
            <w:proofErr w:type="spellStart"/>
            <w:r>
              <w:t>hotărîrii</w:t>
            </w:r>
            <w:proofErr w:type="spellEnd"/>
            <w:r>
              <w:t xml:space="preserve"> însoțit de tabelul de concordanță</w:t>
            </w:r>
          </w:p>
        </w:tc>
        <w:tc>
          <w:tcPr>
            <w:tcW w:w="4337" w:type="dxa"/>
          </w:tcPr>
          <w:p w:rsidR="00951CF6" w:rsidRDefault="00951CF6" w:rsidP="00881D15">
            <w:pPr>
              <w:jc w:val="both"/>
            </w:pPr>
          </w:p>
          <w:p w:rsidR="00951CF6" w:rsidRDefault="00951CF6" w:rsidP="00881D15">
            <w:pPr>
              <w:jc w:val="both"/>
            </w:pPr>
          </w:p>
          <w:p w:rsidR="00881D15" w:rsidRPr="00545238" w:rsidRDefault="00881D15" w:rsidP="005F4DBB"/>
        </w:tc>
      </w:tr>
      <w:tr w:rsidR="005965D1" w:rsidRPr="00545238" w:rsidTr="009F4C1F">
        <w:tc>
          <w:tcPr>
            <w:tcW w:w="530" w:type="dxa"/>
          </w:tcPr>
          <w:p w:rsidR="005965D1" w:rsidRPr="00545238" w:rsidRDefault="005965D1" w:rsidP="00077814">
            <w:pPr>
              <w:jc w:val="center"/>
            </w:pPr>
            <w:r>
              <w:t>2.</w:t>
            </w:r>
          </w:p>
        </w:tc>
        <w:tc>
          <w:tcPr>
            <w:tcW w:w="2045" w:type="dxa"/>
          </w:tcPr>
          <w:p w:rsidR="005965D1" w:rsidRDefault="004018E6" w:rsidP="005965D1">
            <w:r>
              <w:rPr>
                <w:b/>
              </w:rPr>
              <w:t>Ministerul Economiei</w:t>
            </w:r>
          </w:p>
        </w:tc>
        <w:tc>
          <w:tcPr>
            <w:tcW w:w="7548" w:type="dxa"/>
          </w:tcPr>
          <w:p w:rsidR="005965D1" w:rsidRDefault="00D90D41" w:rsidP="00881D15">
            <w:pPr>
              <w:jc w:val="both"/>
            </w:pPr>
            <w:r>
              <w:t xml:space="preserve">Structura și conținutul proiectului </w:t>
            </w:r>
            <w:proofErr w:type="spellStart"/>
            <w:r>
              <w:t>hotărîrii</w:t>
            </w:r>
            <w:proofErr w:type="spellEnd"/>
            <w:r>
              <w:t xml:space="preserve"> nu este în conformita</w:t>
            </w:r>
            <w:r w:rsidR="00EC2698">
              <w:t xml:space="preserve">te cu prevederile art. 37 al Legii nr. 317-XV din 18.07.2003 privind actele normative ale Guvernului și ale altor autorități ale administrației publice centrale și locale </w:t>
            </w:r>
          </w:p>
          <w:p w:rsidR="00EC2698" w:rsidRDefault="00EC2698" w:rsidP="00881D15">
            <w:pPr>
              <w:jc w:val="both"/>
            </w:pPr>
          </w:p>
          <w:p w:rsidR="00EC2698" w:rsidRDefault="00EC2698" w:rsidP="00881D15">
            <w:pPr>
              <w:jc w:val="both"/>
            </w:pPr>
            <w:r>
              <w:t>Denumirea în titlu proiectului, în partea dispozitivă a HG și titlul din anexa la HG urmează a fi unificată</w:t>
            </w:r>
            <w:r w:rsidR="008C50A0">
              <w:t>.</w:t>
            </w:r>
          </w:p>
          <w:p w:rsidR="00BF0EE1" w:rsidRDefault="00BF0EE1" w:rsidP="00881D15">
            <w:pPr>
              <w:jc w:val="both"/>
            </w:pPr>
          </w:p>
          <w:p w:rsidR="006202F7" w:rsidRDefault="006202F7" w:rsidP="00BF0EE1">
            <w:pPr>
              <w:jc w:val="both"/>
            </w:pPr>
          </w:p>
          <w:p w:rsidR="006202F7" w:rsidRDefault="006202F7" w:rsidP="00BF0EE1">
            <w:pPr>
              <w:jc w:val="both"/>
            </w:pPr>
          </w:p>
          <w:p w:rsidR="00BF0EE1" w:rsidRDefault="00BF0EE1" w:rsidP="00BF0EE1">
            <w:pPr>
              <w:jc w:val="both"/>
            </w:pPr>
            <w:r>
              <w:t>Excluderea de la contrasemnarea proiectului a Viceprim-ministrului, Ministrul Economiei și Ministrul Justiției e una judicioasă</w:t>
            </w:r>
            <w:r w:rsidR="008C50A0">
              <w:t>.</w:t>
            </w:r>
          </w:p>
          <w:p w:rsidR="00EC2698" w:rsidRDefault="00EC2698" w:rsidP="00881D15">
            <w:pPr>
              <w:jc w:val="both"/>
            </w:pPr>
          </w:p>
          <w:p w:rsidR="00EC2698" w:rsidRDefault="00EC2698" w:rsidP="00EC2698">
            <w:pPr>
              <w:jc w:val="both"/>
            </w:pPr>
            <w:r>
              <w:t xml:space="preserve">La pct. 9,13, 15 și la Capitolul VI atribuțiile Comisiei Naționale pentru Securitate Biologică nu </w:t>
            </w:r>
            <w:proofErr w:type="spellStart"/>
            <w:r>
              <w:t>sînt</w:t>
            </w:r>
            <w:proofErr w:type="spellEnd"/>
            <w:r>
              <w:t xml:space="preserve"> corelate cu atribuțiile prevăzute de HG nr. 603 din 20.05.2003 cu privire la Comisia Naționa</w:t>
            </w:r>
            <w:r w:rsidR="00BF0EE1">
              <w:t>lă pentru Securitatea Biologică</w:t>
            </w:r>
            <w:r w:rsidR="008C50A0">
              <w:t>.</w:t>
            </w:r>
          </w:p>
          <w:p w:rsidR="00EC2698" w:rsidRDefault="00EC2698" w:rsidP="00EC2698">
            <w:pPr>
              <w:jc w:val="both"/>
            </w:pPr>
          </w:p>
          <w:p w:rsidR="00AB3ABE" w:rsidRDefault="00AB3ABE" w:rsidP="00EC2698">
            <w:pPr>
              <w:jc w:val="both"/>
            </w:pPr>
          </w:p>
          <w:p w:rsidR="00EC2698" w:rsidRDefault="00EC2698" w:rsidP="00EC2698">
            <w:pPr>
              <w:jc w:val="both"/>
            </w:pPr>
            <w:r>
              <w:t xml:space="preserve">Atribuțiile autorităților implicate în asigurarea protecției utilizării în condiții de izolare </w:t>
            </w:r>
            <w:proofErr w:type="spellStart"/>
            <w:r>
              <w:t>MMG-urilor</w:t>
            </w:r>
            <w:proofErr w:type="spellEnd"/>
            <w:r>
              <w:t xml:space="preserve"> trebuie stabilite foarte clar pentru fiecare autorit</w:t>
            </w:r>
            <w:r w:rsidR="00BF0EE1">
              <w:t>ate împarte</w:t>
            </w:r>
            <w:r w:rsidR="008C50A0">
              <w:t>.</w:t>
            </w:r>
          </w:p>
          <w:p w:rsidR="00EC2698" w:rsidRDefault="00EC2698" w:rsidP="00EC2698">
            <w:pPr>
              <w:jc w:val="both"/>
            </w:pPr>
          </w:p>
          <w:p w:rsidR="00EC2698" w:rsidRDefault="00BF0EE1" w:rsidP="00EC2698">
            <w:pPr>
              <w:jc w:val="both"/>
            </w:pPr>
            <w:r>
              <w:t>La pct. 40 denumirea ”organul central de specialitate în domeniul protecției mediului” și ”organul central de specialitate în domeniul sănătății” trebuie stabilite expres</w:t>
            </w:r>
            <w:r w:rsidR="008D5060">
              <w:t>.</w:t>
            </w:r>
          </w:p>
          <w:p w:rsidR="00BF0EE1" w:rsidRDefault="00BF0EE1" w:rsidP="00EC2698">
            <w:pPr>
              <w:jc w:val="both"/>
            </w:pPr>
          </w:p>
          <w:p w:rsidR="00BF0EE1" w:rsidRDefault="00BF0EE1" w:rsidP="00BF0EE1">
            <w:pPr>
              <w:jc w:val="both"/>
            </w:pPr>
            <w:r>
              <w:lastRenderedPageBreak/>
              <w:t>Proiectul necesită a fi expertizat de către Centrului de Armonizare a Legislației în conformitate cu HG nr. 190 din 21.02.2007 privind crearea Centrului de Armonizare a Legislației;</w:t>
            </w:r>
          </w:p>
        </w:tc>
        <w:tc>
          <w:tcPr>
            <w:tcW w:w="4337" w:type="dxa"/>
          </w:tcPr>
          <w:p w:rsidR="005965D1" w:rsidRPr="00D966CA" w:rsidRDefault="00D966CA" w:rsidP="005F4DBB">
            <w:r w:rsidRPr="00D966CA">
              <w:lastRenderedPageBreak/>
              <w:t>Se acceptă, au fost efectuate unele redactări.</w:t>
            </w:r>
          </w:p>
          <w:p w:rsidR="00D966CA" w:rsidRPr="00D966CA" w:rsidRDefault="00D966CA" w:rsidP="005F4DBB"/>
          <w:p w:rsidR="00D966CA" w:rsidRPr="00D966CA" w:rsidRDefault="00D966CA" w:rsidP="005F4DBB"/>
          <w:p w:rsidR="00D966CA" w:rsidRPr="00D966CA" w:rsidRDefault="00D966CA" w:rsidP="005F4DBB"/>
          <w:p w:rsidR="00D966CA" w:rsidRDefault="00D966CA" w:rsidP="005F4DBB">
            <w:r w:rsidRPr="00D966CA">
              <w:t>Se acceptă, titlul proiectului a fost modificat în „Cu privire la aprobarea Regulamentului privind utilizarea în condiții de izolare a microorganismelor modificate genetic</w:t>
            </w:r>
            <w:r w:rsidR="006202F7">
              <w:t>.</w:t>
            </w:r>
          </w:p>
          <w:p w:rsidR="006202F7" w:rsidRDefault="006202F7" w:rsidP="005F4DBB">
            <w:r w:rsidRPr="00D966CA">
              <w:t>Se acceptă</w:t>
            </w:r>
          </w:p>
          <w:p w:rsidR="006202F7" w:rsidRDefault="006202F7" w:rsidP="005F4DBB"/>
          <w:p w:rsidR="006202F7" w:rsidRDefault="006202F7" w:rsidP="005F4DBB"/>
          <w:p w:rsidR="006202F7" w:rsidRPr="00AB3ABE" w:rsidRDefault="008C50A0" w:rsidP="005F4DBB">
            <w:r w:rsidRPr="00AB3ABE">
              <w:t>Nu se acceptă, deoarece HG nr. 603 din 20.05.2005 urmează a fi revăzută sau abrogată conform Legii privind organismele modificate genetic, proiect de lege care a fost aprobat în ședința Guvernului.</w:t>
            </w:r>
          </w:p>
          <w:p w:rsidR="006202F7" w:rsidRPr="00AB3ABE" w:rsidRDefault="008C50A0" w:rsidP="005F4DBB">
            <w:r w:rsidRPr="00AB3ABE">
              <w:t xml:space="preserve">Se acceptă parțial, atribuțiile fiecărei autorități au fost revăzute și sunt indicate în cap. </w:t>
            </w:r>
            <w:r w:rsidR="008D5060" w:rsidRPr="00AB3ABE">
              <w:t xml:space="preserve">II </w:t>
            </w:r>
            <w:r w:rsidRPr="00AB3ABE">
              <w:t xml:space="preserve">și  </w:t>
            </w:r>
            <w:r w:rsidR="008D5060" w:rsidRPr="00AB3ABE">
              <w:t xml:space="preserve">conform </w:t>
            </w:r>
            <w:r w:rsidRPr="00AB3ABE">
              <w:t>cadrului normativ de activitate</w:t>
            </w:r>
            <w:r w:rsidR="008D5060" w:rsidRPr="00AB3ABE">
              <w:t xml:space="preserve"> în vigoare</w:t>
            </w:r>
            <w:r w:rsidRPr="00AB3ABE">
              <w:t>.</w:t>
            </w:r>
          </w:p>
          <w:p w:rsidR="006202F7" w:rsidRPr="006202F7" w:rsidRDefault="006202F7" w:rsidP="005F4DBB">
            <w:r w:rsidRPr="006202F7">
              <w:t>Se acceptă, a fost indicat „Ministerul Sănătății”.</w:t>
            </w:r>
          </w:p>
          <w:p w:rsidR="006202F7" w:rsidRPr="006202F7" w:rsidRDefault="006202F7" w:rsidP="005F4DBB"/>
          <w:p w:rsidR="006202F7" w:rsidRPr="006202F7" w:rsidRDefault="006202F7" w:rsidP="005F4DBB"/>
          <w:p w:rsidR="006202F7" w:rsidRPr="003F4B59" w:rsidRDefault="006202F7" w:rsidP="006202F7">
            <w:pPr>
              <w:rPr>
                <w:color w:val="FF0000"/>
              </w:rPr>
            </w:pPr>
            <w:r w:rsidRPr="006202F7">
              <w:lastRenderedPageBreak/>
              <w:t xml:space="preserve">Se acceptă, proiectul a fost supus </w:t>
            </w:r>
            <w:r>
              <w:t>expertizei de compatibilitate (scrisoarea Centrului de Armonizare a Legislației nr. 110/11 din 25.07.16)</w:t>
            </w:r>
          </w:p>
        </w:tc>
      </w:tr>
      <w:tr w:rsidR="00985A7D" w:rsidRPr="00545238" w:rsidTr="009F4C1F">
        <w:tc>
          <w:tcPr>
            <w:tcW w:w="530" w:type="dxa"/>
          </w:tcPr>
          <w:p w:rsidR="00301298" w:rsidRDefault="00301298" w:rsidP="00077814">
            <w:pPr>
              <w:jc w:val="center"/>
            </w:pPr>
          </w:p>
          <w:p w:rsidR="00985A7D" w:rsidRPr="00545238" w:rsidRDefault="005965D1" w:rsidP="00077814">
            <w:pPr>
              <w:jc w:val="center"/>
            </w:pPr>
            <w:r>
              <w:t>3.</w:t>
            </w:r>
          </w:p>
        </w:tc>
        <w:tc>
          <w:tcPr>
            <w:tcW w:w="2045" w:type="dxa"/>
          </w:tcPr>
          <w:p w:rsidR="00301298" w:rsidRDefault="00301298" w:rsidP="000A11FA">
            <w:pPr>
              <w:rPr>
                <w:b/>
              </w:rPr>
            </w:pPr>
          </w:p>
          <w:p w:rsidR="00985A7D" w:rsidRDefault="00985A7D" w:rsidP="000A11FA">
            <w:pPr>
              <w:rPr>
                <w:b/>
              </w:rPr>
            </w:pPr>
            <w:r>
              <w:rPr>
                <w:b/>
              </w:rPr>
              <w:t xml:space="preserve">Ministerul </w:t>
            </w:r>
            <w:r w:rsidR="000A11FA">
              <w:rPr>
                <w:b/>
              </w:rPr>
              <w:t>Mediului</w:t>
            </w:r>
          </w:p>
          <w:p w:rsidR="00581B09" w:rsidRDefault="00581B09" w:rsidP="00985A7D">
            <w:pPr>
              <w:rPr>
                <w:b/>
              </w:rPr>
            </w:pPr>
          </w:p>
          <w:p w:rsidR="00581B09" w:rsidRDefault="00581B09" w:rsidP="00985A7D">
            <w:pPr>
              <w:rPr>
                <w:b/>
              </w:rPr>
            </w:pPr>
          </w:p>
          <w:p w:rsidR="00581B09" w:rsidRDefault="00581B09" w:rsidP="00985A7D">
            <w:pPr>
              <w:rPr>
                <w:b/>
              </w:rPr>
            </w:pPr>
          </w:p>
          <w:p w:rsidR="00581B09" w:rsidRDefault="00581B09" w:rsidP="00985A7D">
            <w:pPr>
              <w:rPr>
                <w:b/>
              </w:rPr>
            </w:pPr>
          </w:p>
          <w:p w:rsidR="00581B09" w:rsidRDefault="00581B09" w:rsidP="00985A7D">
            <w:pPr>
              <w:rPr>
                <w:b/>
              </w:rPr>
            </w:pPr>
          </w:p>
          <w:p w:rsidR="00581B09" w:rsidRDefault="00581B09" w:rsidP="00985A7D">
            <w:pPr>
              <w:rPr>
                <w:b/>
              </w:rPr>
            </w:pPr>
          </w:p>
          <w:p w:rsidR="00581B09" w:rsidRDefault="00581B09" w:rsidP="00985A7D">
            <w:pPr>
              <w:rPr>
                <w:b/>
              </w:rPr>
            </w:pPr>
          </w:p>
          <w:p w:rsidR="00581B09" w:rsidRDefault="00581B09" w:rsidP="00985A7D">
            <w:pPr>
              <w:rPr>
                <w:b/>
              </w:rPr>
            </w:pPr>
          </w:p>
        </w:tc>
        <w:tc>
          <w:tcPr>
            <w:tcW w:w="7548" w:type="dxa"/>
          </w:tcPr>
          <w:p w:rsidR="00E026B4" w:rsidRDefault="00E026B4" w:rsidP="00304BD4">
            <w:pPr>
              <w:jc w:val="both"/>
            </w:pPr>
            <w:r>
              <w:t>La proiectul Regulamentului:</w:t>
            </w:r>
          </w:p>
          <w:p w:rsidR="00664B00" w:rsidRDefault="00E026B4" w:rsidP="00304BD4">
            <w:pPr>
              <w:jc w:val="both"/>
            </w:pPr>
            <w:r>
              <w:t xml:space="preserve">La </w:t>
            </w:r>
            <w:proofErr w:type="spellStart"/>
            <w:r w:rsidR="00664B00">
              <w:t>Cap</w:t>
            </w:r>
            <w:r>
              <w:t>.</w:t>
            </w:r>
            <w:r w:rsidR="00664B00">
              <w:t>I</w:t>
            </w:r>
            <w:proofErr w:type="spellEnd"/>
            <w:r w:rsidR="00664B00">
              <w:t xml:space="preserve"> – </w:t>
            </w:r>
            <w:r>
              <w:t xml:space="preserve">nu sunt clar </w:t>
            </w:r>
            <w:r w:rsidR="00664B00">
              <w:t>diviza</w:t>
            </w:r>
            <w:r>
              <w:t>te</w:t>
            </w:r>
            <w:r w:rsidR="00664B00">
              <w:t xml:space="preserve"> competențel</w:t>
            </w:r>
            <w:r>
              <w:t>e</w:t>
            </w:r>
            <w:r w:rsidR="00664B00">
              <w:t xml:space="preserve"> fiecărui organ responsabil de activitățile cu </w:t>
            </w:r>
            <w:proofErr w:type="spellStart"/>
            <w:r w:rsidR="00664B00">
              <w:t>MMG-urile</w:t>
            </w:r>
            <w:proofErr w:type="spellEnd"/>
            <w:r w:rsidR="00664B00">
              <w:t>.</w:t>
            </w:r>
            <w:r>
              <w:t xml:space="preserve"> Astfel, l</w:t>
            </w:r>
            <w:r w:rsidR="00664B00">
              <w:t>a pct. 8</w:t>
            </w:r>
            <w:r>
              <w:t xml:space="preserve"> se propune</w:t>
            </w:r>
            <w:r w:rsidR="00664B00">
              <w:t xml:space="preserve"> stabilirea autorităților responsabile de activitățile de utilizare în condițiile de utilizare a </w:t>
            </w:r>
            <w:proofErr w:type="spellStart"/>
            <w:r w:rsidR="00664B00">
              <w:t>MMG-urilor</w:t>
            </w:r>
            <w:proofErr w:type="spellEnd"/>
            <w:r w:rsidR="00664B00">
              <w:t xml:space="preserve"> și </w:t>
            </w:r>
            <w:proofErr w:type="spellStart"/>
            <w:r w:rsidR="00664B00">
              <w:t>ținînd</w:t>
            </w:r>
            <w:proofErr w:type="spellEnd"/>
            <w:r w:rsidR="00664B00">
              <w:t xml:space="preserve"> cont de prevederile Directivei 2009/41/CE competențele pot fi delegate Ministerului Sănătății și Ministerului Agriculturii și Industriei Alimentare.</w:t>
            </w:r>
          </w:p>
          <w:p w:rsidR="00664B00" w:rsidRDefault="00E026B4" w:rsidP="00304BD4">
            <w:pPr>
              <w:jc w:val="both"/>
            </w:pPr>
            <w:r>
              <w:t>Lipsește</w:t>
            </w:r>
            <w:r w:rsidR="00664B00">
              <w:t xml:space="preserve"> rolul și responsabilit</w:t>
            </w:r>
            <w:r>
              <w:t>atea</w:t>
            </w:r>
            <w:r w:rsidR="00664B00">
              <w:t xml:space="preserve"> Academiei de Științe a Moldovei</w:t>
            </w:r>
            <w:r>
              <w:t xml:space="preserve">, ca instituție științifică </w:t>
            </w:r>
            <w:proofErr w:type="spellStart"/>
            <w:r>
              <w:t>responsavilă</w:t>
            </w:r>
            <w:proofErr w:type="spellEnd"/>
            <w:r>
              <w:t xml:space="preserve"> de cercetările științifice și elaborarea noilor tehnologii, inclusiv privind depistarea sau folosirea intenționată a </w:t>
            </w:r>
            <w:proofErr w:type="spellStart"/>
            <w:r>
              <w:t>MMG-urilor</w:t>
            </w:r>
            <w:proofErr w:type="spellEnd"/>
            <w:r w:rsidR="00664B00">
              <w:t>.</w:t>
            </w:r>
          </w:p>
          <w:p w:rsidR="008D5060" w:rsidRDefault="008D5060" w:rsidP="00304BD4">
            <w:pPr>
              <w:jc w:val="both"/>
            </w:pPr>
          </w:p>
          <w:p w:rsidR="00C94363" w:rsidRDefault="00E026B4" w:rsidP="00304BD4">
            <w:pPr>
              <w:jc w:val="both"/>
            </w:pPr>
            <w:r>
              <w:t xml:space="preserve">Trebuie de stabilit </w:t>
            </w:r>
            <w:r w:rsidR="00664B00">
              <w:t>proceduri</w:t>
            </w:r>
            <w:r>
              <w:t>le</w:t>
            </w:r>
            <w:r w:rsidR="00664B00">
              <w:t xml:space="preserve"> de prezentare urgentă a informațiilor de către instituțiile </w:t>
            </w:r>
            <w:r w:rsidR="00C94363">
              <w:t>de cercetare științifică către Ministerul Sănătății</w:t>
            </w:r>
            <w:r>
              <w:t xml:space="preserve"> sau ANSA</w:t>
            </w:r>
            <w:r w:rsidR="001E40C1">
              <w:t xml:space="preserve">, în cazul depistării </w:t>
            </w:r>
            <w:proofErr w:type="spellStart"/>
            <w:r w:rsidR="001E40C1">
              <w:t>MMG-urilor</w:t>
            </w:r>
            <w:proofErr w:type="spellEnd"/>
            <w:r w:rsidR="001E40C1">
              <w:t xml:space="preserve"> în instalații sau tehnologii noi în procesul de cercetare, pentru stabilirea metodelor de izolare a acestora.</w:t>
            </w:r>
          </w:p>
          <w:p w:rsidR="00C94363" w:rsidRDefault="00C94363" w:rsidP="00304BD4">
            <w:pPr>
              <w:jc w:val="both"/>
            </w:pPr>
          </w:p>
          <w:p w:rsidR="00664B00" w:rsidRDefault="00C94363" w:rsidP="00304BD4">
            <w:pPr>
              <w:jc w:val="both"/>
            </w:pPr>
            <w:r>
              <w:t>Prevederile cap</w:t>
            </w:r>
            <w:r w:rsidR="001E40C1">
              <w:t>.</w:t>
            </w:r>
            <w:r>
              <w:t xml:space="preserve"> II și III de expus prin prisma competențelor de evaluare a efectelor potențialelor riscuri nocive stabilite în Anexa III din </w:t>
            </w:r>
            <w:r w:rsidR="00664B00">
              <w:t xml:space="preserve"> </w:t>
            </w:r>
            <w:r>
              <w:t>Directiva 2009/41/CE. Directiva 2009/41/CE</w:t>
            </w:r>
            <w:r w:rsidR="001E40C1">
              <w:t>, care</w:t>
            </w:r>
            <w:r>
              <w:t xml:space="preserve"> stabilește necesitatea aplicării principiilor bunelor practici microbiologice, activitate de care nu e responsabil Ministerul Mediului dar Ministerul Sănătății, Ministerul Agriculturii și Industriei Alimentare</w:t>
            </w:r>
            <w:r w:rsidR="004515FC">
              <w:t xml:space="preserve">, Agenția Națională pentru Siguranța Alimentelor. Astfel, în pct. 16, 19 </w:t>
            </w:r>
            <w:proofErr w:type="spellStart"/>
            <w:r w:rsidR="004515FC">
              <w:t>ș.a</w:t>
            </w:r>
            <w:proofErr w:type="spellEnd"/>
            <w:r w:rsidR="004515FC">
              <w:t xml:space="preserve"> </w:t>
            </w:r>
            <w:r w:rsidR="001E40C1">
              <w:t xml:space="preserve">urmează de </w:t>
            </w:r>
            <w:r w:rsidR="004515FC">
              <w:t>exclu</w:t>
            </w:r>
            <w:r w:rsidR="001E40C1">
              <w:t>s sintagma Ministerul Mediului.</w:t>
            </w:r>
            <w:r w:rsidR="008F071D">
              <w:t xml:space="preserve"> Ministerul mediului este responsabil doar de evaluarea riscurilor de la OMG pentru flora și fauna sălbatică (mediul ambiant), dar nu pentru cele crescute în condiții de izolare (laborator).</w:t>
            </w:r>
          </w:p>
          <w:p w:rsidR="00664B00" w:rsidRDefault="00664B00" w:rsidP="00304BD4">
            <w:pPr>
              <w:jc w:val="both"/>
            </w:pPr>
          </w:p>
          <w:p w:rsidR="004515FC" w:rsidRDefault="004515FC" w:rsidP="00304BD4">
            <w:pPr>
              <w:jc w:val="both"/>
            </w:pPr>
            <w:r>
              <w:t xml:space="preserve">La capitolul III </w:t>
            </w:r>
            <w:r w:rsidR="008F071D">
              <w:t xml:space="preserve">se propune </w:t>
            </w:r>
            <w:r>
              <w:t xml:space="preserve">stabilirea autorităților responsabile </w:t>
            </w:r>
            <w:r w:rsidR="004302EF">
              <w:t>și competențele acestora pentru măsurile de prevenire și reducere a riscurilor</w:t>
            </w:r>
            <w:r w:rsidR="008F071D">
              <w:t>.</w:t>
            </w:r>
          </w:p>
          <w:p w:rsidR="004302EF" w:rsidRDefault="004302EF" w:rsidP="00304BD4">
            <w:pPr>
              <w:jc w:val="both"/>
            </w:pPr>
          </w:p>
          <w:p w:rsidR="00065243" w:rsidRDefault="00065243" w:rsidP="00304BD4">
            <w:pPr>
              <w:jc w:val="both"/>
            </w:pPr>
          </w:p>
          <w:p w:rsidR="00065243" w:rsidRDefault="00065243" w:rsidP="00304BD4">
            <w:pPr>
              <w:jc w:val="both"/>
            </w:pPr>
          </w:p>
          <w:p w:rsidR="00065243" w:rsidRDefault="00065243" w:rsidP="00304BD4">
            <w:pPr>
              <w:jc w:val="both"/>
            </w:pPr>
          </w:p>
          <w:p w:rsidR="00857D7D" w:rsidRDefault="008F071D" w:rsidP="00304BD4">
            <w:pPr>
              <w:jc w:val="both"/>
            </w:pPr>
            <w:r>
              <w:t>Se propune e</w:t>
            </w:r>
            <w:r w:rsidR="00E66CE3">
              <w:t xml:space="preserve">xcluderea capitolului IV precum și toate referințele la Comisie </w:t>
            </w:r>
            <w:r w:rsidR="00E66CE3">
              <w:lastRenderedPageBreak/>
              <w:t>Națională pentru Securitatea Biologică</w:t>
            </w:r>
            <w:r>
              <w:t>,</w:t>
            </w:r>
            <w:r w:rsidR="00E66CE3">
              <w:t xml:space="preserve"> deoarece</w:t>
            </w:r>
            <w:r w:rsidR="00857D7D">
              <w:t xml:space="preserve"> </w:t>
            </w:r>
            <w:r>
              <w:t xml:space="preserve">au </w:t>
            </w:r>
            <w:r w:rsidR="00857D7D">
              <w:t>fost confundate noțiunile de ”Comisie UE” și ”Comisie Națională pentru Securitatea Biologică” care au competențe exclusiv de recomandare și nu decizionale.</w:t>
            </w:r>
            <w:r w:rsidR="00E66CE3">
              <w:t xml:space="preserve"> Comisia UE este împuternicită să adopte decizii cu referință la </w:t>
            </w:r>
            <w:proofErr w:type="spellStart"/>
            <w:r w:rsidR="00E66CE3">
              <w:t>MMG-uri</w:t>
            </w:r>
            <w:proofErr w:type="spellEnd"/>
            <w:r w:rsidR="00E66CE3">
              <w:t xml:space="preserve"> la nivelul Uniunii Europene și delegarea acestor atribuții unei comisii ordinare la nivelul unui stat, în calitate de organ consultativ.</w:t>
            </w:r>
          </w:p>
          <w:p w:rsidR="00301298" w:rsidRDefault="00301298" w:rsidP="00304BD4">
            <w:pPr>
              <w:jc w:val="both"/>
            </w:pPr>
          </w:p>
          <w:p w:rsidR="00C32712" w:rsidRDefault="00301298" w:rsidP="00985A7D">
            <w:pPr>
              <w:jc w:val="both"/>
            </w:pPr>
            <w:r>
              <w:t xml:space="preserve">La capitolul VI </w:t>
            </w:r>
            <w:r w:rsidR="008F071D">
              <w:t xml:space="preserve">trebuie </w:t>
            </w:r>
            <w:r>
              <w:t xml:space="preserve">să fie stabilite măsurile clare de monitorizare și control a instalațiilor unde s-au depistat </w:t>
            </w:r>
            <w:proofErr w:type="spellStart"/>
            <w:r>
              <w:t>MMG-uri</w:t>
            </w:r>
            <w:proofErr w:type="spellEnd"/>
            <w:r>
              <w:t>, atribuții care pot fi delegate numai Centrului Național de Sănătate Publică și Agenției Naționale pentru Siguranța Alimentelor</w:t>
            </w:r>
            <w:r w:rsidR="008F071D">
              <w:t xml:space="preserve"> și nu de CNSB</w:t>
            </w:r>
            <w:r>
              <w:t>.</w:t>
            </w:r>
          </w:p>
          <w:p w:rsidR="00985A7D" w:rsidRDefault="00985A7D" w:rsidP="00985A7D">
            <w:pPr>
              <w:jc w:val="both"/>
            </w:pPr>
          </w:p>
        </w:tc>
        <w:tc>
          <w:tcPr>
            <w:tcW w:w="4337" w:type="dxa"/>
          </w:tcPr>
          <w:p w:rsidR="008D5060" w:rsidRDefault="008D5060" w:rsidP="009F4C1F">
            <w:pPr>
              <w:jc w:val="both"/>
            </w:pPr>
          </w:p>
          <w:p w:rsidR="006202F7" w:rsidRDefault="00E026B4" w:rsidP="009F4C1F">
            <w:pPr>
              <w:jc w:val="both"/>
            </w:pPr>
            <w:r>
              <w:t xml:space="preserve">Se acceptă, au fost stabilite expres instituțiile responsabile </w:t>
            </w:r>
            <w:proofErr w:type="spellStart"/>
            <w:r>
              <w:t>atît</w:t>
            </w:r>
            <w:proofErr w:type="spellEnd"/>
            <w:r>
              <w:t xml:space="preserve"> din cadrul MS, </w:t>
            </w:r>
            <w:proofErr w:type="spellStart"/>
            <w:r>
              <w:t>cît</w:t>
            </w:r>
            <w:proofErr w:type="spellEnd"/>
            <w:r>
              <w:t xml:space="preserve"> și din cadrul MAIA.</w:t>
            </w:r>
          </w:p>
          <w:p w:rsidR="006202F7" w:rsidRDefault="006202F7" w:rsidP="009F4C1F">
            <w:pPr>
              <w:jc w:val="both"/>
            </w:pPr>
          </w:p>
          <w:p w:rsidR="00E026B4" w:rsidRDefault="00E026B4" w:rsidP="009F4C1F">
            <w:pPr>
              <w:jc w:val="both"/>
            </w:pPr>
          </w:p>
          <w:p w:rsidR="00E026B4" w:rsidRDefault="00E026B4" w:rsidP="009F4C1F">
            <w:pPr>
              <w:jc w:val="both"/>
            </w:pPr>
          </w:p>
          <w:p w:rsidR="00E026B4" w:rsidRDefault="008D5060" w:rsidP="009F4C1F">
            <w:pPr>
              <w:jc w:val="both"/>
            </w:pPr>
            <w:r>
              <w:t xml:space="preserve">Nu se acceptă, deoarece reprezentantul fiecărei autorități responsabile de  implementarea proiectului dat, este membru al CNSB, inclusiv reprezentanții AȘM. </w:t>
            </w:r>
          </w:p>
          <w:p w:rsidR="001E40C1" w:rsidRDefault="008D5060" w:rsidP="009F4C1F">
            <w:pPr>
              <w:jc w:val="both"/>
            </w:pPr>
            <w:r>
              <w:t>Nu se acceptă, deoarece această procedură este prevăzută la p.12 .</w:t>
            </w:r>
          </w:p>
          <w:p w:rsidR="001E40C1" w:rsidRDefault="001E40C1" w:rsidP="009F4C1F">
            <w:pPr>
              <w:jc w:val="both"/>
            </w:pPr>
          </w:p>
          <w:p w:rsidR="001E40C1" w:rsidRDefault="001E40C1" w:rsidP="009F4C1F">
            <w:pPr>
              <w:jc w:val="both"/>
            </w:pPr>
          </w:p>
          <w:p w:rsidR="001E40C1" w:rsidRDefault="001E40C1" w:rsidP="009F4C1F">
            <w:pPr>
              <w:jc w:val="both"/>
            </w:pPr>
          </w:p>
          <w:p w:rsidR="001E40C1" w:rsidRDefault="001E40C1" w:rsidP="009F4C1F">
            <w:pPr>
              <w:jc w:val="both"/>
            </w:pPr>
            <w:r>
              <w:t xml:space="preserve">Nu se acceptă, deoarece Ministerul mediului este responsabil de adoptarea măsurilor adecvate pentru a se evita efectele nocive asupra mediului, care ar putea rezulta din utilizarea în condiții de izolare a </w:t>
            </w:r>
            <w:proofErr w:type="spellStart"/>
            <w:r>
              <w:t>MMG-urilor</w:t>
            </w:r>
            <w:proofErr w:type="spellEnd"/>
            <w:r>
              <w:t>.</w:t>
            </w:r>
          </w:p>
          <w:p w:rsidR="001E40C1" w:rsidRDefault="001E40C1" w:rsidP="009F4C1F">
            <w:pPr>
              <w:jc w:val="both"/>
            </w:pPr>
          </w:p>
          <w:p w:rsidR="001E40C1" w:rsidRDefault="001E40C1" w:rsidP="009F4C1F">
            <w:pPr>
              <w:jc w:val="both"/>
            </w:pPr>
          </w:p>
          <w:p w:rsidR="001E40C1" w:rsidRDefault="001E40C1" w:rsidP="009F4C1F">
            <w:pPr>
              <w:jc w:val="both"/>
            </w:pPr>
          </w:p>
          <w:p w:rsidR="008F071D" w:rsidRDefault="008F071D" w:rsidP="009F4C1F">
            <w:pPr>
              <w:jc w:val="both"/>
            </w:pPr>
          </w:p>
          <w:p w:rsidR="008F071D" w:rsidRDefault="008F071D" w:rsidP="009F4C1F">
            <w:pPr>
              <w:jc w:val="both"/>
            </w:pPr>
          </w:p>
          <w:p w:rsidR="008F071D" w:rsidRDefault="008D5060" w:rsidP="009F4C1F">
            <w:pPr>
              <w:jc w:val="both"/>
            </w:pPr>
            <w:r>
              <w:t>Nu se acceptă, deoarece măsurile sunt comune pentru utilizarea în condiții de utilizare a MMG în vederea protecției sănătății umane și a mediului și responsabilitatea se atribuie fiecărei autorități în funcție de risc.</w:t>
            </w:r>
          </w:p>
          <w:p w:rsidR="001E40C1" w:rsidRDefault="00065243" w:rsidP="009F4C1F">
            <w:pPr>
              <w:jc w:val="both"/>
            </w:pPr>
            <w:r>
              <w:t xml:space="preserve">Nu se acceptă, deoarece CNSB va fi </w:t>
            </w:r>
            <w:r>
              <w:lastRenderedPageBreak/>
              <w:t xml:space="preserve">responsabilă de monitorizarea utilizării în condiții de utilizare a MMG.  </w:t>
            </w:r>
          </w:p>
          <w:p w:rsidR="008F071D" w:rsidRDefault="008F071D" w:rsidP="009F4C1F">
            <w:pPr>
              <w:jc w:val="both"/>
            </w:pPr>
          </w:p>
          <w:p w:rsidR="008F071D" w:rsidRDefault="008F071D" w:rsidP="009F4C1F">
            <w:pPr>
              <w:jc w:val="both"/>
            </w:pPr>
          </w:p>
          <w:p w:rsidR="008F071D" w:rsidRDefault="008F071D" w:rsidP="009F4C1F">
            <w:pPr>
              <w:jc w:val="both"/>
            </w:pPr>
          </w:p>
          <w:p w:rsidR="008F071D" w:rsidRDefault="008F071D" w:rsidP="009F4C1F">
            <w:pPr>
              <w:jc w:val="both"/>
            </w:pPr>
          </w:p>
          <w:p w:rsidR="008F071D" w:rsidRDefault="008F071D" w:rsidP="009F4C1F">
            <w:pPr>
              <w:jc w:val="both"/>
            </w:pPr>
          </w:p>
          <w:p w:rsidR="008F071D" w:rsidRDefault="00065243" w:rsidP="009F4C1F">
            <w:pPr>
              <w:jc w:val="both"/>
            </w:pPr>
            <w:r>
              <w:t>Nu se acceptă, deoarece măsurile sunt comune pentru toate autoritățile care sunt implicate în genul dat de activitate, în funcție de gradul de risc, cu monitorizarea de către CNSP.</w:t>
            </w:r>
          </w:p>
        </w:tc>
      </w:tr>
      <w:tr w:rsidR="00845482" w:rsidRPr="00545238" w:rsidTr="009F4C1F">
        <w:tc>
          <w:tcPr>
            <w:tcW w:w="530" w:type="dxa"/>
          </w:tcPr>
          <w:p w:rsidR="00845482" w:rsidRPr="00545238" w:rsidRDefault="005965D1" w:rsidP="00077814">
            <w:pPr>
              <w:jc w:val="center"/>
            </w:pPr>
            <w:r>
              <w:lastRenderedPageBreak/>
              <w:t>4</w:t>
            </w:r>
          </w:p>
        </w:tc>
        <w:tc>
          <w:tcPr>
            <w:tcW w:w="2045" w:type="dxa"/>
          </w:tcPr>
          <w:p w:rsidR="000C3899" w:rsidRPr="00DF0676" w:rsidRDefault="006B50D2">
            <w:pPr>
              <w:rPr>
                <w:b/>
              </w:rPr>
            </w:pPr>
            <w:r>
              <w:rPr>
                <w:b/>
              </w:rPr>
              <w:t xml:space="preserve">Ministerul Muncii, Protecției Sociale și Familiei </w:t>
            </w:r>
          </w:p>
        </w:tc>
        <w:tc>
          <w:tcPr>
            <w:tcW w:w="7548" w:type="dxa"/>
          </w:tcPr>
          <w:p w:rsidR="00632330" w:rsidRPr="004A1B45" w:rsidRDefault="003F4B59" w:rsidP="004A1B45">
            <w:pPr>
              <w:pStyle w:val="ab"/>
              <w:tabs>
                <w:tab w:val="left" w:pos="0"/>
              </w:tabs>
              <w:jc w:val="both"/>
              <w:rPr>
                <w:b w:val="0"/>
                <w:sz w:val="22"/>
                <w:szCs w:val="22"/>
              </w:rPr>
            </w:pPr>
            <w:r>
              <w:rPr>
                <w:b w:val="0"/>
                <w:szCs w:val="24"/>
                <w:lang w:eastAsia="ru-RU"/>
              </w:rPr>
              <w:t xml:space="preserve">Excluderea din </w:t>
            </w:r>
            <w:proofErr w:type="spellStart"/>
            <w:r>
              <w:rPr>
                <w:b w:val="0"/>
                <w:szCs w:val="24"/>
                <w:lang w:eastAsia="ru-RU"/>
              </w:rPr>
              <w:t>pct</w:t>
            </w:r>
            <w:proofErr w:type="spellEnd"/>
            <w:r>
              <w:rPr>
                <w:b w:val="0"/>
                <w:szCs w:val="24"/>
                <w:lang w:eastAsia="ru-RU"/>
              </w:rPr>
              <w:t xml:space="preserve"> 5 Anexa nr. 2 a trimiterilor la Directiva 2000/54/CE și asigurarea conformității acestuia cu rigorile tehnicii legislative actuale.</w:t>
            </w:r>
          </w:p>
        </w:tc>
        <w:tc>
          <w:tcPr>
            <w:tcW w:w="4337" w:type="dxa"/>
          </w:tcPr>
          <w:p w:rsidR="00632330" w:rsidRPr="00545238" w:rsidRDefault="004C00A4" w:rsidP="004C00A4">
            <w:pPr>
              <w:pStyle w:val="aa"/>
              <w:ind w:left="176"/>
            </w:pPr>
            <w:r>
              <w:t>Se acceptă, au fost excluse trimiterile respective.</w:t>
            </w:r>
          </w:p>
        </w:tc>
      </w:tr>
      <w:tr w:rsidR="00EA56E1" w:rsidRPr="00545238" w:rsidTr="0006175A">
        <w:trPr>
          <w:trHeight w:val="1656"/>
        </w:trPr>
        <w:tc>
          <w:tcPr>
            <w:tcW w:w="530" w:type="dxa"/>
          </w:tcPr>
          <w:p w:rsidR="00EA56E1" w:rsidRDefault="00EA56E1" w:rsidP="00A22E1B">
            <w:pPr>
              <w:jc w:val="center"/>
            </w:pPr>
            <w:r>
              <w:t>5</w:t>
            </w:r>
          </w:p>
        </w:tc>
        <w:tc>
          <w:tcPr>
            <w:tcW w:w="2045" w:type="dxa"/>
          </w:tcPr>
          <w:p w:rsidR="00CE5F67" w:rsidRDefault="00EA56E1" w:rsidP="00987457">
            <w:pPr>
              <w:rPr>
                <w:b/>
              </w:rPr>
            </w:pPr>
            <w:r>
              <w:rPr>
                <w:b/>
              </w:rPr>
              <w:t xml:space="preserve">Confederația Națională a Sindicatelor din Moldova, </w:t>
            </w:r>
          </w:p>
          <w:p w:rsidR="00EA56E1" w:rsidRPr="00DF0676" w:rsidRDefault="00EA56E1" w:rsidP="00987457">
            <w:pPr>
              <w:rPr>
                <w:b/>
              </w:rPr>
            </w:pPr>
            <w:r>
              <w:rPr>
                <w:b/>
              </w:rPr>
              <w:t>aviz nr. 05-02/614 din 20.06.2016</w:t>
            </w:r>
          </w:p>
        </w:tc>
        <w:tc>
          <w:tcPr>
            <w:tcW w:w="7548" w:type="dxa"/>
          </w:tcPr>
          <w:p w:rsidR="00EA56E1" w:rsidRDefault="00EA56E1" w:rsidP="00320E47">
            <w:pPr>
              <w:jc w:val="both"/>
            </w:pPr>
            <w:r>
              <w:t>Susține integral</w:t>
            </w:r>
          </w:p>
          <w:p w:rsidR="00EA56E1" w:rsidRDefault="00EA56E1" w:rsidP="00320E47">
            <w:pPr>
              <w:jc w:val="both"/>
            </w:pPr>
            <w:r>
              <w:t>La pct. 10 a substitui formularea ”trebuie consultate în conformitate cu cerințele din legislația națională” cu formularea ”urmează să respecte dispozițiile actelor legislative și normative în domeniu”</w:t>
            </w:r>
          </w:p>
          <w:p w:rsidR="00EA56E1" w:rsidRDefault="00EA56E1" w:rsidP="00320E47">
            <w:pPr>
              <w:jc w:val="both"/>
            </w:pPr>
            <w:r>
              <w:t xml:space="preserve">La pct. 12 a substitui sintagma ”utilizatorul trebuie să informeze de îndată” cu formularea ”utilizatorul trebuie </w:t>
            </w:r>
            <w:r w:rsidR="0078186D">
              <w:t>să comunice imediat conform prevederilor pct. 9 din Regulamentul privind modul de cercetare a accidentelor de muncă, aprobat prin HG nr. 1361 din 22.12.2005</w:t>
            </w:r>
          </w:p>
          <w:p w:rsidR="0078186D" w:rsidRDefault="0078186D" w:rsidP="00320E47">
            <w:pPr>
              <w:jc w:val="both"/>
            </w:pPr>
            <w:r>
              <w:t xml:space="preserve">La pct. 17 </w:t>
            </w:r>
            <w:proofErr w:type="spellStart"/>
            <w:r>
              <w:t>dupa</w:t>
            </w:r>
            <w:proofErr w:type="spellEnd"/>
            <w:r>
              <w:t xml:space="preserve"> cuvintele ”în condiții de izolare” de completat cu formularea ”în baza principiilor de protecție și prevenire a riscurilor  profesionale conform Legii securității și sănătății în muncă nr. 186 din 10.07.2008, altor acte normative”</w:t>
            </w:r>
          </w:p>
        </w:tc>
        <w:tc>
          <w:tcPr>
            <w:tcW w:w="4337" w:type="dxa"/>
          </w:tcPr>
          <w:p w:rsidR="00EA56E1" w:rsidRDefault="00EA56E1" w:rsidP="00C07AB0">
            <w:pPr>
              <w:pStyle w:val="aa"/>
              <w:ind w:left="34"/>
              <w:jc w:val="both"/>
              <w:rPr>
                <w:sz w:val="20"/>
                <w:szCs w:val="20"/>
              </w:rPr>
            </w:pPr>
          </w:p>
          <w:p w:rsidR="004C00A4" w:rsidRDefault="004C00A4" w:rsidP="00C07AB0">
            <w:pPr>
              <w:pStyle w:val="aa"/>
              <w:ind w:left="34"/>
              <w:jc w:val="both"/>
              <w:rPr>
                <w:sz w:val="20"/>
                <w:szCs w:val="20"/>
              </w:rPr>
            </w:pPr>
          </w:p>
          <w:p w:rsidR="004C00A4" w:rsidRDefault="004C00A4" w:rsidP="004C00A4">
            <w:pPr>
              <w:jc w:val="both"/>
            </w:pPr>
          </w:p>
          <w:p w:rsidR="004C00A4" w:rsidRDefault="004C00A4" w:rsidP="004C00A4">
            <w:pPr>
              <w:jc w:val="both"/>
            </w:pPr>
          </w:p>
          <w:p w:rsidR="004C00A4" w:rsidRPr="004C00A4" w:rsidRDefault="004C00A4" w:rsidP="004C00A4">
            <w:pPr>
              <w:jc w:val="both"/>
            </w:pPr>
            <w:r w:rsidRPr="004C00A4">
              <w:t xml:space="preserve">Se </w:t>
            </w:r>
            <w:r>
              <w:t>acceptă, au fost redactate</w:t>
            </w:r>
            <w:r w:rsidRPr="004C00A4">
              <w:t xml:space="preserve"> p.10</w:t>
            </w:r>
            <w:r>
              <w:t>,12,17.</w:t>
            </w:r>
          </w:p>
        </w:tc>
      </w:tr>
      <w:tr w:rsidR="00985A7D" w:rsidRPr="00545238" w:rsidTr="009F4C1F">
        <w:tc>
          <w:tcPr>
            <w:tcW w:w="530" w:type="dxa"/>
          </w:tcPr>
          <w:p w:rsidR="00985A7D" w:rsidRDefault="00015ADA" w:rsidP="00A22E1B">
            <w:pPr>
              <w:jc w:val="center"/>
            </w:pPr>
            <w:r>
              <w:t>6</w:t>
            </w:r>
          </w:p>
        </w:tc>
        <w:tc>
          <w:tcPr>
            <w:tcW w:w="2045" w:type="dxa"/>
          </w:tcPr>
          <w:p w:rsidR="00985A7D" w:rsidRDefault="00CE5F67" w:rsidP="00CE5F67">
            <w:pPr>
              <w:rPr>
                <w:b/>
              </w:rPr>
            </w:pPr>
            <w:r>
              <w:rPr>
                <w:b/>
              </w:rPr>
              <w:t xml:space="preserve">Ministerul Agriculturii și Industriei Alimentare </w:t>
            </w:r>
          </w:p>
          <w:p w:rsidR="00CE5F67" w:rsidRDefault="00CE5F67" w:rsidP="00CE5F67">
            <w:pPr>
              <w:rPr>
                <w:b/>
              </w:rPr>
            </w:pPr>
            <w:r>
              <w:rPr>
                <w:b/>
              </w:rPr>
              <w:t>aviz nr. 18/2-92 din 21.06.2016</w:t>
            </w:r>
          </w:p>
        </w:tc>
        <w:tc>
          <w:tcPr>
            <w:tcW w:w="7548" w:type="dxa"/>
          </w:tcPr>
          <w:p w:rsidR="00935504" w:rsidRDefault="00935504" w:rsidP="00813E0A">
            <w:pPr>
              <w:jc w:val="both"/>
            </w:pPr>
            <w:r>
              <w:t>Susține proiectul</w:t>
            </w:r>
          </w:p>
          <w:p w:rsidR="00983037" w:rsidRDefault="00935504" w:rsidP="00983037">
            <w:pPr>
              <w:jc w:val="both"/>
            </w:pPr>
            <w:r>
              <w:t xml:space="preserve"> Clauza de emitere</w:t>
            </w:r>
            <w:r w:rsidR="00863178">
              <w:t xml:space="preserve"> a acestui proiect </w:t>
            </w:r>
            <w:r w:rsidR="005554C4">
              <w:t xml:space="preserve">nu este corectă, </w:t>
            </w:r>
            <w:r w:rsidR="00863178">
              <w:t xml:space="preserve">deoarece </w:t>
            </w:r>
            <w:r w:rsidR="005554C4">
              <w:t xml:space="preserve">Legea nr. 755 din 21.12.2001 privind securitatea biologică </w:t>
            </w:r>
            <w:r w:rsidR="00983037">
              <w:t>prevede deja domeniul de utilizare a microorganismelor modificate genetic în condiții de izolare, care totodată este reglementat și de HG nr. 1153 din 25.09.2003 despre aprobarea Regulamentului privind autorizarea activităților legate de obținerea, testarea, utilizarea și comercializarea organismelor modificate genetic.</w:t>
            </w:r>
          </w:p>
          <w:p w:rsidR="00983037" w:rsidRDefault="00983037" w:rsidP="00983037">
            <w:pPr>
              <w:jc w:val="both"/>
            </w:pPr>
          </w:p>
          <w:p w:rsidR="005554C4" w:rsidRDefault="005554C4" w:rsidP="00983037">
            <w:pPr>
              <w:jc w:val="both"/>
            </w:pPr>
          </w:p>
          <w:p w:rsidR="005554C4" w:rsidRDefault="005554C4" w:rsidP="00983037">
            <w:pPr>
              <w:jc w:val="both"/>
            </w:pPr>
          </w:p>
          <w:p w:rsidR="005554C4" w:rsidRDefault="005554C4" w:rsidP="00983037">
            <w:pPr>
              <w:jc w:val="both"/>
            </w:pPr>
          </w:p>
          <w:p w:rsidR="005554C4" w:rsidRDefault="005554C4" w:rsidP="00983037">
            <w:pPr>
              <w:jc w:val="both"/>
            </w:pPr>
          </w:p>
          <w:p w:rsidR="005554C4" w:rsidRDefault="005554C4" w:rsidP="00983037">
            <w:pPr>
              <w:jc w:val="both"/>
            </w:pPr>
          </w:p>
          <w:p w:rsidR="005554C4" w:rsidRDefault="005554C4" w:rsidP="00983037">
            <w:pPr>
              <w:jc w:val="both"/>
            </w:pPr>
          </w:p>
          <w:p w:rsidR="00983037" w:rsidRDefault="00983037" w:rsidP="00983037">
            <w:pPr>
              <w:jc w:val="both"/>
            </w:pPr>
            <w:r>
              <w:t xml:space="preserve">Proiectul </w:t>
            </w:r>
            <w:r w:rsidR="005554C4">
              <w:t>Regulamentului</w:t>
            </w:r>
            <w:r>
              <w:t xml:space="preserve"> repetă prevederile Legea nr. 755 din 21.12.2001 privind securitatea biologică în ce privește criteriile de stabilire a siguranței pentru sănătatea umană și mediu, principiile de evaluare a riscurilor potențiale asupra mediului și sănătate umană, procedura de notificare, instituirea Comisiei Naționale pentru Securitate Biologică.</w:t>
            </w:r>
          </w:p>
          <w:p w:rsidR="004E48BD" w:rsidRDefault="004E48BD" w:rsidP="00983037">
            <w:pPr>
              <w:jc w:val="both"/>
            </w:pPr>
            <w:r>
              <w:t>MMG se propune a fi reglementate prin lege, inclusiv prin proiectul de Lege cu privire la organismele modificate genetic.</w:t>
            </w:r>
          </w:p>
          <w:p w:rsidR="00983037" w:rsidRPr="005B3CEE" w:rsidRDefault="00983037" w:rsidP="00983037">
            <w:pPr>
              <w:jc w:val="both"/>
            </w:pPr>
          </w:p>
        </w:tc>
        <w:tc>
          <w:tcPr>
            <w:tcW w:w="4337" w:type="dxa"/>
          </w:tcPr>
          <w:p w:rsidR="00985A7D" w:rsidRDefault="00985A7D" w:rsidP="00D7513A">
            <w:pPr>
              <w:pStyle w:val="aa"/>
              <w:ind w:left="176"/>
            </w:pPr>
          </w:p>
          <w:p w:rsidR="005554C4" w:rsidRDefault="005554C4" w:rsidP="005554C4">
            <w:pPr>
              <w:pStyle w:val="aa"/>
              <w:ind w:left="176"/>
              <w:rPr>
                <w:rStyle w:val="apple-converted-space"/>
                <w:color w:val="000000"/>
              </w:rPr>
            </w:pPr>
            <w:r>
              <w:t xml:space="preserve">Nu se acceptă, deoarece conform legii 317 din 18.07.2003, </w:t>
            </w:r>
            <w:proofErr w:type="spellStart"/>
            <w:r>
              <w:t>hotărîrile</w:t>
            </w:r>
            <w:proofErr w:type="spellEnd"/>
            <w:r>
              <w:t xml:space="preserve"> Guvernului se emit în vederea executării legilor, iar în prezent unica lege care reglementează inclusiv </w:t>
            </w:r>
            <w:proofErr w:type="spellStart"/>
            <w:r>
              <w:t>MMG-urile</w:t>
            </w:r>
            <w:proofErr w:type="spellEnd"/>
            <w:r>
              <w:t xml:space="preserve"> este Legea nr. 755 din 21.12.2001. Totodată menționăm că Guvernul a luat decizia de a transpune legislația UE în acest domeniu prin HG nr. 808  din 07.10.14 cu privire la aprobarea </w:t>
            </w:r>
            <w:r>
              <w:rPr>
                <w:color w:val="000000"/>
              </w:rPr>
              <w:t xml:space="preserve">Planului naţional </w:t>
            </w:r>
            <w:r>
              <w:rPr>
                <w:color w:val="000000"/>
              </w:rPr>
              <w:lastRenderedPageBreak/>
              <w:t>de acţiuni pentru implementarea Acordului de Asociere Republica Moldova – Uniunea Europeană în perioada 2014-2016</w:t>
            </w:r>
            <w:r>
              <w:rPr>
                <w:rStyle w:val="apple-converted-space"/>
                <w:color w:val="000000"/>
              </w:rPr>
              <w:t>.</w:t>
            </w:r>
          </w:p>
          <w:p w:rsidR="005554C4" w:rsidRDefault="005554C4" w:rsidP="004E48BD">
            <w:pPr>
              <w:pStyle w:val="aa"/>
              <w:ind w:left="176"/>
            </w:pPr>
            <w:r>
              <w:rPr>
                <w:rStyle w:val="apple-converted-space"/>
                <w:color w:val="000000"/>
              </w:rPr>
              <w:t>Nu se acceptă</w:t>
            </w:r>
            <w:r w:rsidR="004E48BD">
              <w:rPr>
                <w:rStyle w:val="apple-converted-space"/>
                <w:color w:val="000000"/>
              </w:rPr>
              <w:t xml:space="preserve">, acest proiect a fost elaborat în vederea implementării legii menționate și transpunerii </w:t>
            </w:r>
            <w:r w:rsidR="004E48BD">
              <w:t>prevederilor Directivei 2009/41/CE.</w:t>
            </w:r>
            <w:r w:rsidR="004E48BD">
              <w:rPr>
                <w:rStyle w:val="apple-converted-space"/>
                <w:color w:val="000000"/>
              </w:rPr>
              <w:t xml:space="preserve">  </w:t>
            </w:r>
          </w:p>
        </w:tc>
      </w:tr>
      <w:tr w:rsidR="005965D1" w:rsidTr="009F4C1F">
        <w:tc>
          <w:tcPr>
            <w:tcW w:w="530" w:type="dxa"/>
            <w:tcBorders>
              <w:top w:val="single" w:sz="4" w:space="0" w:color="auto"/>
              <w:left w:val="single" w:sz="4" w:space="0" w:color="auto"/>
              <w:bottom w:val="single" w:sz="4" w:space="0" w:color="auto"/>
              <w:right w:val="single" w:sz="4" w:space="0" w:color="auto"/>
            </w:tcBorders>
          </w:tcPr>
          <w:p w:rsidR="005965D1" w:rsidRDefault="00015ADA">
            <w:pPr>
              <w:jc w:val="center"/>
            </w:pPr>
            <w:r>
              <w:lastRenderedPageBreak/>
              <w:t>7</w:t>
            </w:r>
          </w:p>
        </w:tc>
        <w:tc>
          <w:tcPr>
            <w:tcW w:w="2045" w:type="dxa"/>
            <w:tcBorders>
              <w:top w:val="single" w:sz="4" w:space="0" w:color="auto"/>
              <w:left w:val="single" w:sz="4" w:space="0" w:color="auto"/>
              <w:bottom w:val="single" w:sz="4" w:space="0" w:color="auto"/>
              <w:right w:val="single" w:sz="4" w:space="0" w:color="auto"/>
            </w:tcBorders>
          </w:tcPr>
          <w:p w:rsidR="00856782" w:rsidRDefault="00856782" w:rsidP="00856782">
            <w:pPr>
              <w:rPr>
                <w:b/>
              </w:rPr>
            </w:pPr>
            <w:r>
              <w:rPr>
                <w:b/>
              </w:rPr>
              <w:t>Ministerul Finanțelor al Republicii Moldova</w:t>
            </w:r>
          </w:p>
          <w:p w:rsidR="005965D1" w:rsidRDefault="003F5260" w:rsidP="00856782">
            <w:pPr>
              <w:rPr>
                <w:b/>
              </w:rPr>
            </w:pPr>
            <w:r>
              <w:rPr>
                <w:b/>
              </w:rPr>
              <w:t xml:space="preserve">aviz nr. </w:t>
            </w:r>
            <w:r w:rsidR="00856782">
              <w:rPr>
                <w:b/>
              </w:rPr>
              <w:t>08-17/319 din 21.06.2016</w:t>
            </w:r>
          </w:p>
        </w:tc>
        <w:tc>
          <w:tcPr>
            <w:tcW w:w="7548" w:type="dxa"/>
            <w:tcBorders>
              <w:top w:val="single" w:sz="4" w:space="0" w:color="auto"/>
              <w:left w:val="single" w:sz="4" w:space="0" w:color="auto"/>
              <w:bottom w:val="single" w:sz="4" w:space="0" w:color="auto"/>
              <w:right w:val="single" w:sz="4" w:space="0" w:color="auto"/>
            </w:tcBorders>
          </w:tcPr>
          <w:p w:rsidR="00856782" w:rsidRDefault="00856782" w:rsidP="00856782">
            <w:pPr>
              <w:jc w:val="both"/>
            </w:pPr>
            <w:r>
              <w:t xml:space="preserve">Proiectului </w:t>
            </w:r>
            <w:proofErr w:type="spellStart"/>
            <w:r>
              <w:t>hotărîrii</w:t>
            </w:r>
            <w:proofErr w:type="spellEnd"/>
            <w:r>
              <w:t xml:space="preserve"> </w:t>
            </w:r>
            <w:r w:rsidR="00763AD4">
              <w:t xml:space="preserve">urmează a fi revizuit </w:t>
            </w:r>
            <w:r>
              <w:t>în conformitate cu prevederile  Legii nr. 317-XV din 18.07.2003 privind actele normative ale Guvernului și ale altor autorități ale administrației publice centrale și locale</w:t>
            </w:r>
            <w:r w:rsidR="00763AD4">
              <w:t>.</w:t>
            </w:r>
            <w:r>
              <w:t xml:space="preserve"> </w:t>
            </w:r>
          </w:p>
          <w:p w:rsidR="00856782" w:rsidRDefault="00856782" w:rsidP="00444BB9">
            <w:pPr>
              <w:autoSpaceDE w:val="0"/>
              <w:autoSpaceDN w:val="0"/>
              <w:adjustRightInd w:val="0"/>
              <w:rPr>
                <w:rFonts w:eastAsia="ArialMT"/>
                <w:b/>
                <w:i/>
                <w:color w:val="000000"/>
              </w:rPr>
            </w:pPr>
            <w:r w:rsidRPr="00856782">
              <w:rPr>
                <w:rFonts w:eastAsia="ArialMT"/>
                <w:b/>
                <w:i/>
                <w:color w:val="000000"/>
              </w:rPr>
              <w:t xml:space="preserve">La proiectul </w:t>
            </w:r>
            <w:proofErr w:type="spellStart"/>
            <w:r w:rsidRPr="00856782">
              <w:rPr>
                <w:rFonts w:eastAsia="ArialMT"/>
                <w:b/>
                <w:i/>
                <w:color w:val="000000"/>
              </w:rPr>
              <w:t>hotărîrii</w:t>
            </w:r>
            <w:proofErr w:type="spellEnd"/>
            <w:r w:rsidRPr="00856782">
              <w:rPr>
                <w:rFonts w:eastAsia="ArialMT"/>
                <w:b/>
                <w:i/>
                <w:color w:val="000000"/>
              </w:rPr>
              <w:t>:</w:t>
            </w:r>
          </w:p>
          <w:p w:rsidR="00856782" w:rsidRDefault="00856782" w:rsidP="00444BB9">
            <w:pPr>
              <w:autoSpaceDE w:val="0"/>
              <w:autoSpaceDN w:val="0"/>
              <w:adjustRightInd w:val="0"/>
              <w:rPr>
                <w:rFonts w:eastAsia="ArialMT"/>
                <w:color w:val="000000"/>
              </w:rPr>
            </w:pPr>
            <w:r>
              <w:rPr>
                <w:rFonts w:eastAsia="ArialMT"/>
                <w:color w:val="000000"/>
              </w:rPr>
              <w:t xml:space="preserve">În partea dispozitivă a proiectului </w:t>
            </w:r>
            <w:proofErr w:type="spellStart"/>
            <w:r>
              <w:rPr>
                <w:rFonts w:eastAsia="ArialMT"/>
                <w:color w:val="000000"/>
              </w:rPr>
              <w:t>hotărîrii</w:t>
            </w:r>
            <w:proofErr w:type="spellEnd"/>
            <w:r>
              <w:rPr>
                <w:rFonts w:eastAsia="ArialMT"/>
                <w:color w:val="000000"/>
              </w:rPr>
              <w:t xml:space="preserve">, </w:t>
            </w:r>
            <w:proofErr w:type="spellStart"/>
            <w:r>
              <w:rPr>
                <w:rFonts w:eastAsia="ArialMT"/>
                <w:color w:val="000000"/>
              </w:rPr>
              <w:t>cuvîntul</w:t>
            </w:r>
            <w:proofErr w:type="spellEnd"/>
            <w:r>
              <w:rPr>
                <w:rFonts w:eastAsia="ArialMT"/>
                <w:color w:val="000000"/>
              </w:rPr>
              <w:t xml:space="preserve"> ”modificate” se consideră necesar de completat cu </w:t>
            </w:r>
            <w:proofErr w:type="spellStart"/>
            <w:r>
              <w:rPr>
                <w:rFonts w:eastAsia="ArialMT"/>
                <w:color w:val="000000"/>
              </w:rPr>
              <w:t>cuvîntul</w:t>
            </w:r>
            <w:proofErr w:type="spellEnd"/>
            <w:r>
              <w:rPr>
                <w:rFonts w:eastAsia="ArialMT"/>
                <w:color w:val="000000"/>
              </w:rPr>
              <w:t xml:space="preserve"> ”genetic”;</w:t>
            </w:r>
          </w:p>
          <w:p w:rsidR="00856782" w:rsidRDefault="00856782" w:rsidP="00856782">
            <w:pPr>
              <w:autoSpaceDE w:val="0"/>
              <w:autoSpaceDN w:val="0"/>
              <w:adjustRightInd w:val="0"/>
              <w:jc w:val="both"/>
              <w:rPr>
                <w:rFonts w:eastAsia="ArialMT"/>
                <w:b/>
                <w:i/>
                <w:color w:val="000000"/>
              </w:rPr>
            </w:pPr>
            <w:r w:rsidRPr="00856782">
              <w:rPr>
                <w:rFonts w:eastAsia="ArialMT"/>
                <w:b/>
                <w:i/>
                <w:color w:val="000000"/>
              </w:rPr>
              <w:t>La Regulamentul privind utilizarea în condiții de izolare a microorganismelor modificate genetic:</w:t>
            </w:r>
          </w:p>
          <w:p w:rsidR="00856782" w:rsidRDefault="00856782" w:rsidP="00856782">
            <w:pPr>
              <w:autoSpaceDE w:val="0"/>
              <w:autoSpaceDN w:val="0"/>
              <w:adjustRightInd w:val="0"/>
              <w:jc w:val="both"/>
              <w:rPr>
                <w:rFonts w:eastAsia="ArialMT"/>
                <w:color w:val="000000"/>
              </w:rPr>
            </w:pPr>
            <w:r>
              <w:rPr>
                <w:rFonts w:eastAsia="ArialMT"/>
                <w:color w:val="000000"/>
              </w:rPr>
              <w:t>La</w:t>
            </w:r>
            <w:r w:rsidR="00F42D9B">
              <w:rPr>
                <w:rFonts w:eastAsia="ArialMT"/>
                <w:color w:val="000000"/>
              </w:rPr>
              <w:t xml:space="preserve"> pct. 33, subpunctul 1)</w:t>
            </w:r>
            <w:r>
              <w:rPr>
                <w:rFonts w:eastAsia="ArialMT"/>
                <w:color w:val="000000"/>
              </w:rPr>
              <w:t xml:space="preserve"> </w:t>
            </w:r>
            <w:r w:rsidR="00F42D9B">
              <w:rPr>
                <w:rFonts w:eastAsia="ArialMT"/>
                <w:color w:val="000000"/>
              </w:rPr>
              <w:t>din C</w:t>
            </w:r>
            <w:r>
              <w:rPr>
                <w:rFonts w:eastAsia="ArialMT"/>
                <w:color w:val="000000"/>
              </w:rPr>
              <w:t>apitolul V</w:t>
            </w:r>
            <w:r w:rsidR="00F42D9B">
              <w:rPr>
                <w:rFonts w:eastAsia="ArialMT"/>
                <w:color w:val="000000"/>
              </w:rPr>
              <w:t xml:space="preserve"> se face referire la pct. 32 litera (a), dar se constată lipsa acesteia.</w:t>
            </w:r>
          </w:p>
          <w:p w:rsidR="00F42D9B" w:rsidRPr="00F42D9B" w:rsidRDefault="00F42D9B" w:rsidP="00856782">
            <w:pPr>
              <w:autoSpaceDE w:val="0"/>
              <w:autoSpaceDN w:val="0"/>
              <w:adjustRightInd w:val="0"/>
              <w:jc w:val="both"/>
              <w:rPr>
                <w:rFonts w:eastAsia="ArialMT"/>
                <w:b/>
                <w:i/>
                <w:color w:val="000000"/>
              </w:rPr>
            </w:pPr>
            <w:r w:rsidRPr="00F42D9B">
              <w:rPr>
                <w:rFonts w:eastAsia="ArialMT"/>
                <w:b/>
                <w:i/>
                <w:color w:val="000000"/>
              </w:rPr>
              <w:t>La Anexa nr.1 a Regulamentului:</w:t>
            </w:r>
          </w:p>
          <w:p w:rsidR="00856782" w:rsidRDefault="00F42D9B" w:rsidP="00444BB9">
            <w:pPr>
              <w:autoSpaceDE w:val="0"/>
              <w:autoSpaceDN w:val="0"/>
              <w:adjustRightInd w:val="0"/>
              <w:rPr>
                <w:rFonts w:eastAsia="ArialMT"/>
                <w:color w:val="000000"/>
              </w:rPr>
            </w:pPr>
            <w:r>
              <w:rPr>
                <w:rFonts w:eastAsia="ArialMT"/>
                <w:color w:val="000000"/>
              </w:rPr>
              <w:t>La capitolul ”introducere” din partea B nu este clară referirea făcută prin sintagma ”prezentei directive”.</w:t>
            </w:r>
          </w:p>
          <w:p w:rsidR="00856782" w:rsidRPr="00763AD4" w:rsidRDefault="00856782" w:rsidP="00763AD4">
            <w:pPr>
              <w:jc w:val="both"/>
            </w:pPr>
          </w:p>
        </w:tc>
        <w:tc>
          <w:tcPr>
            <w:tcW w:w="4337" w:type="dxa"/>
            <w:tcBorders>
              <w:top w:val="single" w:sz="4" w:space="0" w:color="auto"/>
              <w:left w:val="single" w:sz="4" w:space="0" w:color="auto"/>
              <w:bottom w:val="single" w:sz="4" w:space="0" w:color="auto"/>
              <w:right w:val="single" w:sz="4" w:space="0" w:color="auto"/>
            </w:tcBorders>
          </w:tcPr>
          <w:p w:rsidR="00444BB9" w:rsidRDefault="00763AD4" w:rsidP="005965D1">
            <w:r>
              <w:t>Se acceptă, proiectul a fost revizuit.</w:t>
            </w:r>
          </w:p>
          <w:p w:rsidR="00444BB9" w:rsidRDefault="00444BB9" w:rsidP="005965D1"/>
          <w:p w:rsidR="00444BB9" w:rsidRDefault="00444BB9" w:rsidP="005965D1"/>
          <w:p w:rsidR="00763AD4" w:rsidRDefault="00763AD4" w:rsidP="005965D1"/>
          <w:p w:rsidR="00763AD4" w:rsidRDefault="00763AD4" w:rsidP="005965D1">
            <w:r>
              <w:t>Se acceptă, a fost completat.</w:t>
            </w:r>
          </w:p>
          <w:p w:rsidR="00763AD4" w:rsidRDefault="00763AD4" w:rsidP="005965D1"/>
          <w:p w:rsidR="00763AD4" w:rsidRDefault="00763AD4" w:rsidP="005965D1"/>
          <w:p w:rsidR="00763AD4" w:rsidRDefault="00763AD4" w:rsidP="005965D1"/>
          <w:p w:rsidR="00763AD4" w:rsidRDefault="00763AD4" w:rsidP="005965D1">
            <w:r>
              <w:t>Se acceptă, a fost substituit prin punctul 32, subpunctul 1).</w:t>
            </w:r>
          </w:p>
          <w:p w:rsidR="00444BB9" w:rsidRDefault="00444BB9" w:rsidP="00856782"/>
          <w:p w:rsidR="00763AD4" w:rsidRDefault="00763AD4" w:rsidP="00763AD4">
            <w:r>
              <w:t>Se acceptă, a fost substituit prin sintagma „prezentei anexe”</w:t>
            </w:r>
          </w:p>
          <w:p w:rsidR="00763AD4" w:rsidRDefault="00763AD4" w:rsidP="00856782"/>
        </w:tc>
      </w:tr>
      <w:tr w:rsidR="00AC1753" w:rsidTr="009F4C1F">
        <w:tc>
          <w:tcPr>
            <w:tcW w:w="530" w:type="dxa"/>
            <w:tcBorders>
              <w:top w:val="single" w:sz="4" w:space="0" w:color="auto"/>
              <w:left w:val="single" w:sz="4" w:space="0" w:color="auto"/>
              <w:bottom w:val="single" w:sz="4" w:space="0" w:color="auto"/>
              <w:right w:val="single" w:sz="4" w:space="0" w:color="auto"/>
            </w:tcBorders>
          </w:tcPr>
          <w:p w:rsidR="00AC1753" w:rsidRDefault="00015ADA">
            <w:pPr>
              <w:jc w:val="center"/>
            </w:pPr>
            <w:r>
              <w:t>8</w:t>
            </w:r>
          </w:p>
        </w:tc>
        <w:tc>
          <w:tcPr>
            <w:tcW w:w="2045" w:type="dxa"/>
            <w:tcBorders>
              <w:top w:val="single" w:sz="4" w:space="0" w:color="auto"/>
              <w:left w:val="single" w:sz="4" w:space="0" w:color="auto"/>
              <w:bottom w:val="single" w:sz="4" w:space="0" w:color="auto"/>
              <w:right w:val="single" w:sz="4" w:space="0" w:color="auto"/>
            </w:tcBorders>
          </w:tcPr>
          <w:p w:rsidR="00AC1753" w:rsidRDefault="00270C24">
            <w:pPr>
              <w:rPr>
                <w:b/>
              </w:rPr>
            </w:pPr>
            <w:r>
              <w:rPr>
                <w:b/>
              </w:rPr>
              <w:t>Confederația Națională a Patronatului din RM</w:t>
            </w:r>
          </w:p>
        </w:tc>
        <w:tc>
          <w:tcPr>
            <w:tcW w:w="7548" w:type="dxa"/>
            <w:tcBorders>
              <w:top w:val="single" w:sz="4" w:space="0" w:color="auto"/>
              <w:left w:val="single" w:sz="4" w:space="0" w:color="auto"/>
              <w:bottom w:val="single" w:sz="4" w:space="0" w:color="auto"/>
              <w:right w:val="single" w:sz="4" w:space="0" w:color="auto"/>
            </w:tcBorders>
          </w:tcPr>
          <w:p w:rsidR="00AC1753" w:rsidRDefault="00AC1753" w:rsidP="00260493">
            <w:pPr>
              <w:autoSpaceDE w:val="0"/>
              <w:autoSpaceDN w:val="0"/>
              <w:adjustRightInd w:val="0"/>
              <w:ind w:firstLine="459"/>
              <w:rPr>
                <w:rFonts w:eastAsia="Arial-BoldMT"/>
                <w:bCs/>
              </w:rPr>
            </w:pPr>
            <w:r>
              <w:rPr>
                <w:rFonts w:eastAsia="Arial-BoldMT"/>
                <w:bCs/>
              </w:rPr>
              <w:t xml:space="preserve">Aviz </w:t>
            </w:r>
            <w:r w:rsidR="00270C24">
              <w:rPr>
                <w:rFonts w:eastAsia="Arial-BoldMT"/>
                <w:bCs/>
              </w:rPr>
              <w:t>pozitiv fără obiecții</w:t>
            </w:r>
          </w:p>
        </w:tc>
        <w:tc>
          <w:tcPr>
            <w:tcW w:w="4337" w:type="dxa"/>
            <w:tcBorders>
              <w:top w:val="single" w:sz="4" w:space="0" w:color="auto"/>
              <w:left w:val="single" w:sz="4" w:space="0" w:color="auto"/>
              <w:bottom w:val="single" w:sz="4" w:space="0" w:color="auto"/>
              <w:right w:val="single" w:sz="4" w:space="0" w:color="auto"/>
            </w:tcBorders>
          </w:tcPr>
          <w:p w:rsidR="00AC1753" w:rsidRDefault="00AC1753" w:rsidP="005965D1"/>
        </w:tc>
      </w:tr>
      <w:tr w:rsidR="00AC1753" w:rsidTr="009F4C1F">
        <w:tc>
          <w:tcPr>
            <w:tcW w:w="530" w:type="dxa"/>
            <w:tcBorders>
              <w:top w:val="single" w:sz="4" w:space="0" w:color="auto"/>
              <w:left w:val="single" w:sz="4" w:space="0" w:color="auto"/>
              <w:bottom w:val="single" w:sz="4" w:space="0" w:color="auto"/>
              <w:right w:val="single" w:sz="4" w:space="0" w:color="auto"/>
            </w:tcBorders>
          </w:tcPr>
          <w:p w:rsidR="00AC1753" w:rsidRDefault="00015ADA">
            <w:pPr>
              <w:jc w:val="center"/>
            </w:pPr>
            <w:r>
              <w:t>9</w:t>
            </w:r>
          </w:p>
        </w:tc>
        <w:tc>
          <w:tcPr>
            <w:tcW w:w="2045" w:type="dxa"/>
            <w:tcBorders>
              <w:top w:val="single" w:sz="4" w:space="0" w:color="auto"/>
              <w:left w:val="single" w:sz="4" w:space="0" w:color="auto"/>
              <w:bottom w:val="single" w:sz="4" w:space="0" w:color="auto"/>
              <w:right w:val="single" w:sz="4" w:space="0" w:color="auto"/>
            </w:tcBorders>
          </w:tcPr>
          <w:p w:rsidR="00AC1753" w:rsidRDefault="00474930">
            <w:pPr>
              <w:rPr>
                <w:b/>
              </w:rPr>
            </w:pPr>
            <w:r>
              <w:rPr>
                <w:b/>
              </w:rPr>
              <w:t>Academia de Științe a Moldovei</w:t>
            </w:r>
          </w:p>
        </w:tc>
        <w:tc>
          <w:tcPr>
            <w:tcW w:w="7548" w:type="dxa"/>
            <w:tcBorders>
              <w:top w:val="single" w:sz="4" w:space="0" w:color="auto"/>
              <w:left w:val="single" w:sz="4" w:space="0" w:color="auto"/>
              <w:bottom w:val="single" w:sz="4" w:space="0" w:color="auto"/>
              <w:right w:val="single" w:sz="4" w:space="0" w:color="auto"/>
            </w:tcBorders>
          </w:tcPr>
          <w:p w:rsidR="00AC1753" w:rsidRDefault="00474930" w:rsidP="00260493">
            <w:pPr>
              <w:autoSpaceDE w:val="0"/>
              <w:autoSpaceDN w:val="0"/>
              <w:adjustRightInd w:val="0"/>
              <w:ind w:firstLine="459"/>
              <w:rPr>
                <w:rFonts w:eastAsia="Arial-BoldMT"/>
                <w:bCs/>
              </w:rPr>
            </w:pPr>
            <w:r>
              <w:rPr>
                <w:rFonts w:eastAsia="Arial-BoldMT"/>
                <w:bCs/>
              </w:rPr>
              <w:t>Aviz pozitiv</w:t>
            </w:r>
          </w:p>
          <w:p w:rsidR="00045F6C" w:rsidRDefault="00474930" w:rsidP="00474930">
            <w:pPr>
              <w:autoSpaceDE w:val="0"/>
              <w:autoSpaceDN w:val="0"/>
              <w:adjustRightInd w:val="0"/>
              <w:jc w:val="both"/>
              <w:rPr>
                <w:rFonts w:eastAsia="Arial-BoldMT"/>
                <w:bCs/>
              </w:rPr>
            </w:pPr>
            <w:r>
              <w:rPr>
                <w:rFonts w:eastAsia="Arial-BoldMT"/>
                <w:bCs/>
              </w:rPr>
              <w:t xml:space="preserve">Este </w:t>
            </w:r>
            <w:r w:rsidR="00763AD4">
              <w:rPr>
                <w:rFonts w:eastAsia="Arial-BoldMT"/>
                <w:bCs/>
              </w:rPr>
              <w:t>incompletă</w:t>
            </w:r>
            <w:r>
              <w:rPr>
                <w:rFonts w:eastAsia="Arial-BoldMT"/>
                <w:bCs/>
              </w:rPr>
              <w:t xml:space="preserve"> expresia de la pct. 3, al</w:t>
            </w:r>
            <w:r w:rsidR="00763AD4">
              <w:rPr>
                <w:rFonts w:eastAsia="Arial-BoldMT"/>
                <w:bCs/>
              </w:rPr>
              <w:t xml:space="preserve">. </w:t>
            </w:r>
            <w:r>
              <w:rPr>
                <w:rFonts w:eastAsia="Arial-BoldMT"/>
                <w:bCs/>
              </w:rPr>
              <w:t xml:space="preserve">(2) </w:t>
            </w:r>
            <w:proofErr w:type="spellStart"/>
            <w:r>
              <w:rPr>
                <w:rFonts w:eastAsia="Arial-BoldMT"/>
                <w:bCs/>
              </w:rPr>
              <w:t>lit.a</w:t>
            </w:r>
            <w:proofErr w:type="spellEnd"/>
            <w:r>
              <w:rPr>
                <w:rFonts w:eastAsia="Arial-BoldMT"/>
                <w:bCs/>
              </w:rPr>
              <w:t xml:space="preserve">) din Capitolul I ”tehnici de hibridizare în cadrul cărora celulele vii cu combinații noi de material </w:t>
            </w:r>
            <w:r w:rsidR="00C60DF0">
              <w:rPr>
                <w:rFonts w:eastAsia="Arial-BoldMT"/>
                <w:bCs/>
              </w:rPr>
              <w:t>genetic care poate fi ereditar”,</w:t>
            </w:r>
          </w:p>
          <w:p w:rsidR="00045F6C" w:rsidRDefault="00045F6C" w:rsidP="00474930">
            <w:pPr>
              <w:autoSpaceDE w:val="0"/>
              <w:autoSpaceDN w:val="0"/>
              <w:adjustRightInd w:val="0"/>
              <w:jc w:val="both"/>
              <w:rPr>
                <w:rFonts w:eastAsia="Arial-BoldMT"/>
                <w:bCs/>
              </w:rPr>
            </w:pPr>
            <w:r>
              <w:rPr>
                <w:rFonts w:eastAsia="Arial-BoldMT"/>
                <w:bCs/>
              </w:rPr>
              <w:t>pct. 4 necesită o formulare mai clar</w:t>
            </w:r>
            <w:r w:rsidR="00C60DF0">
              <w:rPr>
                <w:rFonts w:eastAsia="Arial-BoldMT"/>
                <w:bCs/>
              </w:rPr>
              <w:t>ă,</w:t>
            </w:r>
          </w:p>
          <w:p w:rsidR="00045F6C" w:rsidRDefault="00702C47" w:rsidP="00474930">
            <w:pPr>
              <w:autoSpaceDE w:val="0"/>
              <w:autoSpaceDN w:val="0"/>
              <w:adjustRightInd w:val="0"/>
              <w:jc w:val="both"/>
              <w:rPr>
                <w:rFonts w:eastAsia="Arial-BoldMT"/>
                <w:bCs/>
              </w:rPr>
            </w:pPr>
            <w:r>
              <w:rPr>
                <w:rFonts w:eastAsia="Arial-BoldMT"/>
                <w:bCs/>
              </w:rPr>
              <w:t>pct. 26 necesită o formulare clară fără trimiteri dublate și anume acest punct face trimitere la pct. 17, iar pct. 17  face trimitere la pct. 24-30.</w:t>
            </w:r>
          </w:p>
          <w:p w:rsidR="00474930" w:rsidRDefault="00702C47" w:rsidP="00474930">
            <w:pPr>
              <w:autoSpaceDE w:val="0"/>
              <w:autoSpaceDN w:val="0"/>
              <w:adjustRightInd w:val="0"/>
              <w:rPr>
                <w:rFonts w:eastAsia="Arial-BoldMT"/>
                <w:bCs/>
              </w:rPr>
            </w:pPr>
            <w:r>
              <w:rPr>
                <w:rFonts w:eastAsia="Arial-BoldMT"/>
                <w:bCs/>
              </w:rPr>
              <w:t xml:space="preserve">În pct.37 sintagma ”Comisia Națională pentru Securitate Biologică </w:t>
            </w:r>
            <w:r w:rsidRPr="00702C47">
              <w:rPr>
                <w:rFonts w:eastAsia="Arial-BoldMT"/>
                <w:bCs/>
                <w:u w:val="single"/>
              </w:rPr>
              <w:t>va asigura</w:t>
            </w:r>
            <w:r>
              <w:rPr>
                <w:rFonts w:eastAsia="Arial-BoldMT"/>
                <w:bCs/>
              </w:rPr>
              <w:t xml:space="preserve">” se corectează prin  ”Comisia Națională pentru Securitate Biologică </w:t>
            </w:r>
            <w:r w:rsidRPr="00702C47">
              <w:rPr>
                <w:rFonts w:eastAsia="Arial-BoldMT"/>
                <w:b/>
                <w:bCs/>
                <w:u w:val="single"/>
              </w:rPr>
              <w:lastRenderedPageBreak/>
              <w:t xml:space="preserve">se </w:t>
            </w:r>
            <w:r w:rsidRPr="00702C47">
              <w:rPr>
                <w:rFonts w:eastAsia="Arial-BoldMT"/>
                <w:bCs/>
                <w:u w:val="single"/>
              </w:rPr>
              <w:t>va asigura</w:t>
            </w:r>
            <w:r>
              <w:rPr>
                <w:rFonts w:eastAsia="Arial-BoldMT"/>
                <w:bCs/>
              </w:rPr>
              <w:t>”</w:t>
            </w:r>
          </w:p>
        </w:tc>
        <w:tc>
          <w:tcPr>
            <w:tcW w:w="4337" w:type="dxa"/>
            <w:tcBorders>
              <w:top w:val="single" w:sz="4" w:space="0" w:color="auto"/>
              <w:left w:val="single" w:sz="4" w:space="0" w:color="auto"/>
              <w:bottom w:val="single" w:sz="4" w:space="0" w:color="auto"/>
              <w:right w:val="single" w:sz="4" w:space="0" w:color="auto"/>
            </w:tcBorders>
          </w:tcPr>
          <w:p w:rsidR="00C60DF0" w:rsidRDefault="00C60DF0" w:rsidP="00474930"/>
          <w:p w:rsidR="00C60DF0" w:rsidRPr="000A7A14" w:rsidRDefault="000A7A14" w:rsidP="00474930">
            <w:r>
              <w:t>Se acceptă, a fost redactată propoziția: „</w:t>
            </w:r>
            <w:proofErr w:type="spellStart"/>
            <w:r>
              <w:t>-</w:t>
            </w:r>
            <w:r w:rsidRPr="000A7A14">
              <w:t>fuziune</w:t>
            </w:r>
            <w:proofErr w:type="spellEnd"/>
            <w:r w:rsidRPr="000A7A14">
              <w:t xml:space="preserve"> celulară sau tehnici de hibridizare în cadrul cărora celulele vii cu combinații noi de material genetic care poate fi ereditar</w:t>
            </w:r>
            <w:r>
              <w:t xml:space="preserve"> </w:t>
            </w:r>
            <w:r w:rsidRPr="000A7A14">
              <w:rPr>
                <w:u w:val="single"/>
              </w:rPr>
              <w:t>și formează prin fuziunea a două sau mai multe celule</w:t>
            </w:r>
            <w:r w:rsidRPr="000A7A14">
              <w:t xml:space="preserve"> prin intermediul unor metode care nu au loc în mod natural</w:t>
            </w:r>
            <w:r>
              <w:t>,”</w:t>
            </w:r>
            <w:r w:rsidRPr="000A7A14">
              <w:t xml:space="preserve"> </w:t>
            </w:r>
          </w:p>
          <w:p w:rsidR="00C60DF0" w:rsidRDefault="00C60DF0" w:rsidP="00474930"/>
          <w:p w:rsidR="00C60DF0" w:rsidRDefault="00C60DF0" w:rsidP="00C60DF0">
            <w:r>
              <w:lastRenderedPageBreak/>
              <w:t>Se acceptă, a fost redactat.</w:t>
            </w:r>
          </w:p>
          <w:p w:rsidR="00C60DF0" w:rsidRDefault="00C60DF0" w:rsidP="00474930"/>
          <w:p w:rsidR="00C60DF0" w:rsidRDefault="00C60DF0" w:rsidP="00474930">
            <w:r>
              <w:t>Se acceptă, a fost redactat.</w:t>
            </w:r>
          </w:p>
          <w:p w:rsidR="00C60DF0" w:rsidRDefault="00C60DF0" w:rsidP="00474930"/>
          <w:p w:rsidR="00C60DF0" w:rsidRDefault="00C60DF0" w:rsidP="00474930">
            <w:r>
              <w:t>Se acceptă, a fost redactat.</w:t>
            </w:r>
          </w:p>
        </w:tc>
      </w:tr>
      <w:tr w:rsidR="00AA4619" w:rsidTr="00C64FF6">
        <w:trPr>
          <w:trHeight w:val="4236"/>
        </w:trPr>
        <w:tc>
          <w:tcPr>
            <w:tcW w:w="530" w:type="dxa"/>
            <w:tcBorders>
              <w:top w:val="single" w:sz="4" w:space="0" w:color="auto"/>
              <w:left w:val="single" w:sz="4" w:space="0" w:color="auto"/>
              <w:right w:val="single" w:sz="4" w:space="0" w:color="auto"/>
            </w:tcBorders>
          </w:tcPr>
          <w:p w:rsidR="00AA4619" w:rsidRDefault="00AA4619" w:rsidP="00015ADA">
            <w:pPr>
              <w:jc w:val="center"/>
            </w:pPr>
            <w:r>
              <w:lastRenderedPageBreak/>
              <w:t>10</w:t>
            </w:r>
          </w:p>
        </w:tc>
        <w:tc>
          <w:tcPr>
            <w:tcW w:w="2045" w:type="dxa"/>
            <w:tcBorders>
              <w:top w:val="single" w:sz="4" w:space="0" w:color="auto"/>
              <w:left w:val="single" w:sz="4" w:space="0" w:color="auto"/>
              <w:right w:val="single" w:sz="4" w:space="0" w:color="auto"/>
            </w:tcBorders>
          </w:tcPr>
          <w:p w:rsidR="00AA4619" w:rsidRDefault="00C64FF6" w:rsidP="00702C47">
            <w:pPr>
              <w:rPr>
                <w:b/>
              </w:rPr>
            </w:pPr>
            <w:r w:rsidRPr="00C64FF6">
              <w:rPr>
                <w:b/>
              </w:rPr>
              <w:t>C</w:t>
            </w:r>
            <w:r w:rsidR="00AA151C" w:rsidRPr="00C64FF6">
              <w:rPr>
                <w:b/>
              </w:rPr>
              <w:t>entrul de armonizare</w:t>
            </w:r>
            <w:r>
              <w:rPr>
                <w:b/>
              </w:rPr>
              <w:t xml:space="preserve"> a legislației</w:t>
            </w:r>
          </w:p>
        </w:tc>
        <w:tc>
          <w:tcPr>
            <w:tcW w:w="7548" w:type="dxa"/>
            <w:tcBorders>
              <w:top w:val="single" w:sz="4" w:space="0" w:color="auto"/>
              <w:left w:val="single" w:sz="4" w:space="0" w:color="auto"/>
              <w:right w:val="single" w:sz="4" w:space="0" w:color="auto"/>
            </w:tcBorders>
          </w:tcPr>
          <w:p w:rsidR="00AA4619" w:rsidRPr="00B64666" w:rsidRDefault="00AA4619" w:rsidP="00691355">
            <w:pPr>
              <w:rPr>
                <w:rFonts w:eastAsia="Arial-BoldMT"/>
                <w:b/>
                <w:i/>
              </w:rPr>
            </w:pPr>
            <w:r w:rsidRPr="00B64666">
              <w:rPr>
                <w:rFonts w:eastAsia="Arial-BoldMT"/>
                <w:b/>
                <w:bCs/>
                <w:i/>
              </w:rPr>
              <w:t>Proceduri de notificare:</w:t>
            </w:r>
          </w:p>
          <w:p w:rsidR="00AA4619" w:rsidRDefault="00AA4619" w:rsidP="00691355">
            <w:pPr>
              <w:rPr>
                <w:rFonts w:eastAsia="Arial-BoldMT"/>
              </w:rPr>
            </w:pPr>
            <w:r>
              <w:rPr>
                <w:rFonts w:eastAsia="Arial-BoldMT"/>
              </w:rPr>
              <w:t xml:space="preserve">La capitolul V, pct. 27 din proiect </w:t>
            </w:r>
            <w:proofErr w:type="spellStart"/>
            <w:r>
              <w:rPr>
                <w:rFonts w:eastAsia="Arial-BoldMT"/>
              </w:rPr>
              <w:t>Hotărîrii</w:t>
            </w:r>
            <w:proofErr w:type="spellEnd"/>
            <w:r>
              <w:rPr>
                <w:rFonts w:eastAsia="Arial-BoldMT"/>
              </w:rPr>
              <w:t xml:space="preserve"> de Guvern, în ceea ce privește notificarea utilizărilor în condiții de izolare din clasa 2, pentru garantarea efectului util al art.8 din Directiva 2009/41/CE, se propune preluarea prevederilor art. 8 al(2), ultimul aliniat din actul UE, care stabilește posibilitatea solicitantului de a cere personal de la autoritatea competentă acordarea autorizației oficiale, precum și obligația instituției de a emite o astfel de decizie într-un termen de cel mult 45 de zile.</w:t>
            </w:r>
          </w:p>
          <w:p w:rsidR="00AA4619" w:rsidRDefault="00AA4619" w:rsidP="00691355">
            <w:pPr>
              <w:rPr>
                <w:rFonts w:eastAsia="Arial-BoldMT"/>
              </w:rPr>
            </w:pPr>
          </w:p>
          <w:p w:rsidR="00AA4619" w:rsidRDefault="00AA4619" w:rsidP="00691355">
            <w:pPr>
              <w:rPr>
                <w:rFonts w:eastAsia="Arial-BoldMT"/>
                <w:b/>
                <w:i/>
              </w:rPr>
            </w:pPr>
            <w:r w:rsidRPr="00924505">
              <w:rPr>
                <w:rFonts w:eastAsia="Arial-BoldMT"/>
                <w:b/>
                <w:i/>
              </w:rPr>
              <w:t>Clauza de armonizare</w:t>
            </w:r>
            <w:r>
              <w:rPr>
                <w:rFonts w:eastAsia="Arial-BoldMT"/>
                <w:b/>
                <w:i/>
              </w:rPr>
              <w:t xml:space="preserve"> </w:t>
            </w:r>
            <w:r w:rsidRPr="00924505">
              <w:rPr>
                <w:rFonts w:eastAsia="Arial-BoldMT"/>
              </w:rPr>
              <w:t>va fi expusă în următoarea redacție:</w:t>
            </w:r>
            <w:r w:rsidRPr="00924505">
              <w:rPr>
                <w:rFonts w:eastAsia="Arial-BoldMT"/>
                <w:b/>
                <w:i/>
              </w:rPr>
              <w:t xml:space="preserve"> </w:t>
            </w:r>
          </w:p>
          <w:p w:rsidR="00AA4619" w:rsidRDefault="00AA4619" w:rsidP="00691355">
            <w:pPr>
              <w:rPr>
                <w:rFonts w:eastAsia="Arial-BoldMT"/>
              </w:rPr>
            </w:pPr>
            <w:r>
              <w:rPr>
                <w:rFonts w:eastAsia="Arial-BoldMT"/>
              </w:rPr>
              <w:t>”Prezentul Regulament transpune Directiva 2009/41/CE a Parlamentului European și a Consiliului din 6 mai 2009 privind utilizarea în condiții de izolare a microorganismelor modificate genetic (reformare) (Text cu relevanță pentru SEE), publicată în Jurnalul Oficial al Uniunii Europene L 125 din 21 mai 2009”.</w:t>
            </w:r>
          </w:p>
          <w:p w:rsidR="00AA4619" w:rsidRPr="00B64666" w:rsidRDefault="00AA4619" w:rsidP="00C64FF6">
            <w:pPr>
              <w:rPr>
                <w:rFonts w:eastAsia="Arial-BoldMT"/>
                <w:lang w:val="en-US"/>
              </w:rPr>
            </w:pPr>
          </w:p>
        </w:tc>
        <w:tc>
          <w:tcPr>
            <w:tcW w:w="4337" w:type="dxa"/>
            <w:tcBorders>
              <w:top w:val="single" w:sz="4" w:space="0" w:color="auto"/>
              <w:left w:val="single" w:sz="4" w:space="0" w:color="auto"/>
              <w:right w:val="single" w:sz="4" w:space="0" w:color="auto"/>
            </w:tcBorders>
          </w:tcPr>
          <w:p w:rsidR="00AA4619" w:rsidRDefault="00AA4619" w:rsidP="00AB3891"/>
          <w:p w:rsidR="00C64FF6" w:rsidRPr="00065243" w:rsidRDefault="00C64FF6" w:rsidP="00C64FF6">
            <w:r w:rsidRPr="00065243">
              <w:t xml:space="preserve">Se acceptă, a se vedea p. </w:t>
            </w:r>
            <w:r w:rsidR="00065243">
              <w:t>24 -</w:t>
            </w:r>
            <w:r w:rsidRPr="00065243">
              <w:t>28 din regulament.</w:t>
            </w:r>
          </w:p>
          <w:p w:rsidR="00C64FF6" w:rsidRDefault="00C64FF6" w:rsidP="00C64FF6">
            <w:pPr>
              <w:rPr>
                <w:color w:val="FF0000"/>
              </w:rPr>
            </w:pPr>
          </w:p>
          <w:p w:rsidR="00C64FF6" w:rsidRDefault="00C64FF6" w:rsidP="00C64FF6">
            <w:pPr>
              <w:rPr>
                <w:color w:val="FF0000"/>
              </w:rPr>
            </w:pPr>
          </w:p>
          <w:p w:rsidR="00C64FF6" w:rsidRDefault="00C64FF6" w:rsidP="00C64FF6">
            <w:pPr>
              <w:rPr>
                <w:color w:val="FF0000"/>
              </w:rPr>
            </w:pPr>
          </w:p>
          <w:p w:rsidR="00C64FF6" w:rsidRDefault="00C64FF6" w:rsidP="00C64FF6">
            <w:pPr>
              <w:rPr>
                <w:color w:val="FF0000"/>
              </w:rPr>
            </w:pPr>
          </w:p>
          <w:p w:rsidR="00C64FF6" w:rsidRDefault="00C64FF6" w:rsidP="00C64FF6">
            <w:pPr>
              <w:rPr>
                <w:color w:val="FF0000"/>
              </w:rPr>
            </w:pPr>
          </w:p>
          <w:p w:rsidR="00C64FF6" w:rsidRDefault="00C64FF6" w:rsidP="00C64FF6">
            <w:pPr>
              <w:rPr>
                <w:color w:val="FF0000"/>
              </w:rPr>
            </w:pPr>
          </w:p>
          <w:p w:rsidR="00C64FF6" w:rsidRDefault="00C64FF6" w:rsidP="00C64FF6">
            <w:r>
              <w:t>Se acceptă, a fost redactat.</w:t>
            </w:r>
          </w:p>
        </w:tc>
      </w:tr>
      <w:tr w:rsidR="00302A5E" w:rsidTr="00785D61">
        <w:trPr>
          <w:trHeight w:val="2484"/>
        </w:trPr>
        <w:tc>
          <w:tcPr>
            <w:tcW w:w="530" w:type="dxa"/>
            <w:tcBorders>
              <w:top w:val="single" w:sz="4" w:space="0" w:color="auto"/>
              <w:left w:val="single" w:sz="4" w:space="0" w:color="auto"/>
              <w:right w:val="single" w:sz="4" w:space="0" w:color="auto"/>
            </w:tcBorders>
          </w:tcPr>
          <w:p w:rsidR="00302A5E" w:rsidRDefault="00302A5E" w:rsidP="00015ADA">
            <w:pPr>
              <w:jc w:val="center"/>
            </w:pPr>
            <w:r>
              <w:t>11</w:t>
            </w:r>
          </w:p>
        </w:tc>
        <w:tc>
          <w:tcPr>
            <w:tcW w:w="2045" w:type="dxa"/>
            <w:tcBorders>
              <w:top w:val="single" w:sz="4" w:space="0" w:color="auto"/>
              <w:left w:val="single" w:sz="4" w:space="0" w:color="auto"/>
              <w:right w:val="single" w:sz="4" w:space="0" w:color="auto"/>
            </w:tcBorders>
          </w:tcPr>
          <w:p w:rsidR="00302A5E" w:rsidRDefault="00302A5E">
            <w:pPr>
              <w:rPr>
                <w:b/>
              </w:rPr>
            </w:pPr>
            <w:r>
              <w:rPr>
                <w:b/>
              </w:rPr>
              <w:t>Comisia de Stat pentru Reglementarea Activității de Întreprinzător</w:t>
            </w:r>
          </w:p>
          <w:p w:rsidR="00302A5E" w:rsidRDefault="001372F6" w:rsidP="001372F6">
            <w:pPr>
              <w:rPr>
                <w:b/>
              </w:rPr>
            </w:pPr>
            <w:r>
              <w:t>Grupul de lucru,   Proces verbal din  20.07.2016</w:t>
            </w:r>
          </w:p>
        </w:tc>
        <w:tc>
          <w:tcPr>
            <w:tcW w:w="7548" w:type="dxa"/>
            <w:tcBorders>
              <w:top w:val="single" w:sz="4" w:space="0" w:color="auto"/>
              <w:left w:val="single" w:sz="4" w:space="0" w:color="auto"/>
              <w:right w:val="single" w:sz="4" w:space="0" w:color="auto"/>
            </w:tcBorders>
          </w:tcPr>
          <w:p w:rsidR="00302A5E" w:rsidRPr="000B04B1" w:rsidRDefault="007E6874" w:rsidP="005139AC">
            <w:pPr>
              <w:jc w:val="both"/>
              <w:rPr>
                <w:rFonts w:eastAsia="Arial-BoldMT"/>
                <w:bCs/>
                <w:lang w:val="en-US"/>
              </w:rPr>
            </w:pPr>
            <w:r>
              <w:t>Analiza Impactului de Reglementare acceptată.</w:t>
            </w:r>
          </w:p>
        </w:tc>
        <w:tc>
          <w:tcPr>
            <w:tcW w:w="4337" w:type="dxa"/>
            <w:tcBorders>
              <w:top w:val="single" w:sz="4" w:space="0" w:color="auto"/>
              <w:left w:val="single" w:sz="4" w:space="0" w:color="auto"/>
              <w:right w:val="single" w:sz="4" w:space="0" w:color="auto"/>
            </w:tcBorders>
          </w:tcPr>
          <w:p w:rsidR="00302A5E" w:rsidRDefault="00302A5E" w:rsidP="004912E9"/>
        </w:tc>
      </w:tr>
    </w:tbl>
    <w:p w:rsidR="000152C8" w:rsidRPr="00020E5A" w:rsidRDefault="000152C8" w:rsidP="002E7933"/>
    <w:sectPr w:rsidR="000152C8" w:rsidRPr="00020E5A" w:rsidSect="00966B7E">
      <w:footerReference w:type="even" r:id="rId9"/>
      <w:footerReference w:type="default" r:id="rId10"/>
      <w:pgSz w:w="15840" w:h="12240" w:orient="landscape" w:code="1"/>
      <w:pgMar w:top="357" w:right="357" w:bottom="28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923" w:rsidRDefault="00CE1923">
      <w:r>
        <w:separator/>
      </w:r>
    </w:p>
  </w:endnote>
  <w:endnote w:type="continuationSeparator" w:id="0">
    <w:p w:rsidR="00CE1923" w:rsidRDefault="00CE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MT">
    <w:altName w:val="MS Mincho"/>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78" w:rsidRDefault="00830201" w:rsidP="00711F6C">
    <w:pPr>
      <w:pStyle w:val="a8"/>
      <w:framePr w:wrap="around" w:vAnchor="text" w:hAnchor="margin" w:xAlign="right" w:y="1"/>
      <w:rPr>
        <w:rStyle w:val="a9"/>
      </w:rPr>
    </w:pPr>
    <w:r>
      <w:rPr>
        <w:rStyle w:val="a9"/>
      </w:rPr>
      <w:fldChar w:fldCharType="begin"/>
    </w:r>
    <w:r w:rsidR="002C4E78">
      <w:rPr>
        <w:rStyle w:val="a9"/>
      </w:rPr>
      <w:instrText xml:space="preserve">PAGE  </w:instrText>
    </w:r>
    <w:r>
      <w:rPr>
        <w:rStyle w:val="a9"/>
      </w:rPr>
      <w:fldChar w:fldCharType="end"/>
    </w:r>
  </w:p>
  <w:p w:rsidR="002C4E78" w:rsidRDefault="002C4E78" w:rsidP="00A92D8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78" w:rsidRDefault="00830201" w:rsidP="00711F6C">
    <w:pPr>
      <w:pStyle w:val="a8"/>
      <w:framePr w:wrap="around" w:vAnchor="text" w:hAnchor="margin" w:xAlign="right" w:y="1"/>
      <w:rPr>
        <w:rStyle w:val="a9"/>
      </w:rPr>
    </w:pPr>
    <w:r>
      <w:rPr>
        <w:rStyle w:val="a9"/>
      </w:rPr>
      <w:fldChar w:fldCharType="begin"/>
    </w:r>
    <w:r w:rsidR="002C4E78">
      <w:rPr>
        <w:rStyle w:val="a9"/>
      </w:rPr>
      <w:instrText xml:space="preserve">PAGE  </w:instrText>
    </w:r>
    <w:r>
      <w:rPr>
        <w:rStyle w:val="a9"/>
      </w:rPr>
      <w:fldChar w:fldCharType="separate"/>
    </w:r>
    <w:r w:rsidR="003273F2">
      <w:rPr>
        <w:rStyle w:val="a9"/>
        <w:noProof/>
      </w:rPr>
      <w:t>5</w:t>
    </w:r>
    <w:r>
      <w:rPr>
        <w:rStyle w:val="a9"/>
      </w:rPr>
      <w:fldChar w:fldCharType="end"/>
    </w:r>
  </w:p>
  <w:p w:rsidR="002C4E78" w:rsidRDefault="002C4E78" w:rsidP="00A92D8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923" w:rsidRDefault="00CE1923">
      <w:r>
        <w:separator/>
      </w:r>
    </w:p>
  </w:footnote>
  <w:footnote w:type="continuationSeparator" w:id="0">
    <w:p w:rsidR="00CE1923" w:rsidRDefault="00CE19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BC0212"/>
    <w:lvl w:ilvl="0">
      <w:numFmt w:val="bullet"/>
      <w:lvlText w:val="*"/>
      <w:lvlJc w:val="left"/>
    </w:lvl>
  </w:abstractNum>
  <w:abstractNum w:abstractNumId="1">
    <w:nsid w:val="05A06AA0"/>
    <w:multiLevelType w:val="hybridMultilevel"/>
    <w:tmpl w:val="AE3CA95E"/>
    <w:lvl w:ilvl="0" w:tplc="E7820782">
      <w:numFmt w:val="bullet"/>
      <w:lvlText w:val="-"/>
      <w:lvlJc w:val="left"/>
      <w:pPr>
        <w:ind w:left="720" w:hanging="360"/>
      </w:pPr>
      <w:rPr>
        <w:rFonts w:ascii="Times New Roman" w:eastAsia="Times New Roman" w:hAnsi="Times New Roman" w:cs="Times New Roman" w:hint="default"/>
        <w:b w:val="0"/>
        <w:i/>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1729A0"/>
    <w:multiLevelType w:val="hybridMultilevel"/>
    <w:tmpl w:val="B7BEAC16"/>
    <w:lvl w:ilvl="0" w:tplc="9D0EC4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FD2C2E"/>
    <w:multiLevelType w:val="hybridMultilevel"/>
    <w:tmpl w:val="EF563C8A"/>
    <w:lvl w:ilvl="0" w:tplc="CE84384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D55830"/>
    <w:multiLevelType w:val="hybridMultilevel"/>
    <w:tmpl w:val="C0DEC032"/>
    <w:lvl w:ilvl="0" w:tplc="967C9A70">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127AB6"/>
    <w:multiLevelType w:val="hybridMultilevel"/>
    <w:tmpl w:val="B136D33A"/>
    <w:lvl w:ilvl="0" w:tplc="6EF878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5107F6"/>
    <w:multiLevelType w:val="hybridMultilevel"/>
    <w:tmpl w:val="BF4C7A82"/>
    <w:lvl w:ilvl="0" w:tplc="9872C31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2C5894"/>
    <w:multiLevelType w:val="hybridMultilevel"/>
    <w:tmpl w:val="32DC75D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B14E8F"/>
    <w:multiLevelType w:val="hybridMultilevel"/>
    <w:tmpl w:val="45E263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815357"/>
    <w:multiLevelType w:val="hybridMultilevel"/>
    <w:tmpl w:val="13341E4A"/>
    <w:lvl w:ilvl="0" w:tplc="F7A4F35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B814AE"/>
    <w:multiLevelType w:val="hybridMultilevel"/>
    <w:tmpl w:val="A27050D6"/>
    <w:lvl w:ilvl="0" w:tplc="00980A70">
      <w:start w:val="1"/>
      <w:numFmt w:val="decimal"/>
      <w:lvlText w:val="%1."/>
      <w:lvlJc w:val="left"/>
      <w:pPr>
        <w:tabs>
          <w:tab w:val="num" w:pos="780"/>
        </w:tabs>
        <w:ind w:left="780" w:hanging="360"/>
      </w:pPr>
      <w:rPr>
        <w:b/>
      </w:rPr>
    </w:lvl>
    <w:lvl w:ilvl="1" w:tplc="967C9A70">
      <w:start w:val="19"/>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40A5940"/>
    <w:multiLevelType w:val="hybridMultilevel"/>
    <w:tmpl w:val="F0A825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AB0254"/>
    <w:multiLevelType w:val="hybridMultilevel"/>
    <w:tmpl w:val="7BD62ED4"/>
    <w:lvl w:ilvl="0" w:tplc="E5CE9D7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69603A"/>
    <w:multiLevelType w:val="hybridMultilevel"/>
    <w:tmpl w:val="9FCE0E06"/>
    <w:lvl w:ilvl="0" w:tplc="60C4A4F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CF52DE"/>
    <w:multiLevelType w:val="hybridMultilevel"/>
    <w:tmpl w:val="3648BC8E"/>
    <w:lvl w:ilvl="0" w:tplc="489A9840">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5C051A"/>
    <w:multiLevelType w:val="hybridMultilevel"/>
    <w:tmpl w:val="B5701E22"/>
    <w:lvl w:ilvl="0" w:tplc="75743D8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0A6519"/>
    <w:multiLevelType w:val="hybridMultilevel"/>
    <w:tmpl w:val="DE82BFCC"/>
    <w:lvl w:ilvl="0" w:tplc="0B921BE0">
      <w:start w:val="1"/>
      <w:numFmt w:val="low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1661A09"/>
    <w:multiLevelType w:val="hybridMultilevel"/>
    <w:tmpl w:val="16983FBC"/>
    <w:lvl w:ilvl="0" w:tplc="5EC050F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3624115"/>
    <w:multiLevelType w:val="hybridMultilevel"/>
    <w:tmpl w:val="71BCA25A"/>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88441C"/>
    <w:multiLevelType w:val="hybridMultilevel"/>
    <w:tmpl w:val="CA9AF09C"/>
    <w:lvl w:ilvl="0" w:tplc="07A6E99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4AEA310E"/>
    <w:multiLevelType w:val="hybridMultilevel"/>
    <w:tmpl w:val="4B14D5BA"/>
    <w:lvl w:ilvl="0" w:tplc="AD262366">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1">
    <w:nsid w:val="4F40001C"/>
    <w:multiLevelType w:val="hybridMultilevel"/>
    <w:tmpl w:val="891EB994"/>
    <w:lvl w:ilvl="0" w:tplc="EB3E410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F762C83"/>
    <w:multiLevelType w:val="hybridMultilevel"/>
    <w:tmpl w:val="BF2CA390"/>
    <w:lvl w:ilvl="0" w:tplc="E43C959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B913C4"/>
    <w:multiLevelType w:val="hybridMultilevel"/>
    <w:tmpl w:val="DCA68A04"/>
    <w:lvl w:ilvl="0" w:tplc="6EF8781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164461"/>
    <w:multiLevelType w:val="hybridMultilevel"/>
    <w:tmpl w:val="ADB8118A"/>
    <w:lvl w:ilvl="0" w:tplc="B67E8578">
      <w:numFmt w:val="bullet"/>
      <w:lvlText w:val="-"/>
      <w:lvlJc w:val="left"/>
      <w:pPr>
        <w:ind w:left="390" w:hanging="360"/>
      </w:pPr>
      <w:rPr>
        <w:rFonts w:ascii="Times New Roman" w:eastAsia="Times New Roman" w:hAnsi="Times New Roman" w:cs="Times New Roman" w:hint="default"/>
        <w:b/>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25">
    <w:nsid w:val="571457BA"/>
    <w:multiLevelType w:val="hybridMultilevel"/>
    <w:tmpl w:val="D14E47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715B15"/>
    <w:multiLevelType w:val="singleLevel"/>
    <w:tmpl w:val="C21AFECE"/>
    <w:lvl w:ilvl="0">
      <w:start w:val="5"/>
      <w:numFmt w:val="decimal"/>
      <w:lvlText w:val="%1."/>
      <w:legacy w:legacy="1" w:legacySpace="0" w:legacyIndent="298"/>
      <w:lvlJc w:val="left"/>
      <w:rPr>
        <w:rFonts w:ascii="Times New Roman" w:hAnsi="Times New Roman" w:cs="Times New Roman" w:hint="default"/>
      </w:rPr>
    </w:lvl>
  </w:abstractNum>
  <w:abstractNum w:abstractNumId="27">
    <w:nsid w:val="5C2F40CF"/>
    <w:multiLevelType w:val="hybridMultilevel"/>
    <w:tmpl w:val="2B12DBAC"/>
    <w:lvl w:ilvl="0" w:tplc="8ACAD1C8">
      <w:start w:val="5"/>
      <w:numFmt w:val="bullet"/>
      <w:lvlText w:val="-"/>
      <w:lvlJc w:val="left"/>
      <w:pPr>
        <w:ind w:left="720" w:hanging="360"/>
      </w:pPr>
      <w:rPr>
        <w:rFonts w:ascii="Times New Roman" w:eastAsia="Times New Roman"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AF5646"/>
    <w:multiLevelType w:val="hybridMultilevel"/>
    <w:tmpl w:val="A8E28824"/>
    <w:lvl w:ilvl="0" w:tplc="DE14329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D823FF"/>
    <w:multiLevelType w:val="hybridMultilevel"/>
    <w:tmpl w:val="8D2075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22168D7"/>
    <w:multiLevelType w:val="hybridMultilevel"/>
    <w:tmpl w:val="DC30BF42"/>
    <w:lvl w:ilvl="0" w:tplc="09A2FF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3AC1837"/>
    <w:multiLevelType w:val="hybridMultilevel"/>
    <w:tmpl w:val="D4C669BC"/>
    <w:lvl w:ilvl="0" w:tplc="99F4AB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8AD7DB1"/>
    <w:multiLevelType w:val="hybridMultilevel"/>
    <w:tmpl w:val="A5AA0B34"/>
    <w:lvl w:ilvl="0" w:tplc="0C10003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07B5D41"/>
    <w:multiLevelType w:val="hybridMultilevel"/>
    <w:tmpl w:val="B902208E"/>
    <w:lvl w:ilvl="0" w:tplc="8ACAD1C8">
      <w:start w:val="5"/>
      <w:numFmt w:val="bullet"/>
      <w:lvlText w:val="-"/>
      <w:lvlJc w:val="left"/>
      <w:pPr>
        <w:ind w:left="720" w:hanging="360"/>
      </w:pPr>
      <w:rPr>
        <w:rFonts w:ascii="Times New Roman" w:eastAsia="Times New Roman" w:hAnsi="Times New Roman" w:cs="Times New Roman" w:hint="default"/>
        <w:b/>
        <w:i/>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E7593C"/>
    <w:multiLevelType w:val="hybridMultilevel"/>
    <w:tmpl w:val="0966D3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8A358C"/>
    <w:multiLevelType w:val="hybridMultilevel"/>
    <w:tmpl w:val="52BC57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D241F0E"/>
    <w:multiLevelType w:val="hybridMultilevel"/>
    <w:tmpl w:val="6CB84CC2"/>
    <w:lvl w:ilvl="0" w:tplc="29505A5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1"/>
  </w:num>
  <w:num w:numId="4">
    <w:abstractNumId w:val="5"/>
  </w:num>
  <w:num w:numId="5">
    <w:abstractNumId w:val="18"/>
  </w:num>
  <w:num w:numId="6">
    <w:abstractNumId w:val="16"/>
  </w:num>
  <w:num w:numId="7">
    <w:abstractNumId w:val="15"/>
  </w:num>
  <w:num w:numId="8">
    <w:abstractNumId w:val="22"/>
  </w:num>
  <w:num w:numId="9">
    <w:abstractNumId w:val="35"/>
  </w:num>
  <w:num w:numId="10">
    <w:abstractNumId w:val="34"/>
  </w:num>
  <w:num w:numId="11">
    <w:abstractNumId w:val="7"/>
  </w:num>
  <w:num w:numId="12">
    <w:abstractNumId w:val="12"/>
  </w:num>
  <w:num w:numId="13">
    <w:abstractNumId w:val="8"/>
  </w:num>
  <w:num w:numId="14">
    <w:abstractNumId w:val="25"/>
  </w:num>
  <w:num w:numId="15">
    <w:abstractNumId w:val="29"/>
  </w:num>
  <w:num w:numId="16">
    <w:abstractNumId w:val="23"/>
  </w:num>
  <w:num w:numId="17">
    <w:abstractNumId w:val="28"/>
  </w:num>
  <w:num w:numId="18">
    <w:abstractNumId w:val="20"/>
  </w:num>
  <w:num w:numId="19">
    <w:abstractNumId w:val="24"/>
  </w:num>
  <w:num w:numId="20">
    <w:abstractNumId w:val="31"/>
  </w:num>
  <w:num w:numId="21">
    <w:abstractNumId w:val="21"/>
  </w:num>
  <w:num w:numId="22">
    <w:abstractNumId w:val="2"/>
  </w:num>
  <w:num w:numId="23">
    <w:abstractNumId w:val="9"/>
  </w:num>
  <w:num w:numId="24">
    <w:abstractNumId w:val="17"/>
  </w:num>
  <w:num w:numId="25">
    <w:abstractNumId w:val="30"/>
  </w:num>
  <w:num w:numId="26">
    <w:abstractNumId w:val="32"/>
  </w:num>
  <w:num w:numId="27">
    <w:abstractNumId w:val="3"/>
  </w:num>
  <w:num w:numId="28">
    <w:abstractNumId w:val="36"/>
  </w:num>
  <w:num w:numId="29">
    <w:abstractNumId w:val="6"/>
  </w:num>
  <w:num w:numId="30">
    <w:abstractNumId w:val="13"/>
  </w:num>
  <w:num w:numId="31">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32">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33">
    <w:abstractNumId w:val="1"/>
  </w:num>
  <w:num w:numId="34">
    <w:abstractNumId w:val="33"/>
  </w:num>
  <w:num w:numId="35">
    <w:abstractNumId w:val="4"/>
  </w:num>
  <w:num w:numId="36">
    <w:abstractNumId w:val="26"/>
  </w:num>
  <w:num w:numId="37">
    <w:abstractNumId w:val="27"/>
  </w:num>
  <w:num w:numId="38">
    <w:abstractNumId w:val="19"/>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2C8"/>
    <w:rsid w:val="00012ED3"/>
    <w:rsid w:val="000152C8"/>
    <w:rsid w:val="000158B1"/>
    <w:rsid w:val="00015ADA"/>
    <w:rsid w:val="00016E42"/>
    <w:rsid w:val="000172FB"/>
    <w:rsid w:val="00020E5A"/>
    <w:rsid w:val="00027833"/>
    <w:rsid w:val="0003625B"/>
    <w:rsid w:val="00045F6C"/>
    <w:rsid w:val="000506E7"/>
    <w:rsid w:val="00056F53"/>
    <w:rsid w:val="0005718E"/>
    <w:rsid w:val="00060ABA"/>
    <w:rsid w:val="0006268B"/>
    <w:rsid w:val="00062B8C"/>
    <w:rsid w:val="00063B9D"/>
    <w:rsid w:val="000643A4"/>
    <w:rsid w:val="00064CDF"/>
    <w:rsid w:val="00065243"/>
    <w:rsid w:val="00072D89"/>
    <w:rsid w:val="00075BF9"/>
    <w:rsid w:val="00077814"/>
    <w:rsid w:val="00077DA3"/>
    <w:rsid w:val="000873A6"/>
    <w:rsid w:val="0008785F"/>
    <w:rsid w:val="000A11FA"/>
    <w:rsid w:val="000A24E3"/>
    <w:rsid w:val="000A2CC0"/>
    <w:rsid w:val="000A541C"/>
    <w:rsid w:val="000A5810"/>
    <w:rsid w:val="000A63B7"/>
    <w:rsid w:val="000A65D5"/>
    <w:rsid w:val="000A7A14"/>
    <w:rsid w:val="000B04B1"/>
    <w:rsid w:val="000B0D98"/>
    <w:rsid w:val="000C1036"/>
    <w:rsid w:val="000C1193"/>
    <w:rsid w:val="000C2CEB"/>
    <w:rsid w:val="000C3899"/>
    <w:rsid w:val="000C4CA6"/>
    <w:rsid w:val="000C54F1"/>
    <w:rsid w:val="000D1E26"/>
    <w:rsid w:val="000D2497"/>
    <w:rsid w:val="000D266C"/>
    <w:rsid w:val="000D283A"/>
    <w:rsid w:val="000D3164"/>
    <w:rsid w:val="000E358C"/>
    <w:rsid w:val="000E42BD"/>
    <w:rsid w:val="000F25EB"/>
    <w:rsid w:val="00117C75"/>
    <w:rsid w:val="00122E6E"/>
    <w:rsid w:val="00125EE2"/>
    <w:rsid w:val="00126CC4"/>
    <w:rsid w:val="00134861"/>
    <w:rsid w:val="001372F6"/>
    <w:rsid w:val="0014272F"/>
    <w:rsid w:val="001438C1"/>
    <w:rsid w:val="00152B5F"/>
    <w:rsid w:val="001659BB"/>
    <w:rsid w:val="001724A7"/>
    <w:rsid w:val="001836A7"/>
    <w:rsid w:val="0018453F"/>
    <w:rsid w:val="001845ED"/>
    <w:rsid w:val="00185B99"/>
    <w:rsid w:val="001A3781"/>
    <w:rsid w:val="001B2960"/>
    <w:rsid w:val="001C21B7"/>
    <w:rsid w:val="001C6E46"/>
    <w:rsid w:val="001C7C85"/>
    <w:rsid w:val="001D480B"/>
    <w:rsid w:val="001D6F68"/>
    <w:rsid w:val="001E40C1"/>
    <w:rsid w:val="001E5CD4"/>
    <w:rsid w:val="001F1C07"/>
    <w:rsid w:val="001F29E2"/>
    <w:rsid w:val="0020277E"/>
    <w:rsid w:val="00204CCD"/>
    <w:rsid w:val="002100ED"/>
    <w:rsid w:val="00212FE4"/>
    <w:rsid w:val="00213BFC"/>
    <w:rsid w:val="00216172"/>
    <w:rsid w:val="002225B9"/>
    <w:rsid w:val="0022373F"/>
    <w:rsid w:val="00224145"/>
    <w:rsid w:val="00224574"/>
    <w:rsid w:val="002274F9"/>
    <w:rsid w:val="002315AF"/>
    <w:rsid w:val="00237640"/>
    <w:rsid w:val="00237C92"/>
    <w:rsid w:val="00260493"/>
    <w:rsid w:val="00263E28"/>
    <w:rsid w:val="002662CC"/>
    <w:rsid w:val="00267DA0"/>
    <w:rsid w:val="00270C24"/>
    <w:rsid w:val="00274221"/>
    <w:rsid w:val="00290F48"/>
    <w:rsid w:val="002A04E8"/>
    <w:rsid w:val="002A488F"/>
    <w:rsid w:val="002A6F14"/>
    <w:rsid w:val="002B3449"/>
    <w:rsid w:val="002C00C8"/>
    <w:rsid w:val="002C29CE"/>
    <w:rsid w:val="002C4E78"/>
    <w:rsid w:val="002D5917"/>
    <w:rsid w:val="002E7933"/>
    <w:rsid w:val="002F0CEA"/>
    <w:rsid w:val="002F0D22"/>
    <w:rsid w:val="002F1274"/>
    <w:rsid w:val="00301298"/>
    <w:rsid w:val="00302681"/>
    <w:rsid w:val="00302A5E"/>
    <w:rsid w:val="00304BD4"/>
    <w:rsid w:val="00305E70"/>
    <w:rsid w:val="003062F8"/>
    <w:rsid w:val="00307294"/>
    <w:rsid w:val="00320E47"/>
    <w:rsid w:val="00325F0C"/>
    <w:rsid w:val="003273F2"/>
    <w:rsid w:val="003343BF"/>
    <w:rsid w:val="0034044D"/>
    <w:rsid w:val="003436C7"/>
    <w:rsid w:val="00344D05"/>
    <w:rsid w:val="00347C66"/>
    <w:rsid w:val="00355B17"/>
    <w:rsid w:val="00362894"/>
    <w:rsid w:val="00364572"/>
    <w:rsid w:val="00366C20"/>
    <w:rsid w:val="00377614"/>
    <w:rsid w:val="00381902"/>
    <w:rsid w:val="00383029"/>
    <w:rsid w:val="00383C48"/>
    <w:rsid w:val="00386112"/>
    <w:rsid w:val="00386A38"/>
    <w:rsid w:val="003903F4"/>
    <w:rsid w:val="00391A5E"/>
    <w:rsid w:val="00393A6E"/>
    <w:rsid w:val="003A0BCE"/>
    <w:rsid w:val="003A1C18"/>
    <w:rsid w:val="003A5D51"/>
    <w:rsid w:val="003C1974"/>
    <w:rsid w:val="003C41D9"/>
    <w:rsid w:val="003D2B61"/>
    <w:rsid w:val="003D425A"/>
    <w:rsid w:val="003E0038"/>
    <w:rsid w:val="003E287C"/>
    <w:rsid w:val="003E5987"/>
    <w:rsid w:val="003F453D"/>
    <w:rsid w:val="003F4B59"/>
    <w:rsid w:val="003F5260"/>
    <w:rsid w:val="003F6860"/>
    <w:rsid w:val="00400C2A"/>
    <w:rsid w:val="004018E6"/>
    <w:rsid w:val="004034AD"/>
    <w:rsid w:val="004042D1"/>
    <w:rsid w:val="0041384F"/>
    <w:rsid w:val="00415714"/>
    <w:rsid w:val="00422960"/>
    <w:rsid w:val="0042436A"/>
    <w:rsid w:val="00425357"/>
    <w:rsid w:val="0042610D"/>
    <w:rsid w:val="00427337"/>
    <w:rsid w:val="004302EF"/>
    <w:rsid w:val="00433CC0"/>
    <w:rsid w:val="00433F7F"/>
    <w:rsid w:val="00435516"/>
    <w:rsid w:val="00437A61"/>
    <w:rsid w:val="00442964"/>
    <w:rsid w:val="00444BB9"/>
    <w:rsid w:val="004515FC"/>
    <w:rsid w:val="00453BE8"/>
    <w:rsid w:val="00457CD4"/>
    <w:rsid w:val="004635EB"/>
    <w:rsid w:val="00464BC4"/>
    <w:rsid w:val="00472D7A"/>
    <w:rsid w:val="00474930"/>
    <w:rsid w:val="004865D4"/>
    <w:rsid w:val="00487547"/>
    <w:rsid w:val="004912E9"/>
    <w:rsid w:val="004A1B45"/>
    <w:rsid w:val="004A3EEB"/>
    <w:rsid w:val="004A4A25"/>
    <w:rsid w:val="004B1818"/>
    <w:rsid w:val="004B1A85"/>
    <w:rsid w:val="004B27F2"/>
    <w:rsid w:val="004C00A4"/>
    <w:rsid w:val="004C33DE"/>
    <w:rsid w:val="004D0AE4"/>
    <w:rsid w:val="004D250B"/>
    <w:rsid w:val="004E2411"/>
    <w:rsid w:val="004E48BD"/>
    <w:rsid w:val="004F59C1"/>
    <w:rsid w:val="004F6766"/>
    <w:rsid w:val="00501B60"/>
    <w:rsid w:val="00502936"/>
    <w:rsid w:val="00506C79"/>
    <w:rsid w:val="005112DF"/>
    <w:rsid w:val="005117E9"/>
    <w:rsid w:val="005139AC"/>
    <w:rsid w:val="00514956"/>
    <w:rsid w:val="005179BA"/>
    <w:rsid w:val="005232DE"/>
    <w:rsid w:val="00524E2D"/>
    <w:rsid w:val="00534372"/>
    <w:rsid w:val="00545238"/>
    <w:rsid w:val="005473EE"/>
    <w:rsid w:val="00550D97"/>
    <w:rsid w:val="00550F8A"/>
    <w:rsid w:val="0055160B"/>
    <w:rsid w:val="005529F4"/>
    <w:rsid w:val="00554BE9"/>
    <w:rsid w:val="005554C4"/>
    <w:rsid w:val="00560926"/>
    <w:rsid w:val="0057264F"/>
    <w:rsid w:val="00575B99"/>
    <w:rsid w:val="00581B09"/>
    <w:rsid w:val="00581C71"/>
    <w:rsid w:val="00592C06"/>
    <w:rsid w:val="00593C7F"/>
    <w:rsid w:val="005947C1"/>
    <w:rsid w:val="005965D1"/>
    <w:rsid w:val="005A256F"/>
    <w:rsid w:val="005A5177"/>
    <w:rsid w:val="005A7243"/>
    <w:rsid w:val="005B3CEE"/>
    <w:rsid w:val="005B62CB"/>
    <w:rsid w:val="005B6CD0"/>
    <w:rsid w:val="005C0EF5"/>
    <w:rsid w:val="005C1167"/>
    <w:rsid w:val="005C50D7"/>
    <w:rsid w:val="005C5FF3"/>
    <w:rsid w:val="005E41D2"/>
    <w:rsid w:val="005E4852"/>
    <w:rsid w:val="005E653D"/>
    <w:rsid w:val="005F4DBB"/>
    <w:rsid w:val="00614F71"/>
    <w:rsid w:val="00615E15"/>
    <w:rsid w:val="006202F7"/>
    <w:rsid w:val="00620D63"/>
    <w:rsid w:val="00631273"/>
    <w:rsid w:val="00632330"/>
    <w:rsid w:val="00632EAE"/>
    <w:rsid w:val="006337C0"/>
    <w:rsid w:val="0063407C"/>
    <w:rsid w:val="00647772"/>
    <w:rsid w:val="00647BAD"/>
    <w:rsid w:val="00655291"/>
    <w:rsid w:val="00662B9D"/>
    <w:rsid w:val="00663C10"/>
    <w:rsid w:val="00664B00"/>
    <w:rsid w:val="00664BA9"/>
    <w:rsid w:val="006713C2"/>
    <w:rsid w:val="00671A04"/>
    <w:rsid w:val="00671CFC"/>
    <w:rsid w:val="00675C19"/>
    <w:rsid w:val="00680253"/>
    <w:rsid w:val="00682749"/>
    <w:rsid w:val="00682B2F"/>
    <w:rsid w:val="00683015"/>
    <w:rsid w:val="00684BE5"/>
    <w:rsid w:val="00684C86"/>
    <w:rsid w:val="006865E9"/>
    <w:rsid w:val="00691355"/>
    <w:rsid w:val="0069783F"/>
    <w:rsid w:val="006978F7"/>
    <w:rsid w:val="006A2474"/>
    <w:rsid w:val="006A64A8"/>
    <w:rsid w:val="006A7842"/>
    <w:rsid w:val="006B046A"/>
    <w:rsid w:val="006B4C32"/>
    <w:rsid w:val="006B50D2"/>
    <w:rsid w:val="006B7407"/>
    <w:rsid w:val="006B7CF9"/>
    <w:rsid w:val="006C5640"/>
    <w:rsid w:val="006C729F"/>
    <w:rsid w:val="006C7758"/>
    <w:rsid w:val="006C79DD"/>
    <w:rsid w:val="006D4416"/>
    <w:rsid w:val="006D46C3"/>
    <w:rsid w:val="006D4E25"/>
    <w:rsid w:val="006D6207"/>
    <w:rsid w:val="006D709B"/>
    <w:rsid w:val="006E6F36"/>
    <w:rsid w:val="006E7ED2"/>
    <w:rsid w:val="006F36DC"/>
    <w:rsid w:val="006F535B"/>
    <w:rsid w:val="006F69D2"/>
    <w:rsid w:val="00702C47"/>
    <w:rsid w:val="00703F46"/>
    <w:rsid w:val="00710E61"/>
    <w:rsid w:val="00711F6C"/>
    <w:rsid w:val="00725B5F"/>
    <w:rsid w:val="00731704"/>
    <w:rsid w:val="00733C75"/>
    <w:rsid w:val="007378C3"/>
    <w:rsid w:val="00740673"/>
    <w:rsid w:val="00740DC4"/>
    <w:rsid w:val="00743B1B"/>
    <w:rsid w:val="007450DF"/>
    <w:rsid w:val="00753A78"/>
    <w:rsid w:val="00755524"/>
    <w:rsid w:val="00755917"/>
    <w:rsid w:val="007578A8"/>
    <w:rsid w:val="00763AD4"/>
    <w:rsid w:val="007667FD"/>
    <w:rsid w:val="007735E2"/>
    <w:rsid w:val="007754B1"/>
    <w:rsid w:val="00776629"/>
    <w:rsid w:val="007813C4"/>
    <w:rsid w:val="0078186D"/>
    <w:rsid w:val="007833BB"/>
    <w:rsid w:val="00786CE6"/>
    <w:rsid w:val="00793A4F"/>
    <w:rsid w:val="00793EF7"/>
    <w:rsid w:val="007A2E5B"/>
    <w:rsid w:val="007A5524"/>
    <w:rsid w:val="007B0255"/>
    <w:rsid w:val="007D0BC8"/>
    <w:rsid w:val="007D18B9"/>
    <w:rsid w:val="007D2630"/>
    <w:rsid w:val="007D2FAB"/>
    <w:rsid w:val="007E1561"/>
    <w:rsid w:val="007E398E"/>
    <w:rsid w:val="007E5DB7"/>
    <w:rsid w:val="007E6874"/>
    <w:rsid w:val="007F041E"/>
    <w:rsid w:val="007F0A67"/>
    <w:rsid w:val="007F24D6"/>
    <w:rsid w:val="0080117B"/>
    <w:rsid w:val="00801E90"/>
    <w:rsid w:val="008069D7"/>
    <w:rsid w:val="00811BC0"/>
    <w:rsid w:val="008120E5"/>
    <w:rsid w:val="008126BE"/>
    <w:rsid w:val="00813E0A"/>
    <w:rsid w:val="00814161"/>
    <w:rsid w:val="008171D9"/>
    <w:rsid w:val="00822237"/>
    <w:rsid w:val="00827211"/>
    <w:rsid w:val="00830201"/>
    <w:rsid w:val="00830D3B"/>
    <w:rsid w:val="008439CA"/>
    <w:rsid w:val="00845482"/>
    <w:rsid w:val="008500AA"/>
    <w:rsid w:val="0085611C"/>
    <w:rsid w:val="00856782"/>
    <w:rsid w:val="00857D7D"/>
    <w:rsid w:val="00863178"/>
    <w:rsid w:val="0086471A"/>
    <w:rsid w:val="00865A84"/>
    <w:rsid w:val="00870268"/>
    <w:rsid w:val="00870821"/>
    <w:rsid w:val="00874256"/>
    <w:rsid w:val="008756A1"/>
    <w:rsid w:val="00881D15"/>
    <w:rsid w:val="00886410"/>
    <w:rsid w:val="008B3D1A"/>
    <w:rsid w:val="008B4BC1"/>
    <w:rsid w:val="008C2055"/>
    <w:rsid w:val="008C50A0"/>
    <w:rsid w:val="008D0E62"/>
    <w:rsid w:val="008D5060"/>
    <w:rsid w:val="008D62C9"/>
    <w:rsid w:val="008E2DF4"/>
    <w:rsid w:val="008E38E2"/>
    <w:rsid w:val="008E63D0"/>
    <w:rsid w:val="008F03F6"/>
    <w:rsid w:val="008F071D"/>
    <w:rsid w:val="008F41CC"/>
    <w:rsid w:val="008F5A97"/>
    <w:rsid w:val="008F79D4"/>
    <w:rsid w:val="00900A4A"/>
    <w:rsid w:val="00900AA7"/>
    <w:rsid w:val="00916733"/>
    <w:rsid w:val="0091776B"/>
    <w:rsid w:val="00921B6A"/>
    <w:rsid w:val="009223AD"/>
    <w:rsid w:val="00924505"/>
    <w:rsid w:val="00932841"/>
    <w:rsid w:val="00933D4E"/>
    <w:rsid w:val="00935504"/>
    <w:rsid w:val="009356A7"/>
    <w:rsid w:val="00937530"/>
    <w:rsid w:val="00942511"/>
    <w:rsid w:val="00951AC9"/>
    <w:rsid w:val="00951CF6"/>
    <w:rsid w:val="00952AAB"/>
    <w:rsid w:val="00957C19"/>
    <w:rsid w:val="0096615B"/>
    <w:rsid w:val="00966B7E"/>
    <w:rsid w:val="00970AEA"/>
    <w:rsid w:val="00974BED"/>
    <w:rsid w:val="0097768D"/>
    <w:rsid w:val="00977AAB"/>
    <w:rsid w:val="00983037"/>
    <w:rsid w:val="00983BBD"/>
    <w:rsid w:val="0098550E"/>
    <w:rsid w:val="00985A7D"/>
    <w:rsid w:val="00987457"/>
    <w:rsid w:val="00991781"/>
    <w:rsid w:val="009976AA"/>
    <w:rsid w:val="009B18CF"/>
    <w:rsid w:val="009B4B6A"/>
    <w:rsid w:val="009C3212"/>
    <w:rsid w:val="009D39CF"/>
    <w:rsid w:val="009D7609"/>
    <w:rsid w:val="009E3622"/>
    <w:rsid w:val="009F01CE"/>
    <w:rsid w:val="009F2325"/>
    <w:rsid w:val="009F30DA"/>
    <w:rsid w:val="009F3FF6"/>
    <w:rsid w:val="009F4C1F"/>
    <w:rsid w:val="00A05451"/>
    <w:rsid w:val="00A07759"/>
    <w:rsid w:val="00A12B23"/>
    <w:rsid w:val="00A17104"/>
    <w:rsid w:val="00A172F5"/>
    <w:rsid w:val="00A17EC4"/>
    <w:rsid w:val="00A22E1B"/>
    <w:rsid w:val="00A23A1D"/>
    <w:rsid w:val="00A3078D"/>
    <w:rsid w:val="00A332AA"/>
    <w:rsid w:val="00A3481B"/>
    <w:rsid w:val="00A353AE"/>
    <w:rsid w:val="00A35BB7"/>
    <w:rsid w:val="00A37B53"/>
    <w:rsid w:val="00A45AD2"/>
    <w:rsid w:val="00A51C8F"/>
    <w:rsid w:val="00A625B5"/>
    <w:rsid w:val="00A62C02"/>
    <w:rsid w:val="00A63DA6"/>
    <w:rsid w:val="00A643B1"/>
    <w:rsid w:val="00A6441D"/>
    <w:rsid w:val="00A65355"/>
    <w:rsid w:val="00A72228"/>
    <w:rsid w:val="00A75D3A"/>
    <w:rsid w:val="00A805F2"/>
    <w:rsid w:val="00A91ED4"/>
    <w:rsid w:val="00A92D80"/>
    <w:rsid w:val="00AA151C"/>
    <w:rsid w:val="00AA1C64"/>
    <w:rsid w:val="00AA2C6F"/>
    <w:rsid w:val="00AA4619"/>
    <w:rsid w:val="00AA7482"/>
    <w:rsid w:val="00AB074E"/>
    <w:rsid w:val="00AB3891"/>
    <w:rsid w:val="00AB3ABE"/>
    <w:rsid w:val="00AC1753"/>
    <w:rsid w:val="00AC541A"/>
    <w:rsid w:val="00AD0F17"/>
    <w:rsid w:val="00AD7426"/>
    <w:rsid w:val="00AD7832"/>
    <w:rsid w:val="00AE73DB"/>
    <w:rsid w:val="00AF0550"/>
    <w:rsid w:val="00AF3FA2"/>
    <w:rsid w:val="00AF4C99"/>
    <w:rsid w:val="00B00191"/>
    <w:rsid w:val="00B03327"/>
    <w:rsid w:val="00B04876"/>
    <w:rsid w:val="00B04E75"/>
    <w:rsid w:val="00B05124"/>
    <w:rsid w:val="00B12089"/>
    <w:rsid w:val="00B133A8"/>
    <w:rsid w:val="00B1374F"/>
    <w:rsid w:val="00B1398C"/>
    <w:rsid w:val="00B20463"/>
    <w:rsid w:val="00B2111C"/>
    <w:rsid w:val="00B21C81"/>
    <w:rsid w:val="00B34784"/>
    <w:rsid w:val="00B407A0"/>
    <w:rsid w:val="00B439F6"/>
    <w:rsid w:val="00B454EE"/>
    <w:rsid w:val="00B53D0E"/>
    <w:rsid w:val="00B57D0B"/>
    <w:rsid w:val="00B64666"/>
    <w:rsid w:val="00B70822"/>
    <w:rsid w:val="00B71FB4"/>
    <w:rsid w:val="00B74407"/>
    <w:rsid w:val="00B74C51"/>
    <w:rsid w:val="00B7528D"/>
    <w:rsid w:val="00B83512"/>
    <w:rsid w:val="00B83D2F"/>
    <w:rsid w:val="00B877C7"/>
    <w:rsid w:val="00B920D3"/>
    <w:rsid w:val="00B974AB"/>
    <w:rsid w:val="00BA1517"/>
    <w:rsid w:val="00BA2099"/>
    <w:rsid w:val="00BA6BDB"/>
    <w:rsid w:val="00BB1F97"/>
    <w:rsid w:val="00BB765A"/>
    <w:rsid w:val="00BC5DD9"/>
    <w:rsid w:val="00BC62CF"/>
    <w:rsid w:val="00BD66DD"/>
    <w:rsid w:val="00BD70A6"/>
    <w:rsid w:val="00BF0EE1"/>
    <w:rsid w:val="00BF10AA"/>
    <w:rsid w:val="00BF5AC8"/>
    <w:rsid w:val="00C07AB0"/>
    <w:rsid w:val="00C169BC"/>
    <w:rsid w:val="00C23000"/>
    <w:rsid w:val="00C30DA4"/>
    <w:rsid w:val="00C32712"/>
    <w:rsid w:val="00C34781"/>
    <w:rsid w:val="00C4065B"/>
    <w:rsid w:val="00C524D6"/>
    <w:rsid w:val="00C53D55"/>
    <w:rsid w:val="00C5558D"/>
    <w:rsid w:val="00C5686D"/>
    <w:rsid w:val="00C60DF0"/>
    <w:rsid w:val="00C64FF6"/>
    <w:rsid w:val="00C66238"/>
    <w:rsid w:val="00C73183"/>
    <w:rsid w:val="00C86458"/>
    <w:rsid w:val="00C94363"/>
    <w:rsid w:val="00CA1AF4"/>
    <w:rsid w:val="00CA6C40"/>
    <w:rsid w:val="00CA7404"/>
    <w:rsid w:val="00CB6121"/>
    <w:rsid w:val="00CC238B"/>
    <w:rsid w:val="00CC360E"/>
    <w:rsid w:val="00CC3A6B"/>
    <w:rsid w:val="00CD4843"/>
    <w:rsid w:val="00CD671F"/>
    <w:rsid w:val="00CE0210"/>
    <w:rsid w:val="00CE09C0"/>
    <w:rsid w:val="00CE1923"/>
    <w:rsid w:val="00CE5753"/>
    <w:rsid w:val="00CE5F67"/>
    <w:rsid w:val="00CF20F9"/>
    <w:rsid w:val="00CF27A0"/>
    <w:rsid w:val="00CF4814"/>
    <w:rsid w:val="00D01610"/>
    <w:rsid w:val="00D0385F"/>
    <w:rsid w:val="00D044F2"/>
    <w:rsid w:val="00D12459"/>
    <w:rsid w:val="00D1420B"/>
    <w:rsid w:val="00D153A7"/>
    <w:rsid w:val="00D43F49"/>
    <w:rsid w:val="00D50F6B"/>
    <w:rsid w:val="00D51FCE"/>
    <w:rsid w:val="00D600E1"/>
    <w:rsid w:val="00D617D4"/>
    <w:rsid w:val="00D6258A"/>
    <w:rsid w:val="00D7110B"/>
    <w:rsid w:val="00D71383"/>
    <w:rsid w:val="00D7513A"/>
    <w:rsid w:val="00D76153"/>
    <w:rsid w:val="00D76710"/>
    <w:rsid w:val="00D833EA"/>
    <w:rsid w:val="00D86B18"/>
    <w:rsid w:val="00D90D41"/>
    <w:rsid w:val="00D91614"/>
    <w:rsid w:val="00D966CA"/>
    <w:rsid w:val="00DA0405"/>
    <w:rsid w:val="00DA2994"/>
    <w:rsid w:val="00DA6887"/>
    <w:rsid w:val="00DC4DE0"/>
    <w:rsid w:val="00DC72F1"/>
    <w:rsid w:val="00DD0C7F"/>
    <w:rsid w:val="00DD5AEA"/>
    <w:rsid w:val="00DE78D4"/>
    <w:rsid w:val="00DF0676"/>
    <w:rsid w:val="00E0046E"/>
    <w:rsid w:val="00E026B4"/>
    <w:rsid w:val="00E03251"/>
    <w:rsid w:val="00E03E60"/>
    <w:rsid w:val="00E1046E"/>
    <w:rsid w:val="00E14CB1"/>
    <w:rsid w:val="00E204AD"/>
    <w:rsid w:val="00E21686"/>
    <w:rsid w:val="00E22D1A"/>
    <w:rsid w:val="00E37DE1"/>
    <w:rsid w:val="00E44066"/>
    <w:rsid w:val="00E45B2F"/>
    <w:rsid w:val="00E531CB"/>
    <w:rsid w:val="00E534A6"/>
    <w:rsid w:val="00E539E9"/>
    <w:rsid w:val="00E540F3"/>
    <w:rsid w:val="00E559A0"/>
    <w:rsid w:val="00E619C8"/>
    <w:rsid w:val="00E66CE3"/>
    <w:rsid w:val="00E82980"/>
    <w:rsid w:val="00E855FA"/>
    <w:rsid w:val="00E87BAB"/>
    <w:rsid w:val="00EA09F0"/>
    <w:rsid w:val="00EA2594"/>
    <w:rsid w:val="00EA2C63"/>
    <w:rsid w:val="00EA56E1"/>
    <w:rsid w:val="00EB028D"/>
    <w:rsid w:val="00EB093E"/>
    <w:rsid w:val="00EB1232"/>
    <w:rsid w:val="00EC2698"/>
    <w:rsid w:val="00EC595B"/>
    <w:rsid w:val="00ED1103"/>
    <w:rsid w:val="00ED4251"/>
    <w:rsid w:val="00EE0B5F"/>
    <w:rsid w:val="00EF5FD3"/>
    <w:rsid w:val="00EF6030"/>
    <w:rsid w:val="00EF6F42"/>
    <w:rsid w:val="00F06996"/>
    <w:rsid w:val="00F1403A"/>
    <w:rsid w:val="00F2045F"/>
    <w:rsid w:val="00F325D1"/>
    <w:rsid w:val="00F3385C"/>
    <w:rsid w:val="00F367AD"/>
    <w:rsid w:val="00F42D9B"/>
    <w:rsid w:val="00F431D0"/>
    <w:rsid w:val="00F442ED"/>
    <w:rsid w:val="00F452E1"/>
    <w:rsid w:val="00F62941"/>
    <w:rsid w:val="00F75108"/>
    <w:rsid w:val="00F93039"/>
    <w:rsid w:val="00F96D3E"/>
    <w:rsid w:val="00FB2E73"/>
    <w:rsid w:val="00FC2072"/>
    <w:rsid w:val="00FD5C8D"/>
    <w:rsid w:val="00FD6715"/>
    <w:rsid w:val="00FE0266"/>
    <w:rsid w:val="00FE1EF6"/>
    <w:rsid w:val="00FF3B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52C8"/>
    <w:rPr>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5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semiHidden/>
    <w:rsid w:val="00DD5AEA"/>
    <w:rPr>
      <w:sz w:val="20"/>
      <w:szCs w:val="20"/>
      <w:lang w:val="en-US" w:eastAsia="en-US"/>
    </w:rPr>
  </w:style>
  <w:style w:type="paragraph" w:styleId="a5">
    <w:name w:val="Balloon Text"/>
    <w:basedOn w:val="a"/>
    <w:semiHidden/>
    <w:rsid w:val="00ED4251"/>
    <w:rPr>
      <w:rFonts w:ascii="Tahoma" w:hAnsi="Tahoma" w:cs="Tahoma"/>
      <w:sz w:val="16"/>
      <w:szCs w:val="16"/>
      <w:lang w:val="en-US" w:eastAsia="en-US"/>
    </w:rPr>
  </w:style>
  <w:style w:type="paragraph" w:styleId="a6">
    <w:name w:val="Normal (Web)"/>
    <w:aliases w:val="Знак, Знак"/>
    <w:basedOn w:val="a"/>
    <w:link w:val="a7"/>
    <w:uiPriority w:val="99"/>
    <w:qFormat/>
    <w:rsid w:val="00EF6030"/>
    <w:pPr>
      <w:ind w:firstLine="567"/>
      <w:jc w:val="both"/>
    </w:pPr>
    <w:rPr>
      <w:lang w:val="ru-RU"/>
    </w:rPr>
  </w:style>
  <w:style w:type="paragraph" w:styleId="a8">
    <w:name w:val="footer"/>
    <w:basedOn w:val="a"/>
    <w:rsid w:val="00A92D80"/>
    <w:pPr>
      <w:tabs>
        <w:tab w:val="center" w:pos="4320"/>
        <w:tab w:val="right" w:pos="8640"/>
      </w:tabs>
    </w:pPr>
  </w:style>
  <w:style w:type="character" w:styleId="a9">
    <w:name w:val="page number"/>
    <w:basedOn w:val="a0"/>
    <w:rsid w:val="00A92D80"/>
  </w:style>
  <w:style w:type="paragraph" w:customStyle="1" w:styleId="CharChar">
    <w:name w:val="Знак Знак Char Знак Знак Char"/>
    <w:basedOn w:val="a"/>
    <w:rsid w:val="00B7528D"/>
    <w:pPr>
      <w:spacing w:after="160" w:line="240" w:lineRule="exact"/>
    </w:pPr>
    <w:rPr>
      <w:rFonts w:ascii="Arial" w:eastAsia="Batang" w:hAnsi="Arial" w:cs="Arial"/>
      <w:sz w:val="20"/>
      <w:szCs w:val="20"/>
      <w:lang w:val="ro-MO" w:eastAsia="en-US"/>
    </w:rPr>
  </w:style>
  <w:style w:type="paragraph" w:customStyle="1" w:styleId="cp">
    <w:name w:val="cp"/>
    <w:basedOn w:val="a"/>
    <w:rsid w:val="00B04E75"/>
    <w:pPr>
      <w:jc w:val="center"/>
    </w:pPr>
    <w:rPr>
      <w:b/>
      <w:bCs/>
      <w:lang w:val="ru-RU"/>
    </w:rPr>
  </w:style>
  <w:style w:type="paragraph" w:customStyle="1" w:styleId="tt">
    <w:name w:val="tt"/>
    <w:basedOn w:val="a"/>
    <w:rsid w:val="00776629"/>
    <w:pPr>
      <w:jc w:val="center"/>
    </w:pPr>
    <w:rPr>
      <w:b/>
      <w:bCs/>
      <w:lang w:val="en-US" w:eastAsia="en-US"/>
    </w:rPr>
  </w:style>
  <w:style w:type="paragraph" w:customStyle="1" w:styleId="1">
    <w:name w:val="Абзац списка1"/>
    <w:basedOn w:val="a"/>
    <w:uiPriority w:val="34"/>
    <w:qFormat/>
    <w:rsid w:val="004F59C1"/>
    <w:pPr>
      <w:ind w:left="708"/>
    </w:pPr>
  </w:style>
  <w:style w:type="paragraph" w:styleId="aa">
    <w:name w:val="List Paragraph"/>
    <w:basedOn w:val="a"/>
    <w:qFormat/>
    <w:rsid w:val="00830D3B"/>
    <w:pPr>
      <w:ind w:left="708"/>
    </w:pPr>
  </w:style>
  <w:style w:type="paragraph" w:styleId="ab">
    <w:name w:val="Body Text"/>
    <w:basedOn w:val="a"/>
    <w:link w:val="ac"/>
    <w:rsid w:val="00710E61"/>
    <w:pPr>
      <w:suppressAutoHyphens/>
      <w:jc w:val="center"/>
    </w:pPr>
    <w:rPr>
      <w:b/>
      <w:szCs w:val="20"/>
      <w:lang w:eastAsia="ar-SA"/>
    </w:rPr>
  </w:style>
  <w:style w:type="character" w:customStyle="1" w:styleId="ac">
    <w:name w:val="Основной текст Знак"/>
    <w:basedOn w:val="a0"/>
    <w:link w:val="ab"/>
    <w:rsid w:val="00710E61"/>
    <w:rPr>
      <w:b/>
      <w:sz w:val="24"/>
      <w:lang w:val="ro-RO" w:eastAsia="ar-SA"/>
    </w:rPr>
  </w:style>
  <w:style w:type="paragraph" w:customStyle="1" w:styleId="CharChar0">
    <w:name w:val="Знак Char Char"/>
    <w:basedOn w:val="a"/>
    <w:rsid w:val="00B439F6"/>
    <w:pPr>
      <w:spacing w:after="160" w:line="240" w:lineRule="exact"/>
    </w:pPr>
    <w:rPr>
      <w:rFonts w:ascii="Arial" w:eastAsia="Batang" w:hAnsi="Arial" w:cs="Arial"/>
      <w:sz w:val="20"/>
      <w:szCs w:val="20"/>
      <w:lang w:val="en-US" w:eastAsia="en-US"/>
    </w:rPr>
  </w:style>
  <w:style w:type="paragraph" w:styleId="ad">
    <w:name w:val="No Spacing"/>
    <w:uiPriority w:val="1"/>
    <w:qFormat/>
    <w:rsid w:val="00B439F6"/>
    <w:rPr>
      <w:sz w:val="24"/>
      <w:szCs w:val="24"/>
    </w:rPr>
  </w:style>
  <w:style w:type="character" w:customStyle="1" w:styleId="a7">
    <w:name w:val="Обычный (веб) Знак"/>
    <w:aliases w:val="Знак Знак, Знак Знак"/>
    <w:link w:val="a6"/>
    <w:uiPriority w:val="99"/>
    <w:locked/>
    <w:rsid w:val="00B439F6"/>
    <w:rPr>
      <w:sz w:val="24"/>
      <w:szCs w:val="24"/>
    </w:rPr>
  </w:style>
  <w:style w:type="paragraph" w:customStyle="1" w:styleId="CharChar1">
    <w:name w:val="Знак Char Char"/>
    <w:basedOn w:val="a"/>
    <w:rsid w:val="000B04B1"/>
    <w:pPr>
      <w:spacing w:after="160" w:line="240" w:lineRule="exact"/>
    </w:pPr>
    <w:rPr>
      <w:rFonts w:ascii="Arial" w:eastAsia="Batang" w:hAnsi="Arial" w:cs="Arial"/>
      <w:sz w:val="20"/>
      <w:szCs w:val="20"/>
      <w:lang w:val="en-US" w:eastAsia="en-US"/>
    </w:rPr>
  </w:style>
  <w:style w:type="character" w:customStyle="1" w:styleId="apple-converted-space">
    <w:name w:val="apple-converted-space"/>
    <w:basedOn w:val="a0"/>
    <w:rsid w:val="00555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52C8"/>
    <w:rPr>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5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semiHidden/>
    <w:rsid w:val="00DD5AEA"/>
    <w:rPr>
      <w:sz w:val="20"/>
      <w:szCs w:val="20"/>
      <w:lang w:val="en-US" w:eastAsia="en-US"/>
    </w:rPr>
  </w:style>
  <w:style w:type="paragraph" w:styleId="a5">
    <w:name w:val="Balloon Text"/>
    <w:basedOn w:val="a"/>
    <w:semiHidden/>
    <w:rsid w:val="00ED4251"/>
    <w:rPr>
      <w:rFonts w:ascii="Tahoma" w:hAnsi="Tahoma" w:cs="Tahoma"/>
      <w:sz w:val="16"/>
      <w:szCs w:val="16"/>
      <w:lang w:val="en-US" w:eastAsia="en-US"/>
    </w:rPr>
  </w:style>
  <w:style w:type="paragraph" w:styleId="a6">
    <w:name w:val="Normal (Web)"/>
    <w:aliases w:val="Знак, Знак"/>
    <w:basedOn w:val="a"/>
    <w:link w:val="a7"/>
    <w:uiPriority w:val="99"/>
    <w:qFormat/>
    <w:rsid w:val="00EF6030"/>
    <w:pPr>
      <w:ind w:firstLine="567"/>
      <w:jc w:val="both"/>
    </w:pPr>
    <w:rPr>
      <w:lang w:val="ru-RU"/>
    </w:rPr>
  </w:style>
  <w:style w:type="paragraph" w:styleId="a8">
    <w:name w:val="footer"/>
    <w:basedOn w:val="a"/>
    <w:rsid w:val="00A92D80"/>
    <w:pPr>
      <w:tabs>
        <w:tab w:val="center" w:pos="4320"/>
        <w:tab w:val="right" w:pos="8640"/>
      </w:tabs>
    </w:pPr>
  </w:style>
  <w:style w:type="character" w:styleId="a9">
    <w:name w:val="page number"/>
    <w:basedOn w:val="a0"/>
    <w:rsid w:val="00A92D80"/>
  </w:style>
  <w:style w:type="paragraph" w:customStyle="1" w:styleId="CharChar">
    <w:name w:val="Знак Знак Char Знак Знак Char"/>
    <w:basedOn w:val="a"/>
    <w:rsid w:val="00B7528D"/>
    <w:pPr>
      <w:spacing w:after="160" w:line="240" w:lineRule="exact"/>
    </w:pPr>
    <w:rPr>
      <w:rFonts w:ascii="Arial" w:eastAsia="Batang" w:hAnsi="Arial" w:cs="Arial"/>
      <w:sz w:val="20"/>
      <w:szCs w:val="20"/>
      <w:lang w:val="ro-MO" w:eastAsia="en-US"/>
    </w:rPr>
  </w:style>
  <w:style w:type="paragraph" w:customStyle="1" w:styleId="cp">
    <w:name w:val="cp"/>
    <w:basedOn w:val="a"/>
    <w:rsid w:val="00B04E75"/>
    <w:pPr>
      <w:jc w:val="center"/>
    </w:pPr>
    <w:rPr>
      <w:b/>
      <w:bCs/>
      <w:lang w:val="ru-RU"/>
    </w:rPr>
  </w:style>
  <w:style w:type="paragraph" w:customStyle="1" w:styleId="tt">
    <w:name w:val="tt"/>
    <w:basedOn w:val="a"/>
    <w:rsid w:val="00776629"/>
    <w:pPr>
      <w:jc w:val="center"/>
    </w:pPr>
    <w:rPr>
      <w:b/>
      <w:bCs/>
      <w:lang w:val="en-US" w:eastAsia="en-US"/>
    </w:rPr>
  </w:style>
  <w:style w:type="paragraph" w:customStyle="1" w:styleId="1">
    <w:name w:val="Абзац списка1"/>
    <w:basedOn w:val="a"/>
    <w:uiPriority w:val="34"/>
    <w:qFormat/>
    <w:rsid w:val="004F59C1"/>
    <w:pPr>
      <w:ind w:left="708"/>
    </w:pPr>
  </w:style>
  <w:style w:type="paragraph" w:styleId="aa">
    <w:name w:val="List Paragraph"/>
    <w:basedOn w:val="a"/>
    <w:qFormat/>
    <w:rsid w:val="00830D3B"/>
    <w:pPr>
      <w:ind w:left="708"/>
    </w:pPr>
  </w:style>
  <w:style w:type="paragraph" w:styleId="ab">
    <w:name w:val="Body Text"/>
    <w:basedOn w:val="a"/>
    <w:link w:val="ac"/>
    <w:rsid w:val="00710E61"/>
    <w:pPr>
      <w:suppressAutoHyphens/>
      <w:jc w:val="center"/>
    </w:pPr>
    <w:rPr>
      <w:b/>
      <w:szCs w:val="20"/>
      <w:lang w:eastAsia="ar-SA"/>
    </w:rPr>
  </w:style>
  <w:style w:type="character" w:customStyle="1" w:styleId="ac">
    <w:name w:val="Основной текст Знак"/>
    <w:basedOn w:val="a0"/>
    <w:link w:val="ab"/>
    <w:rsid w:val="00710E61"/>
    <w:rPr>
      <w:b/>
      <w:sz w:val="24"/>
      <w:lang w:val="ro-RO" w:eastAsia="ar-SA"/>
    </w:rPr>
  </w:style>
  <w:style w:type="paragraph" w:customStyle="1" w:styleId="CharChar0">
    <w:name w:val="Знак Char Char"/>
    <w:basedOn w:val="a"/>
    <w:rsid w:val="00B439F6"/>
    <w:pPr>
      <w:spacing w:after="160" w:line="240" w:lineRule="exact"/>
    </w:pPr>
    <w:rPr>
      <w:rFonts w:ascii="Arial" w:eastAsia="Batang" w:hAnsi="Arial" w:cs="Arial"/>
      <w:sz w:val="20"/>
      <w:szCs w:val="20"/>
      <w:lang w:val="en-US" w:eastAsia="en-US"/>
    </w:rPr>
  </w:style>
  <w:style w:type="paragraph" w:styleId="ad">
    <w:name w:val="No Spacing"/>
    <w:uiPriority w:val="1"/>
    <w:qFormat/>
    <w:rsid w:val="00B439F6"/>
    <w:rPr>
      <w:sz w:val="24"/>
      <w:szCs w:val="24"/>
    </w:rPr>
  </w:style>
  <w:style w:type="character" w:customStyle="1" w:styleId="a7">
    <w:name w:val="Обычный (веб) Знак"/>
    <w:aliases w:val="Знак Знак, Знак Знак"/>
    <w:link w:val="a6"/>
    <w:uiPriority w:val="99"/>
    <w:locked/>
    <w:rsid w:val="00B439F6"/>
    <w:rPr>
      <w:sz w:val="24"/>
      <w:szCs w:val="24"/>
    </w:rPr>
  </w:style>
  <w:style w:type="paragraph" w:customStyle="1" w:styleId="CharChar1">
    <w:name w:val="Знак Char Char"/>
    <w:basedOn w:val="a"/>
    <w:rsid w:val="000B04B1"/>
    <w:pPr>
      <w:spacing w:after="160" w:line="240" w:lineRule="exact"/>
    </w:pPr>
    <w:rPr>
      <w:rFonts w:ascii="Arial" w:eastAsia="Batang" w:hAnsi="Arial" w:cs="Arial"/>
      <w:sz w:val="20"/>
      <w:szCs w:val="20"/>
      <w:lang w:val="en-US" w:eastAsia="en-US"/>
    </w:rPr>
  </w:style>
  <w:style w:type="character" w:customStyle="1" w:styleId="apple-converted-space">
    <w:name w:val="apple-converted-space"/>
    <w:basedOn w:val="a0"/>
    <w:rsid w:val="00555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8537">
      <w:bodyDiv w:val="1"/>
      <w:marLeft w:val="0"/>
      <w:marRight w:val="0"/>
      <w:marTop w:val="0"/>
      <w:marBottom w:val="0"/>
      <w:divBdr>
        <w:top w:val="none" w:sz="0" w:space="0" w:color="auto"/>
        <w:left w:val="none" w:sz="0" w:space="0" w:color="auto"/>
        <w:bottom w:val="none" w:sz="0" w:space="0" w:color="auto"/>
        <w:right w:val="none" w:sz="0" w:space="0" w:color="auto"/>
      </w:divBdr>
      <w:divsChild>
        <w:div w:id="537743549">
          <w:marLeft w:val="0"/>
          <w:marRight w:val="0"/>
          <w:marTop w:val="0"/>
          <w:marBottom w:val="0"/>
          <w:divBdr>
            <w:top w:val="none" w:sz="0" w:space="0" w:color="auto"/>
            <w:left w:val="none" w:sz="0" w:space="0" w:color="auto"/>
            <w:bottom w:val="none" w:sz="0" w:space="0" w:color="auto"/>
            <w:right w:val="none" w:sz="0" w:space="0" w:color="auto"/>
          </w:divBdr>
        </w:div>
      </w:divsChild>
    </w:div>
    <w:div w:id="430511434">
      <w:bodyDiv w:val="1"/>
      <w:marLeft w:val="0"/>
      <w:marRight w:val="0"/>
      <w:marTop w:val="0"/>
      <w:marBottom w:val="0"/>
      <w:divBdr>
        <w:top w:val="none" w:sz="0" w:space="0" w:color="auto"/>
        <w:left w:val="none" w:sz="0" w:space="0" w:color="auto"/>
        <w:bottom w:val="none" w:sz="0" w:space="0" w:color="auto"/>
        <w:right w:val="none" w:sz="0" w:space="0" w:color="auto"/>
      </w:divBdr>
    </w:div>
    <w:div w:id="1441678449">
      <w:bodyDiv w:val="1"/>
      <w:marLeft w:val="0"/>
      <w:marRight w:val="0"/>
      <w:marTop w:val="0"/>
      <w:marBottom w:val="0"/>
      <w:divBdr>
        <w:top w:val="none" w:sz="0" w:space="0" w:color="auto"/>
        <w:left w:val="none" w:sz="0" w:space="0" w:color="auto"/>
        <w:bottom w:val="none" w:sz="0" w:space="0" w:color="auto"/>
        <w:right w:val="none" w:sz="0" w:space="0" w:color="auto"/>
      </w:divBdr>
    </w:div>
    <w:div w:id="1838960734">
      <w:bodyDiv w:val="1"/>
      <w:marLeft w:val="0"/>
      <w:marRight w:val="0"/>
      <w:marTop w:val="0"/>
      <w:marBottom w:val="0"/>
      <w:divBdr>
        <w:top w:val="none" w:sz="0" w:space="0" w:color="auto"/>
        <w:left w:val="none" w:sz="0" w:space="0" w:color="auto"/>
        <w:bottom w:val="none" w:sz="0" w:space="0" w:color="auto"/>
        <w:right w:val="none" w:sz="0" w:space="0" w:color="auto"/>
      </w:divBdr>
      <w:divsChild>
        <w:div w:id="1044669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6963F-6280-41A6-B778-DC71862E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1830</Words>
  <Characters>10431</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TABEL DE DIVERGENŢE</vt:lpstr>
      <vt:lpstr>TABEL DE DIVERGENŢE</vt:lpstr>
    </vt:vector>
  </TitlesOfParts>
  <Company>CtrlSoft</Company>
  <LinksUpToDate>false</LinksUpToDate>
  <CharactersWithSpaces>12237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 DE DIVERGENŢE</dc:title>
  <dc:creator>popil</dc:creator>
  <cp:lastModifiedBy>Vladimir Carp</cp:lastModifiedBy>
  <cp:revision>2</cp:revision>
  <cp:lastPrinted>2011-06-13T13:28:00Z</cp:lastPrinted>
  <dcterms:created xsi:type="dcterms:W3CDTF">2016-09-13T06:36:00Z</dcterms:created>
  <dcterms:modified xsi:type="dcterms:W3CDTF">2016-09-13T06:36:00Z</dcterms:modified>
</cp:coreProperties>
</file>