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33" w:rsidRPr="00DD2818" w:rsidRDefault="00F17733" w:rsidP="00F17733">
      <w:pPr>
        <w:jc w:val="center"/>
        <w:rPr>
          <w:b/>
          <w:sz w:val="28"/>
          <w:szCs w:val="28"/>
          <w:lang w:val="ro-MD"/>
        </w:rPr>
      </w:pPr>
      <w:r w:rsidRPr="00DD2818">
        <w:rPr>
          <w:b/>
          <w:sz w:val="28"/>
          <w:szCs w:val="28"/>
          <w:lang w:val="ro-MD"/>
        </w:rPr>
        <w:t>Notă informativă</w:t>
      </w:r>
    </w:p>
    <w:p w:rsidR="00F17733" w:rsidRPr="00DD2818" w:rsidRDefault="00F17733" w:rsidP="00F17733">
      <w:pPr>
        <w:jc w:val="center"/>
        <w:rPr>
          <w:sz w:val="28"/>
          <w:szCs w:val="28"/>
          <w:lang w:val="ro-MD"/>
        </w:rPr>
      </w:pPr>
      <w:r w:rsidRPr="00DD2818">
        <w:rPr>
          <w:b/>
          <w:sz w:val="28"/>
          <w:szCs w:val="28"/>
          <w:lang w:val="ro-MD"/>
        </w:rPr>
        <w:t>la proiectul hotărârii de Guvern cu privire la aprobarea modificărilor şi completărilor ce se operează în unele hotărîri ale Guvernului</w:t>
      </w:r>
    </w:p>
    <w:p w:rsidR="00F17733" w:rsidRPr="00DD2818" w:rsidRDefault="00F17733" w:rsidP="00F17733">
      <w:pPr>
        <w:jc w:val="center"/>
        <w:rPr>
          <w:sz w:val="28"/>
          <w:szCs w:val="28"/>
          <w:lang w:val="ro-MD"/>
        </w:rPr>
      </w:pPr>
    </w:p>
    <w:p w:rsidR="0091198D" w:rsidRPr="00DD2818" w:rsidRDefault="00F17733" w:rsidP="00F17733">
      <w:pPr>
        <w:ind w:firstLine="567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Proiectul </w:t>
      </w:r>
      <w:r w:rsidR="006C6D14" w:rsidRPr="00DD2818">
        <w:rPr>
          <w:sz w:val="26"/>
          <w:szCs w:val="26"/>
          <w:lang w:val="ro-MD"/>
        </w:rPr>
        <w:t>hotărârii</w:t>
      </w:r>
      <w:r w:rsidRPr="00DD2818">
        <w:rPr>
          <w:sz w:val="26"/>
          <w:szCs w:val="26"/>
          <w:lang w:val="ro-MD"/>
        </w:rPr>
        <w:t xml:space="preserve"> de Guvern „Cu privire la aprobarea modificărilor şi completărilor ce se operează în unele </w:t>
      </w:r>
      <w:r w:rsidR="006C6D14" w:rsidRPr="00DD2818">
        <w:rPr>
          <w:sz w:val="26"/>
          <w:szCs w:val="26"/>
          <w:lang w:val="ro-MD"/>
        </w:rPr>
        <w:t>hotărâri</w:t>
      </w:r>
      <w:r w:rsidRPr="00DD2818">
        <w:rPr>
          <w:sz w:val="26"/>
          <w:szCs w:val="26"/>
          <w:lang w:val="ro-MD"/>
        </w:rPr>
        <w:t xml:space="preserve">  ale Guvernului”</w:t>
      </w:r>
      <w:r w:rsidRPr="00DD2818">
        <w:rPr>
          <w:i/>
          <w:sz w:val="26"/>
          <w:szCs w:val="26"/>
          <w:lang w:val="ro-MD"/>
        </w:rPr>
        <w:t xml:space="preserve"> </w:t>
      </w:r>
      <w:r w:rsidRPr="00DD2818">
        <w:rPr>
          <w:bCs/>
          <w:sz w:val="26"/>
          <w:szCs w:val="26"/>
          <w:lang w:val="ro-MD"/>
        </w:rPr>
        <w:t xml:space="preserve">a fost elaborat </w:t>
      </w:r>
      <w:r w:rsidRPr="00DD2818">
        <w:rPr>
          <w:sz w:val="26"/>
          <w:szCs w:val="26"/>
          <w:lang w:val="ro-MD"/>
        </w:rPr>
        <w:t xml:space="preserve">în temeiul </w:t>
      </w:r>
      <w:r w:rsidR="00417CF7" w:rsidRPr="00DD2818">
        <w:rPr>
          <w:sz w:val="26"/>
          <w:szCs w:val="26"/>
          <w:lang w:val="ro-MD"/>
        </w:rPr>
        <w:t>art.7 alin.(3) lit. h) şi art.8 alin.(1) lit. i) din Legea nr.121-XVI din</w:t>
      </w:r>
      <w:r w:rsidR="000642D5" w:rsidRPr="00DD2818">
        <w:rPr>
          <w:sz w:val="26"/>
          <w:szCs w:val="26"/>
          <w:lang w:val="ro-MD"/>
        </w:rPr>
        <w:t xml:space="preserve"> </w:t>
      </w:r>
      <w:r w:rsidR="00417CF7" w:rsidRPr="00DD2818">
        <w:rPr>
          <w:sz w:val="26"/>
          <w:szCs w:val="26"/>
          <w:lang w:val="ro-MD"/>
        </w:rPr>
        <w:t>4 mai 2007 privind administrarea şi deetatizarea proprietăţii publice</w:t>
      </w:r>
      <w:r w:rsidR="002425A4" w:rsidRPr="00DD2818">
        <w:rPr>
          <w:sz w:val="26"/>
          <w:szCs w:val="26"/>
          <w:lang w:val="ro-MD"/>
        </w:rPr>
        <w:t xml:space="preserve"> şi are drept scop </w:t>
      </w:r>
      <w:r w:rsidR="0091198D" w:rsidRPr="00DD2818">
        <w:rPr>
          <w:sz w:val="26"/>
          <w:szCs w:val="26"/>
          <w:lang w:val="ro-MD"/>
        </w:rPr>
        <w:t xml:space="preserve">realizarea recomandărilor expuse în pct. 2.2. și </w:t>
      </w:r>
      <w:r w:rsidR="005C79D8" w:rsidRPr="00DD2818">
        <w:rPr>
          <w:sz w:val="26"/>
          <w:szCs w:val="26"/>
          <w:lang w:val="ro-MD"/>
        </w:rPr>
        <w:t xml:space="preserve">2.4.1. și 2.4.2. din </w:t>
      </w:r>
      <w:r w:rsidR="0091198D" w:rsidRPr="00DD2818">
        <w:rPr>
          <w:sz w:val="26"/>
          <w:szCs w:val="26"/>
          <w:lang w:val="ro-MD"/>
        </w:rPr>
        <w:t>Hotăr</w:t>
      </w:r>
      <w:r w:rsidR="006C6D14">
        <w:rPr>
          <w:sz w:val="26"/>
          <w:szCs w:val="26"/>
          <w:lang w:val="ro-MD"/>
        </w:rPr>
        <w:t>â</w:t>
      </w:r>
      <w:r w:rsidR="0091198D" w:rsidRPr="00DD2818">
        <w:rPr>
          <w:sz w:val="26"/>
          <w:szCs w:val="26"/>
          <w:lang w:val="ro-MD"/>
        </w:rPr>
        <w:t xml:space="preserve">rea Curții de Conturi nr.3 din 25 februarie 2016 </w:t>
      </w:r>
      <w:r w:rsidR="006119C1">
        <w:rPr>
          <w:sz w:val="26"/>
          <w:szCs w:val="26"/>
          <w:lang w:val="ro-MD"/>
        </w:rPr>
        <w:t>”C</w:t>
      </w:r>
      <w:r w:rsidR="0091198D" w:rsidRPr="00DD2818">
        <w:rPr>
          <w:sz w:val="26"/>
          <w:szCs w:val="26"/>
          <w:lang w:val="ro-MD"/>
        </w:rPr>
        <w:t>u privire la raportul auditului privind realizarea de către Ministerul Finanțelor a sarcinilor și activităților în procesul de monitoring financiar al întreprinderilor de stat și societăților comerciale cu capital integral sau majoritar de stat”</w:t>
      </w:r>
      <w:r w:rsidR="005C79D8" w:rsidRPr="00DD2818">
        <w:rPr>
          <w:sz w:val="26"/>
          <w:szCs w:val="26"/>
          <w:lang w:val="ro-MD"/>
        </w:rPr>
        <w:t>.</w:t>
      </w:r>
      <w:r w:rsidR="0091198D" w:rsidRPr="00DD2818">
        <w:rPr>
          <w:sz w:val="26"/>
          <w:szCs w:val="26"/>
          <w:lang w:val="ro-MD"/>
        </w:rPr>
        <w:t xml:space="preserve"> </w:t>
      </w:r>
    </w:p>
    <w:p w:rsidR="005C79D8" w:rsidRPr="00DD2818" w:rsidRDefault="00DD2818" w:rsidP="00F17733">
      <w:pPr>
        <w:ind w:firstLine="567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>Î</w:t>
      </w:r>
      <w:r w:rsidR="005C79D8" w:rsidRPr="00DD2818">
        <w:rPr>
          <w:sz w:val="26"/>
          <w:szCs w:val="26"/>
          <w:lang w:val="ro-MD"/>
        </w:rPr>
        <w:t xml:space="preserve">n scopul </w:t>
      </w:r>
      <w:r w:rsidR="0091198D" w:rsidRPr="00DD2818">
        <w:rPr>
          <w:sz w:val="26"/>
          <w:szCs w:val="26"/>
          <w:lang w:val="ro-MD"/>
        </w:rPr>
        <w:t>implement</w:t>
      </w:r>
      <w:r w:rsidR="005C79D8" w:rsidRPr="00DD2818">
        <w:rPr>
          <w:sz w:val="26"/>
          <w:szCs w:val="26"/>
          <w:lang w:val="ro-MD"/>
        </w:rPr>
        <w:t xml:space="preserve">ării recomandării </w:t>
      </w:r>
      <w:r w:rsidR="005C79D8" w:rsidRPr="00DD2818">
        <w:rPr>
          <w:i/>
          <w:sz w:val="26"/>
          <w:szCs w:val="26"/>
          <w:lang w:val="ro-MD"/>
        </w:rPr>
        <w:t>privind ajustarea cadrului legislativ-normativ în vederea corelării activităților comune cu Ministerul Finanțelor, inclusiv a termenelor de prezentare către Guvern a informațiilor aferente gestionării patrimoniului public,</w:t>
      </w:r>
      <w:r w:rsidR="005C79D8" w:rsidRPr="00DD2818">
        <w:rPr>
          <w:sz w:val="26"/>
          <w:szCs w:val="26"/>
          <w:lang w:val="ro-MD"/>
        </w:rPr>
        <w:t xml:space="preserve"> se propune extinderea termenului de prezentare a Raportului privind administrarea și deetatizarea proprietății publice de la 15 iunie la 20 iunie, stabilit în pct.2</w:t>
      </w:r>
      <w:r w:rsidR="005C79D8" w:rsidRPr="00DD2818">
        <w:rPr>
          <w:sz w:val="26"/>
          <w:szCs w:val="26"/>
          <w:vertAlign w:val="superscript"/>
          <w:lang w:val="ro-MD"/>
        </w:rPr>
        <w:t>1</w:t>
      </w:r>
      <w:r w:rsidR="005C79D8" w:rsidRPr="00DD2818">
        <w:rPr>
          <w:sz w:val="26"/>
          <w:szCs w:val="26"/>
          <w:lang w:val="ro-MD"/>
        </w:rPr>
        <w:t xml:space="preserve"> din  </w:t>
      </w:r>
      <w:proofErr w:type="spellStart"/>
      <w:r w:rsidR="006C6D14">
        <w:rPr>
          <w:sz w:val="26"/>
          <w:szCs w:val="26"/>
          <w:lang w:val="ro-MD"/>
        </w:rPr>
        <w:t>Hotătâ</w:t>
      </w:r>
      <w:r w:rsidR="005C79D8" w:rsidRPr="00DD2818">
        <w:rPr>
          <w:sz w:val="26"/>
          <w:szCs w:val="26"/>
          <w:lang w:val="ro-MD"/>
        </w:rPr>
        <w:t>rea</w:t>
      </w:r>
      <w:proofErr w:type="spellEnd"/>
      <w:r w:rsidR="005C79D8" w:rsidRPr="00DD2818">
        <w:rPr>
          <w:sz w:val="26"/>
          <w:szCs w:val="26"/>
          <w:lang w:val="ro-MD"/>
        </w:rPr>
        <w:t xml:space="preserve"> Guvernului nr.568 din 06 mai 2008 „Cu privire la organizarea evidenţei proprietăţii publice, circulaţia acesteia şi exercitarea funcţiilor de către persoanele împuternicite să reprezinte interesele statului/unităţilor administrativ-teritoriale”. </w:t>
      </w:r>
      <w:r w:rsidR="00DD66D2" w:rsidRPr="00DD2818">
        <w:rPr>
          <w:sz w:val="26"/>
          <w:szCs w:val="26"/>
          <w:lang w:val="ro-MD"/>
        </w:rPr>
        <w:t>Termenul respectiv a fost stabilit reieșind din prevederile art.69 alin (3) din Legea nr.121/2007 privind administrarea și deetatizarea proprietății publice, care stipulează că  Guvernul  prez</w:t>
      </w:r>
      <w:r w:rsidR="000609AF">
        <w:rPr>
          <w:sz w:val="26"/>
          <w:szCs w:val="26"/>
          <w:lang w:val="ro-MD"/>
        </w:rPr>
        <w:t>i</w:t>
      </w:r>
      <w:r w:rsidR="00DD66D2" w:rsidRPr="00DD2818">
        <w:rPr>
          <w:sz w:val="26"/>
          <w:szCs w:val="26"/>
          <w:lang w:val="ro-MD"/>
        </w:rPr>
        <w:t>ntă anual în Parlament, pînă la 1 iulie, un raport privind totalurile administrării şi deetatizării proprietăţii publice pentru anul precedent.</w:t>
      </w:r>
    </w:p>
    <w:p w:rsidR="00DD66D2" w:rsidRPr="00DD2818" w:rsidRDefault="00DD66D2" w:rsidP="00F17733">
      <w:pPr>
        <w:ind w:firstLine="567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Totodată, în scopul </w:t>
      </w:r>
      <w:r w:rsidRPr="00DD2818">
        <w:rPr>
          <w:i/>
          <w:sz w:val="26"/>
          <w:szCs w:val="26"/>
          <w:lang w:val="ro-MD"/>
        </w:rPr>
        <w:t>elaborării</w:t>
      </w:r>
      <w:r w:rsidRPr="00DD2818">
        <w:rPr>
          <w:sz w:val="26"/>
          <w:szCs w:val="26"/>
          <w:lang w:val="ro-MD"/>
        </w:rPr>
        <w:t xml:space="preserve"> </w:t>
      </w:r>
      <w:r w:rsidRPr="00DD2818">
        <w:rPr>
          <w:i/>
          <w:sz w:val="26"/>
          <w:szCs w:val="26"/>
          <w:lang w:val="ro-MD"/>
        </w:rPr>
        <w:t>reglementări</w:t>
      </w:r>
      <w:r w:rsidR="00DD2818" w:rsidRPr="00DD2818">
        <w:rPr>
          <w:i/>
          <w:sz w:val="26"/>
          <w:szCs w:val="26"/>
          <w:lang w:val="ro-MD"/>
        </w:rPr>
        <w:t>lor</w:t>
      </w:r>
      <w:r w:rsidRPr="00DD2818">
        <w:rPr>
          <w:i/>
          <w:sz w:val="26"/>
          <w:szCs w:val="26"/>
          <w:lang w:val="ro-MD"/>
        </w:rPr>
        <w:t xml:space="preserve"> aferente responsabilizării autorităților administrației publice centrale pentru determinarea măsurilor de eficientizare a gestionării patrimoniului public, prin stabilirea și evaluarea indicatorilor de performanță, precum și în vederea analizei situației patrimoniale și a riscurilor aferente pentru societățile comerciale cu cota statului pînă la 50%</w:t>
      </w:r>
      <w:r w:rsidR="00DD2818" w:rsidRPr="00DD2818">
        <w:rPr>
          <w:i/>
          <w:sz w:val="26"/>
          <w:szCs w:val="26"/>
          <w:lang w:val="ro-MD"/>
        </w:rPr>
        <w:t>,</w:t>
      </w:r>
      <w:r w:rsidRPr="00DD2818">
        <w:rPr>
          <w:sz w:val="26"/>
          <w:szCs w:val="26"/>
          <w:lang w:val="ro-MD"/>
        </w:rPr>
        <w:t xml:space="preserve"> au fost operate modificări și completări în pct. 2 al Hotărîrii Guvernului nr.568/2008 și în pct. 1 al Hotărîrii Guvernului nr.519/2014 </w:t>
      </w:r>
      <w:r w:rsidR="000579F4">
        <w:rPr>
          <w:sz w:val="26"/>
          <w:szCs w:val="26"/>
          <w:lang w:val="ro-MD"/>
        </w:rPr>
        <w:t>”C</w:t>
      </w:r>
      <w:r w:rsidRPr="00DD2818">
        <w:rPr>
          <w:sz w:val="26"/>
          <w:szCs w:val="26"/>
          <w:lang w:val="ro-MD"/>
        </w:rPr>
        <w:t>u privire la delegarea funcțiilor de administrare a proprietății de stat autorităților administrației publice centrale de specialitate</w:t>
      </w:r>
      <w:r w:rsidR="000579F4">
        <w:rPr>
          <w:sz w:val="26"/>
          <w:szCs w:val="26"/>
          <w:lang w:val="ro-MD"/>
        </w:rPr>
        <w:t>”</w:t>
      </w:r>
      <w:r w:rsidRPr="00DD2818">
        <w:rPr>
          <w:sz w:val="26"/>
          <w:szCs w:val="26"/>
          <w:lang w:val="ro-MD"/>
        </w:rPr>
        <w:t>.</w:t>
      </w:r>
    </w:p>
    <w:p w:rsidR="00DD2818" w:rsidRPr="00DD2818" w:rsidRDefault="00DD2818" w:rsidP="00DD2818">
      <w:pPr>
        <w:pStyle w:val="cp"/>
        <w:ind w:firstLine="567"/>
        <w:jc w:val="both"/>
        <w:rPr>
          <w:b w:val="0"/>
          <w:sz w:val="26"/>
          <w:szCs w:val="26"/>
          <w:lang w:val="ro-MD"/>
        </w:rPr>
      </w:pPr>
      <w:r w:rsidRPr="00DD2818">
        <w:rPr>
          <w:b w:val="0"/>
          <w:sz w:val="26"/>
          <w:szCs w:val="26"/>
          <w:lang w:val="ro-MD"/>
        </w:rPr>
        <w:t>Totodată, în scopul eliminării unor discrepanțe identificate în procesul realizării prevederilor Hotărîrii Guvernului nr.568/2008 se propun modificări și completări la Anexa nr.1 și la Indicaţii pentru completarea dării de seamă privind mărimea şi circulaţia proprietăţii publice la hotărîrea în cauză.</w:t>
      </w:r>
    </w:p>
    <w:p w:rsidR="00E22558" w:rsidRPr="00DD2818" w:rsidRDefault="00E22558" w:rsidP="000E78E1">
      <w:pPr>
        <w:ind w:firstLine="720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către Grupul de lucru pentru reglementarea activităţii de întreprinzător.</w:t>
      </w:r>
    </w:p>
    <w:p w:rsidR="00E22558" w:rsidRPr="00DD2818" w:rsidRDefault="00E22558" w:rsidP="000E78E1">
      <w:pPr>
        <w:ind w:firstLine="720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Proiectul dat este supus dezbaterilor publice, fiind plasat pe pagina web a ministerului </w:t>
      </w:r>
      <w:hyperlink r:id="rId5" w:history="1">
        <w:r w:rsidRPr="00DD2818">
          <w:rPr>
            <w:sz w:val="26"/>
            <w:szCs w:val="26"/>
            <w:lang w:val="ro-MD"/>
          </w:rPr>
          <w:t>www.mec.gov.md</w:t>
        </w:r>
      </w:hyperlink>
      <w:r w:rsidRPr="00DD2818">
        <w:rPr>
          <w:sz w:val="26"/>
          <w:szCs w:val="26"/>
          <w:lang w:val="ro-MD"/>
        </w:rPr>
        <w:t xml:space="preserve"> la compartimentul Transparenţa/Anunţuri de proiecte şi consultări publice.</w:t>
      </w:r>
    </w:p>
    <w:p w:rsidR="00E22558" w:rsidRPr="00DD2818" w:rsidRDefault="00E22558" w:rsidP="000E78E1">
      <w:pPr>
        <w:ind w:firstLine="720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În contextul celor expuse, Ministerul Economiei înaintează spre examinare </w:t>
      </w:r>
      <w:r w:rsidR="00E1257E" w:rsidRPr="00DD2818">
        <w:rPr>
          <w:sz w:val="26"/>
          <w:szCs w:val="26"/>
          <w:lang w:val="ro-MD"/>
        </w:rPr>
        <w:t>ş</w:t>
      </w:r>
      <w:r w:rsidRPr="00DD2818">
        <w:rPr>
          <w:sz w:val="26"/>
          <w:szCs w:val="26"/>
          <w:lang w:val="ro-MD"/>
        </w:rPr>
        <w:t xml:space="preserve">i aviz proiectul hotărârii de Guvern </w:t>
      </w:r>
      <w:r w:rsidR="00E1257E" w:rsidRPr="00DD2818">
        <w:rPr>
          <w:sz w:val="26"/>
          <w:szCs w:val="26"/>
          <w:lang w:val="ro-MD"/>
        </w:rPr>
        <w:t>„Cu privire la aprobarea modificărilor şi completărilor ce se operează în unele hotăr</w:t>
      </w:r>
      <w:r w:rsidR="006C6D14">
        <w:rPr>
          <w:sz w:val="26"/>
          <w:szCs w:val="26"/>
          <w:lang w:val="ro-MD"/>
        </w:rPr>
        <w:t>â</w:t>
      </w:r>
      <w:r w:rsidR="00E1257E" w:rsidRPr="00DD2818">
        <w:rPr>
          <w:sz w:val="26"/>
          <w:szCs w:val="26"/>
          <w:lang w:val="ro-MD"/>
        </w:rPr>
        <w:t>ri ale Guvernului”.</w:t>
      </w:r>
    </w:p>
    <w:p w:rsidR="00DD2818" w:rsidRPr="00DD2818" w:rsidRDefault="00DD2818" w:rsidP="00E22558">
      <w:pPr>
        <w:ind w:firstLine="567"/>
        <w:jc w:val="both"/>
        <w:rPr>
          <w:sz w:val="26"/>
          <w:szCs w:val="26"/>
          <w:lang w:val="ro-MD"/>
        </w:rPr>
      </w:pPr>
    </w:p>
    <w:p w:rsidR="00E22558" w:rsidRPr="00DD2818" w:rsidRDefault="00171644" w:rsidP="00E22558">
      <w:pPr>
        <w:ind w:firstLine="567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   </w:t>
      </w:r>
    </w:p>
    <w:p w:rsidR="00E22558" w:rsidRPr="00DD2818" w:rsidRDefault="00E22558" w:rsidP="00E22558">
      <w:pPr>
        <w:ind w:firstLine="425"/>
        <w:jc w:val="both"/>
        <w:rPr>
          <w:b/>
          <w:sz w:val="28"/>
          <w:szCs w:val="28"/>
          <w:lang w:val="ro-MD"/>
        </w:rPr>
      </w:pPr>
      <w:r w:rsidRPr="00DD2818">
        <w:rPr>
          <w:b/>
          <w:sz w:val="28"/>
          <w:szCs w:val="28"/>
          <w:lang w:val="ro-MD"/>
        </w:rPr>
        <w:t xml:space="preserve"> </w:t>
      </w:r>
      <w:r w:rsidR="00171644" w:rsidRPr="00DD2818">
        <w:rPr>
          <w:b/>
          <w:sz w:val="28"/>
          <w:szCs w:val="28"/>
          <w:lang w:val="ro-MD"/>
        </w:rPr>
        <w:tab/>
      </w:r>
      <w:r w:rsidRPr="00DD2818">
        <w:rPr>
          <w:b/>
          <w:sz w:val="28"/>
          <w:szCs w:val="28"/>
          <w:lang w:val="ro-MD"/>
        </w:rPr>
        <w:t xml:space="preserve">Viceministru                                                            </w:t>
      </w:r>
      <w:r w:rsidR="00171644" w:rsidRPr="00DD2818">
        <w:rPr>
          <w:b/>
          <w:sz w:val="28"/>
          <w:szCs w:val="28"/>
          <w:lang w:val="ro-MD"/>
        </w:rPr>
        <w:t xml:space="preserve">       </w:t>
      </w:r>
      <w:r w:rsidRPr="00DD2818">
        <w:rPr>
          <w:b/>
          <w:sz w:val="28"/>
          <w:szCs w:val="28"/>
          <w:lang w:val="ro-MD"/>
        </w:rPr>
        <w:t>Valeriu T</w:t>
      </w:r>
      <w:r w:rsidR="006119C1">
        <w:rPr>
          <w:b/>
          <w:sz w:val="28"/>
          <w:szCs w:val="28"/>
          <w:lang w:val="ro-MD"/>
        </w:rPr>
        <w:t>RIBOI</w:t>
      </w:r>
    </w:p>
    <w:p w:rsidR="001D08F5" w:rsidRPr="00DD2818" w:rsidRDefault="001D08F5" w:rsidP="0049315E">
      <w:pPr>
        <w:ind w:firstLine="990"/>
        <w:jc w:val="both"/>
        <w:rPr>
          <w:lang w:val="ro-MD"/>
        </w:rPr>
      </w:pPr>
    </w:p>
    <w:sectPr w:rsidR="001D08F5" w:rsidRPr="00DD2818" w:rsidSect="00DD2818">
      <w:pgSz w:w="11906" w:h="16838"/>
      <w:pgMar w:top="567" w:right="709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76E"/>
    <w:multiLevelType w:val="hybridMultilevel"/>
    <w:tmpl w:val="4596DA6A"/>
    <w:lvl w:ilvl="0" w:tplc="7BF25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4642B4"/>
    <w:multiLevelType w:val="hybridMultilevel"/>
    <w:tmpl w:val="DABA8B20"/>
    <w:lvl w:ilvl="0" w:tplc="EFECC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EF5F1D"/>
    <w:multiLevelType w:val="singleLevel"/>
    <w:tmpl w:val="4628F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D53A3D"/>
    <w:multiLevelType w:val="hybridMultilevel"/>
    <w:tmpl w:val="78664E8A"/>
    <w:lvl w:ilvl="0" w:tplc="6E507B1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204054"/>
    <w:multiLevelType w:val="hybridMultilevel"/>
    <w:tmpl w:val="6F3EF9B4"/>
    <w:lvl w:ilvl="0" w:tplc="FDF67722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662C80"/>
    <w:multiLevelType w:val="hybridMultilevel"/>
    <w:tmpl w:val="3B720E54"/>
    <w:lvl w:ilvl="0" w:tplc="39B8DAB6">
      <w:numFmt w:val="bullet"/>
      <w:lvlText w:val="-"/>
      <w:lvlJc w:val="left"/>
      <w:pPr>
        <w:tabs>
          <w:tab w:val="num" w:pos="1995"/>
        </w:tabs>
        <w:ind w:left="1995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C232173"/>
    <w:multiLevelType w:val="singleLevel"/>
    <w:tmpl w:val="FB6880E0"/>
    <w:lvl w:ilvl="0">
      <w:start w:val="1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6176B"/>
    <w:rsid w:val="000026EB"/>
    <w:rsid w:val="000206C6"/>
    <w:rsid w:val="0004642F"/>
    <w:rsid w:val="00053D39"/>
    <w:rsid w:val="000579F4"/>
    <w:rsid w:val="000609AF"/>
    <w:rsid w:val="00063C02"/>
    <w:rsid w:val="000642D5"/>
    <w:rsid w:val="000B1F46"/>
    <w:rsid w:val="000C6198"/>
    <w:rsid w:val="000E78E1"/>
    <w:rsid w:val="000F3895"/>
    <w:rsid w:val="001217F2"/>
    <w:rsid w:val="00124219"/>
    <w:rsid w:val="00150D69"/>
    <w:rsid w:val="00171644"/>
    <w:rsid w:val="00185C59"/>
    <w:rsid w:val="00186EAC"/>
    <w:rsid w:val="00197A4F"/>
    <w:rsid w:val="001A20C8"/>
    <w:rsid w:val="001A5316"/>
    <w:rsid w:val="001B03BA"/>
    <w:rsid w:val="001C36A6"/>
    <w:rsid w:val="001C7A82"/>
    <w:rsid w:val="001D08F5"/>
    <w:rsid w:val="00220D89"/>
    <w:rsid w:val="002341CD"/>
    <w:rsid w:val="00235DF2"/>
    <w:rsid w:val="002425A4"/>
    <w:rsid w:val="00246C2B"/>
    <w:rsid w:val="002556D1"/>
    <w:rsid w:val="00283E36"/>
    <w:rsid w:val="002867B4"/>
    <w:rsid w:val="00290398"/>
    <w:rsid w:val="002A6697"/>
    <w:rsid w:val="002C0372"/>
    <w:rsid w:val="00354868"/>
    <w:rsid w:val="0036486B"/>
    <w:rsid w:val="003A528C"/>
    <w:rsid w:val="003B4CEF"/>
    <w:rsid w:val="003D2DC6"/>
    <w:rsid w:val="00417CF7"/>
    <w:rsid w:val="00441A21"/>
    <w:rsid w:val="004762C6"/>
    <w:rsid w:val="0049315E"/>
    <w:rsid w:val="00495A08"/>
    <w:rsid w:val="004A798A"/>
    <w:rsid w:val="004B7F60"/>
    <w:rsid w:val="004C03B5"/>
    <w:rsid w:val="004E7761"/>
    <w:rsid w:val="004F5B50"/>
    <w:rsid w:val="00507140"/>
    <w:rsid w:val="00577F5E"/>
    <w:rsid w:val="005C6113"/>
    <w:rsid w:val="005C6210"/>
    <w:rsid w:val="005C79D8"/>
    <w:rsid w:val="006119C1"/>
    <w:rsid w:val="00650BA3"/>
    <w:rsid w:val="006A0BA1"/>
    <w:rsid w:val="006A7FC5"/>
    <w:rsid w:val="006C4CA5"/>
    <w:rsid w:val="006C6D14"/>
    <w:rsid w:val="006F3E1D"/>
    <w:rsid w:val="007227B3"/>
    <w:rsid w:val="00733A2B"/>
    <w:rsid w:val="00750A6F"/>
    <w:rsid w:val="00776EEE"/>
    <w:rsid w:val="00787A54"/>
    <w:rsid w:val="00791255"/>
    <w:rsid w:val="007951D1"/>
    <w:rsid w:val="00805941"/>
    <w:rsid w:val="00864218"/>
    <w:rsid w:val="008759A4"/>
    <w:rsid w:val="00877DA7"/>
    <w:rsid w:val="00886118"/>
    <w:rsid w:val="00892E07"/>
    <w:rsid w:val="008A15F0"/>
    <w:rsid w:val="008C04BA"/>
    <w:rsid w:val="008C15E9"/>
    <w:rsid w:val="008F7FE0"/>
    <w:rsid w:val="0091198D"/>
    <w:rsid w:val="00922443"/>
    <w:rsid w:val="009270EA"/>
    <w:rsid w:val="0097702A"/>
    <w:rsid w:val="009833F8"/>
    <w:rsid w:val="009920BF"/>
    <w:rsid w:val="009B209F"/>
    <w:rsid w:val="009C7760"/>
    <w:rsid w:val="009D0137"/>
    <w:rsid w:val="009E7CC9"/>
    <w:rsid w:val="00A05836"/>
    <w:rsid w:val="00A06682"/>
    <w:rsid w:val="00A43563"/>
    <w:rsid w:val="00A55A48"/>
    <w:rsid w:val="00A75027"/>
    <w:rsid w:val="00A86966"/>
    <w:rsid w:val="00AA30EF"/>
    <w:rsid w:val="00AA3663"/>
    <w:rsid w:val="00AA3D81"/>
    <w:rsid w:val="00AB30B5"/>
    <w:rsid w:val="00AD20AA"/>
    <w:rsid w:val="00AE4402"/>
    <w:rsid w:val="00B65007"/>
    <w:rsid w:val="00B77759"/>
    <w:rsid w:val="00BA5BED"/>
    <w:rsid w:val="00BF79FD"/>
    <w:rsid w:val="00C50D64"/>
    <w:rsid w:val="00C60DFC"/>
    <w:rsid w:val="00C725CB"/>
    <w:rsid w:val="00CB05E1"/>
    <w:rsid w:val="00CF1544"/>
    <w:rsid w:val="00CF5595"/>
    <w:rsid w:val="00D056B7"/>
    <w:rsid w:val="00D30FA6"/>
    <w:rsid w:val="00D6176B"/>
    <w:rsid w:val="00D72A88"/>
    <w:rsid w:val="00D7392E"/>
    <w:rsid w:val="00D74554"/>
    <w:rsid w:val="00DC602A"/>
    <w:rsid w:val="00DD2818"/>
    <w:rsid w:val="00DD309E"/>
    <w:rsid w:val="00DD66D2"/>
    <w:rsid w:val="00DF37DB"/>
    <w:rsid w:val="00E1257E"/>
    <w:rsid w:val="00E22558"/>
    <w:rsid w:val="00E30A8F"/>
    <w:rsid w:val="00E520F6"/>
    <w:rsid w:val="00EB4815"/>
    <w:rsid w:val="00EC4F77"/>
    <w:rsid w:val="00EF5842"/>
    <w:rsid w:val="00F14155"/>
    <w:rsid w:val="00F17733"/>
    <w:rsid w:val="00F374C6"/>
    <w:rsid w:val="00F4562B"/>
    <w:rsid w:val="00F85344"/>
    <w:rsid w:val="00F939A1"/>
    <w:rsid w:val="00F9555F"/>
    <w:rsid w:val="00FA76CC"/>
    <w:rsid w:val="00F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7B13E8-055E-4237-B4B0-A7765FF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97"/>
    <w:rPr>
      <w:lang w:val="ro-RO"/>
    </w:rPr>
  </w:style>
  <w:style w:type="paragraph" w:styleId="Heading2">
    <w:name w:val="heading 2"/>
    <w:basedOn w:val="Normal"/>
    <w:next w:val="Normal"/>
    <w:qFormat/>
    <w:rsid w:val="002A6697"/>
    <w:pPr>
      <w:keepNext/>
      <w:spacing w:line="360" w:lineRule="auto"/>
      <w:ind w:firstLine="567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697"/>
    <w:pPr>
      <w:spacing w:line="312" w:lineRule="auto"/>
      <w:ind w:firstLine="720"/>
      <w:jc w:val="center"/>
    </w:pPr>
    <w:rPr>
      <w:b/>
      <w:sz w:val="26"/>
      <w:lang w:val="en-US"/>
    </w:rPr>
  </w:style>
  <w:style w:type="paragraph" w:styleId="BodyTextIndent">
    <w:name w:val="Body Text Indent"/>
    <w:basedOn w:val="Normal"/>
    <w:rsid w:val="002A6697"/>
    <w:pPr>
      <w:spacing w:line="312" w:lineRule="auto"/>
      <w:ind w:firstLine="426"/>
      <w:jc w:val="both"/>
    </w:pPr>
    <w:rPr>
      <w:sz w:val="26"/>
    </w:rPr>
  </w:style>
  <w:style w:type="paragraph" w:styleId="BodyTextIndent2">
    <w:name w:val="Body Text Indent 2"/>
    <w:basedOn w:val="Normal"/>
    <w:rsid w:val="002A6697"/>
    <w:pPr>
      <w:spacing w:line="288" w:lineRule="auto"/>
      <w:ind w:firstLine="720"/>
      <w:jc w:val="both"/>
    </w:pPr>
    <w:rPr>
      <w:sz w:val="26"/>
    </w:rPr>
  </w:style>
  <w:style w:type="paragraph" w:styleId="BalloonText">
    <w:name w:val="Balloon Text"/>
    <w:basedOn w:val="Normal"/>
    <w:semiHidden/>
    <w:rsid w:val="002A669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A6697"/>
    <w:pPr>
      <w:ind w:left="567" w:right="-710" w:firstLine="567"/>
      <w:jc w:val="center"/>
    </w:pPr>
    <w:rPr>
      <w:sz w:val="28"/>
      <w:lang w:eastAsia="ro-RO"/>
    </w:rPr>
  </w:style>
  <w:style w:type="paragraph" w:styleId="BodyTextIndent3">
    <w:name w:val="Body Text Indent 3"/>
    <w:basedOn w:val="Normal"/>
    <w:rsid w:val="002A6697"/>
    <w:pPr>
      <w:spacing w:after="120"/>
      <w:ind w:left="283"/>
    </w:pPr>
    <w:rPr>
      <w:sz w:val="16"/>
      <w:szCs w:val="16"/>
      <w:lang w:eastAsia="ro-RO"/>
    </w:rPr>
  </w:style>
  <w:style w:type="character" w:customStyle="1" w:styleId="docheader">
    <w:name w:val="doc_header"/>
    <w:basedOn w:val="DefaultParagraphFont"/>
    <w:rsid w:val="002A6697"/>
  </w:style>
  <w:style w:type="paragraph" w:customStyle="1" w:styleId="a">
    <w:name w:val="Îáû÷íûé"/>
    <w:rsid w:val="002A6697"/>
    <w:pPr>
      <w:autoSpaceDE w:val="0"/>
      <w:autoSpaceDN w:val="0"/>
      <w:adjustRightInd w:val="0"/>
    </w:pPr>
    <w:rPr>
      <w:rFonts w:ascii="$Kudriashov" w:hAnsi="$Kudriashov"/>
      <w:noProof/>
      <w:sz w:val="28"/>
      <w:szCs w:val="28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270EA"/>
    <w:pPr>
      <w:ind w:firstLine="567"/>
      <w:jc w:val="both"/>
    </w:pPr>
    <w:rPr>
      <w:sz w:val="24"/>
      <w:szCs w:val="24"/>
      <w:lang w:val="ru-RU"/>
    </w:rPr>
  </w:style>
  <w:style w:type="character" w:styleId="Hyperlink">
    <w:name w:val="Hyperlink"/>
    <w:basedOn w:val="DefaultParagraphFont"/>
    <w:rsid w:val="009920BF"/>
    <w:rPr>
      <w:color w:val="0000FF"/>
      <w:u w:val="single"/>
    </w:rPr>
  </w:style>
  <w:style w:type="character" w:customStyle="1" w:styleId="docbody">
    <w:name w:val="doc_body"/>
    <w:rsid w:val="004A798A"/>
    <w:rPr>
      <w:rFonts w:cs="Times New Roman"/>
    </w:rPr>
  </w:style>
  <w:style w:type="paragraph" w:customStyle="1" w:styleId="tt">
    <w:name w:val="tt"/>
    <w:basedOn w:val="Normal"/>
    <w:rsid w:val="00B65007"/>
    <w:pPr>
      <w:jc w:val="center"/>
    </w:pPr>
    <w:rPr>
      <w:b/>
      <w:bCs/>
      <w:sz w:val="24"/>
      <w:szCs w:val="24"/>
      <w:lang w:val="ru-RU"/>
    </w:rPr>
  </w:style>
  <w:style w:type="paragraph" w:customStyle="1" w:styleId="cn">
    <w:name w:val="cn"/>
    <w:basedOn w:val="Normal"/>
    <w:rsid w:val="00B65007"/>
    <w:pPr>
      <w:jc w:val="center"/>
    </w:pPr>
    <w:rPr>
      <w:sz w:val="24"/>
      <w:szCs w:val="24"/>
      <w:lang w:val="ru-RU"/>
    </w:rPr>
  </w:style>
  <w:style w:type="character" w:customStyle="1" w:styleId="NormalWebChar">
    <w:name w:val="Normal (Web) Char"/>
    <w:basedOn w:val="DefaultParagraphFont"/>
    <w:link w:val="NormalWeb"/>
    <w:rsid w:val="004B7F60"/>
    <w:rPr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A0BA1"/>
    <w:pPr>
      <w:ind w:left="720"/>
      <w:contextualSpacing/>
    </w:pPr>
  </w:style>
  <w:style w:type="paragraph" w:customStyle="1" w:styleId="cp">
    <w:name w:val="cp"/>
    <w:basedOn w:val="Normal"/>
    <w:rsid w:val="00DD2818"/>
    <w:pPr>
      <w:jc w:val="center"/>
    </w:pPr>
    <w:rPr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c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explicativă</vt:lpstr>
      <vt:lpstr>Notă explicativă </vt:lpstr>
    </vt:vector>
  </TitlesOfParts>
  <Company>CEI</Company>
  <LinksUpToDate>false</LinksUpToDate>
  <CharactersWithSpaces>3781</CharactersWithSpaces>
  <SharedDoc>false</SharedDoc>
  <HLinks>
    <vt:vector size="6" baseType="variant"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explicativă</dc:title>
  <dc:creator>Rodica</dc:creator>
  <cp:lastModifiedBy>admin</cp:lastModifiedBy>
  <cp:revision>7</cp:revision>
  <cp:lastPrinted>2016-07-11T11:22:00Z</cp:lastPrinted>
  <dcterms:created xsi:type="dcterms:W3CDTF">2016-07-11T10:18:00Z</dcterms:created>
  <dcterms:modified xsi:type="dcterms:W3CDTF">2016-07-11T11:30:00Z</dcterms:modified>
</cp:coreProperties>
</file>