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09" w:rsidRDefault="000F6009" w:rsidP="000F600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Tabelul de divergen</w:t>
      </w:r>
      <w:r w:rsidR="00AE2C42">
        <w:rPr>
          <w:rFonts w:ascii="Times New Roman" w:hAnsi="Times New Roman" w:cs="Times New Roman"/>
          <w:b/>
          <w:sz w:val="24"/>
          <w:szCs w:val="24"/>
          <w:lang w:val="en-US"/>
        </w:rPr>
        <w:t>ţ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 cu argumentări</w:t>
      </w:r>
    </w:p>
    <w:p w:rsidR="00423D32" w:rsidRDefault="000F6009" w:rsidP="00C02A71">
      <w:pPr>
        <w:spacing w:after="0"/>
        <w:ind w:right="-31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proiectul Hotărîrii Guvernului „Cu privire la aprobarea Regulamentului sanitar pentru inst</w:t>
      </w:r>
      <w:r w:rsidR="00423D32">
        <w:rPr>
          <w:rFonts w:ascii="Times New Roman" w:hAnsi="Times New Roman" w:cs="Times New Roman"/>
          <w:b/>
          <w:sz w:val="24"/>
          <w:szCs w:val="24"/>
          <w:lang w:val="en-US"/>
        </w:rPr>
        <w:t>itu</w:t>
      </w:r>
      <w:r w:rsidR="00AE2C42">
        <w:rPr>
          <w:rFonts w:ascii="Times New Roman" w:hAnsi="Times New Roman" w:cs="Times New Roman"/>
          <w:b/>
          <w:sz w:val="24"/>
          <w:szCs w:val="24"/>
          <w:lang w:val="en-US"/>
        </w:rPr>
        <w:t>ţ</w:t>
      </w:r>
      <w:r w:rsidR="00423D32">
        <w:rPr>
          <w:rFonts w:ascii="Times New Roman" w:hAnsi="Times New Roman" w:cs="Times New Roman"/>
          <w:b/>
          <w:sz w:val="24"/>
          <w:szCs w:val="24"/>
          <w:lang w:val="en-US"/>
        </w:rPr>
        <w:t>iile de educa</w:t>
      </w:r>
      <w:r w:rsidR="00AE2C42">
        <w:rPr>
          <w:rFonts w:ascii="Times New Roman" w:hAnsi="Times New Roman" w:cs="Times New Roman"/>
          <w:b/>
          <w:sz w:val="24"/>
          <w:szCs w:val="24"/>
          <w:lang w:val="en-US"/>
        </w:rPr>
        <w:t>ţ</w:t>
      </w:r>
      <w:r w:rsidR="00423D32">
        <w:rPr>
          <w:rFonts w:ascii="Times New Roman" w:hAnsi="Times New Roman" w:cs="Times New Roman"/>
          <w:b/>
          <w:sz w:val="24"/>
          <w:szCs w:val="24"/>
          <w:lang w:val="en-US"/>
        </w:rPr>
        <w:t>ie</w:t>
      </w:r>
    </w:p>
    <w:p w:rsidR="000F6009" w:rsidRDefault="00FF3D30" w:rsidP="00C02A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timpurie</w:t>
      </w:r>
      <w:proofErr w:type="gramEnd"/>
      <w:r w:rsidR="000F6009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tbl>
      <w:tblPr>
        <w:tblStyle w:val="a3"/>
        <w:tblW w:w="14992" w:type="dxa"/>
        <w:tblLook w:val="04A0"/>
      </w:tblPr>
      <w:tblGrid>
        <w:gridCol w:w="1376"/>
        <w:gridCol w:w="1656"/>
        <w:gridCol w:w="3534"/>
        <w:gridCol w:w="2818"/>
        <w:gridCol w:w="5608"/>
      </w:tblGrid>
      <w:tr w:rsidR="000F6009" w:rsidTr="00C02A71">
        <w:tc>
          <w:tcPr>
            <w:tcW w:w="1376" w:type="dxa"/>
          </w:tcPr>
          <w:p w:rsidR="000F6009" w:rsidRDefault="000F6009" w:rsidP="00082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Nr.d/o</w:t>
            </w:r>
          </w:p>
        </w:tc>
        <w:tc>
          <w:tcPr>
            <w:tcW w:w="1656" w:type="dxa"/>
          </w:tcPr>
          <w:p w:rsidR="000F6009" w:rsidRDefault="000F6009" w:rsidP="00082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 institu</w:t>
            </w:r>
            <w:r w:rsidR="00AE2C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iei</w:t>
            </w:r>
          </w:p>
        </w:tc>
        <w:tc>
          <w:tcPr>
            <w:tcW w:w="3534" w:type="dxa"/>
          </w:tcPr>
          <w:p w:rsidR="000F6009" w:rsidRDefault="000F6009" w:rsidP="00082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Propunerile institu</w:t>
            </w:r>
            <w:r w:rsidR="00AE2C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iei</w:t>
            </w:r>
          </w:p>
        </w:tc>
        <w:tc>
          <w:tcPr>
            <w:tcW w:w="2818" w:type="dxa"/>
          </w:tcPr>
          <w:p w:rsidR="000F6009" w:rsidRDefault="000F6009" w:rsidP="00082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Propunerile Ministerului Sănătă</w:t>
            </w:r>
            <w:r w:rsidR="00AE2C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08" w:type="dxa"/>
          </w:tcPr>
          <w:p w:rsidR="000F6009" w:rsidRDefault="000F6009" w:rsidP="00082E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Argumentări</w:t>
            </w:r>
          </w:p>
        </w:tc>
      </w:tr>
      <w:tr w:rsidR="000F6009" w:rsidRPr="00AE2C42" w:rsidTr="00C02A71">
        <w:tc>
          <w:tcPr>
            <w:tcW w:w="1376" w:type="dxa"/>
          </w:tcPr>
          <w:p w:rsidR="000F6009" w:rsidRPr="00B75358" w:rsidRDefault="000F6009">
            <w:pPr>
              <w:rPr>
                <w:rFonts w:ascii="Times New Roman" w:hAnsi="Times New Roman" w:cs="Times New Roman"/>
                <w:lang w:val="en-US"/>
              </w:rPr>
            </w:pPr>
            <w:r w:rsidRPr="00B75358"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1656" w:type="dxa"/>
          </w:tcPr>
          <w:p w:rsidR="000F6009" w:rsidRPr="000F6009" w:rsidRDefault="000F6009">
            <w:pPr>
              <w:rPr>
                <w:rFonts w:ascii="Times New Roman" w:hAnsi="Times New Roman" w:cs="Times New Roman"/>
                <w:lang w:val="ro-RO"/>
              </w:rPr>
            </w:pPr>
            <w:r w:rsidRPr="000F6009">
              <w:rPr>
                <w:rFonts w:ascii="Times New Roman" w:hAnsi="Times New Roman" w:cs="Times New Roman"/>
                <w:lang w:val="en-US"/>
              </w:rPr>
              <w:t>Agen</w:t>
            </w:r>
            <w:r w:rsidR="00AE2C42">
              <w:rPr>
                <w:rFonts w:ascii="Times New Roman" w:hAnsi="Times New Roman" w:cs="Times New Roman"/>
                <w:lang w:val="en-US"/>
              </w:rPr>
              <w:t>ţ</w:t>
            </w:r>
            <w:r w:rsidRPr="000F6009">
              <w:rPr>
                <w:rFonts w:ascii="Times New Roman" w:hAnsi="Times New Roman" w:cs="Times New Roman"/>
                <w:lang w:val="en-US"/>
              </w:rPr>
              <w:t>ia Na</w:t>
            </w:r>
            <w:r w:rsidR="00AE2C42">
              <w:rPr>
                <w:rFonts w:ascii="Times New Roman" w:hAnsi="Times New Roman" w:cs="Times New Roman"/>
                <w:lang w:val="en-US"/>
              </w:rPr>
              <w:t>ţ</w:t>
            </w:r>
            <w:r w:rsidR="00BC6DF2">
              <w:rPr>
                <w:rFonts w:ascii="Times New Roman" w:hAnsi="Times New Roman" w:cs="Times New Roman"/>
                <w:lang w:val="en-US"/>
              </w:rPr>
              <w:t xml:space="preserve"> ională pentru</w:t>
            </w:r>
            <w:r>
              <w:rPr>
                <w:rFonts w:ascii="Times New Roman" w:hAnsi="Times New Roman" w:cs="Times New Roman"/>
                <w:lang w:val="en-US"/>
              </w:rPr>
              <w:t xml:space="preserve"> Siguran</w:t>
            </w:r>
            <w:r w:rsidR="00AE2C42">
              <w:rPr>
                <w:rFonts w:ascii="Times New Roman" w:hAnsi="Times New Roman" w:cs="Times New Roman"/>
                <w:lang w:val="en-US"/>
              </w:rPr>
              <w:t>ţ</w:t>
            </w:r>
            <w:r>
              <w:rPr>
                <w:rFonts w:ascii="Times New Roman" w:hAnsi="Times New Roman" w:cs="Times New Roman"/>
                <w:lang w:val="en-US"/>
              </w:rPr>
              <w:t>a Alimentelor</w:t>
            </w:r>
          </w:p>
        </w:tc>
        <w:tc>
          <w:tcPr>
            <w:tcW w:w="3534" w:type="dxa"/>
          </w:tcPr>
          <w:p w:rsidR="000F6009" w:rsidRPr="000F6009" w:rsidRDefault="000F6009" w:rsidP="00D83D5B">
            <w:pPr>
              <w:rPr>
                <w:rFonts w:ascii="Times New Roman" w:hAnsi="Times New Roman" w:cs="Times New Roman"/>
                <w:lang w:val="ro-RO"/>
              </w:rPr>
            </w:pPr>
            <w:r w:rsidRPr="000F6009">
              <w:rPr>
                <w:rFonts w:ascii="Times New Roman" w:hAnsi="Times New Roman" w:cs="Times New Roman"/>
                <w:lang w:val="ro-RO"/>
              </w:rPr>
              <w:t>La pct. 7 sintagma „</w:t>
            </w:r>
            <w:r w:rsidR="00D83D5B">
              <w:rPr>
                <w:rFonts w:ascii="Times New Roman" w:hAnsi="Times New Roman" w:cs="Times New Roman"/>
                <w:lang w:val="ro-RO"/>
              </w:rPr>
              <w:t xml:space="preserve"> vor dispune de autoriza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 w:rsidR="00D83D5B">
              <w:rPr>
                <w:rFonts w:ascii="Times New Roman" w:hAnsi="Times New Roman" w:cs="Times New Roman"/>
                <w:lang w:val="ro-RO"/>
              </w:rPr>
              <w:t>ie sanitar-veterinară</w:t>
            </w:r>
            <w:r w:rsidRPr="000F6009">
              <w:rPr>
                <w:rFonts w:ascii="Times New Roman" w:hAnsi="Times New Roman" w:cs="Times New Roman"/>
                <w:lang w:val="ro-RO"/>
              </w:rPr>
              <w:t xml:space="preserve"> de func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 w:rsidRPr="000F6009">
              <w:rPr>
                <w:rFonts w:ascii="Times New Roman" w:hAnsi="Times New Roman" w:cs="Times New Roman"/>
                <w:lang w:val="ro-RO"/>
              </w:rPr>
              <w:t>ionare”</w:t>
            </w:r>
            <w:r w:rsidR="00D83D5B">
              <w:rPr>
                <w:rFonts w:ascii="Times New Roman" w:hAnsi="Times New Roman" w:cs="Times New Roman"/>
                <w:lang w:val="ro-RO"/>
              </w:rPr>
              <w:t xml:space="preserve"> se substituie cu sintagma „sunt supuse autorizării sanitar-veterinare de func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 w:rsidR="00D83D5B">
              <w:rPr>
                <w:rFonts w:ascii="Times New Roman" w:hAnsi="Times New Roman" w:cs="Times New Roman"/>
                <w:lang w:val="ro-RO"/>
              </w:rPr>
              <w:t>ionare”.</w:t>
            </w:r>
          </w:p>
        </w:tc>
        <w:tc>
          <w:tcPr>
            <w:tcW w:w="2818" w:type="dxa"/>
          </w:tcPr>
          <w:p w:rsidR="000F6009" w:rsidRPr="000F6009" w:rsidRDefault="000F6009" w:rsidP="000F60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F6009">
              <w:rPr>
                <w:rFonts w:ascii="Times New Roman" w:hAnsi="Times New Roman" w:cs="Times New Roman"/>
                <w:lang w:val="en-US"/>
              </w:rPr>
              <w:t>Se acceptă</w:t>
            </w:r>
          </w:p>
        </w:tc>
        <w:tc>
          <w:tcPr>
            <w:tcW w:w="5608" w:type="dxa"/>
          </w:tcPr>
          <w:p w:rsidR="000F6009" w:rsidRPr="000F6009" w:rsidRDefault="000F6009">
            <w:pPr>
              <w:rPr>
                <w:rFonts w:ascii="Times New Roman" w:hAnsi="Times New Roman" w:cs="Times New Roman"/>
                <w:lang w:val="en-US"/>
              </w:rPr>
            </w:pPr>
            <w:r w:rsidRPr="000F6009">
              <w:rPr>
                <w:rFonts w:ascii="Times New Roman" w:hAnsi="Times New Roman" w:cs="Times New Roman"/>
                <w:lang w:val="en-US"/>
              </w:rPr>
              <w:t>A fost completat pct. 7 conform celor men</w:t>
            </w:r>
            <w:r w:rsidR="00AE2C42">
              <w:rPr>
                <w:rFonts w:ascii="Times New Roman" w:hAnsi="Times New Roman" w:cs="Times New Roman"/>
                <w:lang w:val="en-US"/>
              </w:rPr>
              <w:t>ţ</w:t>
            </w:r>
            <w:r w:rsidRPr="000F6009">
              <w:rPr>
                <w:rFonts w:ascii="Times New Roman" w:hAnsi="Times New Roman" w:cs="Times New Roman"/>
                <w:lang w:val="en-US"/>
              </w:rPr>
              <w:t>ionate în aviz.</w:t>
            </w:r>
          </w:p>
        </w:tc>
      </w:tr>
      <w:tr w:rsidR="000F6009" w:rsidRPr="005F1AE0" w:rsidTr="00C02A71">
        <w:tc>
          <w:tcPr>
            <w:tcW w:w="1376" w:type="dxa"/>
          </w:tcPr>
          <w:p w:rsidR="000F6009" w:rsidRPr="00B75358" w:rsidRDefault="004544AD">
            <w:pPr>
              <w:rPr>
                <w:rFonts w:ascii="Times New Roman" w:hAnsi="Times New Roman" w:cs="Times New Roman"/>
                <w:lang w:val="ro-RO"/>
              </w:rPr>
            </w:pPr>
            <w:r w:rsidRPr="00B75358"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1656" w:type="dxa"/>
          </w:tcPr>
          <w:p w:rsidR="000F6009" w:rsidRPr="00860A49" w:rsidRDefault="004544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A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 Economiei</w:t>
            </w:r>
          </w:p>
        </w:tc>
        <w:tc>
          <w:tcPr>
            <w:tcW w:w="3534" w:type="dxa"/>
          </w:tcPr>
          <w:p w:rsidR="000F6009" w:rsidRPr="005F1AE0" w:rsidRDefault="005F1AE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Comunică lipsa obiec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la proiectul vizat</w:t>
            </w:r>
          </w:p>
        </w:tc>
        <w:tc>
          <w:tcPr>
            <w:tcW w:w="2818" w:type="dxa"/>
          </w:tcPr>
          <w:p w:rsidR="000F6009" w:rsidRPr="004544AD" w:rsidRDefault="004544AD" w:rsidP="004544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44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</w:tc>
        <w:tc>
          <w:tcPr>
            <w:tcW w:w="5608" w:type="dxa"/>
          </w:tcPr>
          <w:p w:rsidR="000F6009" w:rsidRPr="004544AD" w:rsidRDefault="000F60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6009" w:rsidRPr="00A66BE5" w:rsidTr="00C02A71">
        <w:tc>
          <w:tcPr>
            <w:tcW w:w="1376" w:type="dxa"/>
          </w:tcPr>
          <w:p w:rsidR="000F6009" w:rsidRPr="00B75358" w:rsidRDefault="00A66BE5">
            <w:pPr>
              <w:rPr>
                <w:rFonts w:ascii="Times New Roman" w:hAnsi="Times New Roman" w:cs="Times New Roman"/>
                <w:lang w:val="ro-RO"/>
              </w:rPr>
            </w:pPr>
            <w:r w:rsidRPr="00B75358">
              <w:rPr>
                <w:rFonts w:ascii="Times New Roman" w:hAnsi="Times New Roman" w:cs="Times New Roman"/>
                <w:lang w:val="en-US"/>
              </w:rPr>
              <w:t>3.</w:t>
            </w:r>
          </w:p>
        </w:tc>
        <w:tc>
          <w:tcPr>
            <w:tcW w:w="1656" w:type="dxa"/>
          </w:tcPr>
          <w:p w:rsidR="000F6009" w:rsidRPr="00A66BE5" w:rsidRDefault="00A66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Central de Armonizare a Legisla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</w:p>
        </w:tc>
        <w:tc>
          <w:tcPr>
            <w:tcW w:w="3534" w:type="dxa"/>
          </w:tcPr>
          <w:p w:rsidR="000F6009" w:rsidRPr="00A66BE5" w:rsidRDefault="00A66BE5" w:rsidP="00A66B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Din analiza comparativă asupra proiectului din prisma principiilor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mai ales a spiritului care guvernează politica UE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publice, apreciem că proiectul de act normative supus avizării, fără să reprezinte un exerci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iu de transpunere a unui act normative al UE, nu contravene reglementărilor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principiilor care guvernează Politica UE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A66B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publice.</w:t>
            </w:r>
          </w:p>
        </w:tc>
        <w:tc>
          <w:tcPr>
            <w:tcW w:w="2818" w:type="dxa"/>
          </w:tcPr>
          <w:p w:rsidR="000F6009" w:rsidRPr="00166FB6" w:rsidRDefault="00A66BE5" w:rsidP="00A66B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6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</w:tc>
        <w:tc>
          <w:tcPr>
            <w:tcW w:w="5608" w:type="dxa"/>
          </w:tcPr>
          <w:p w:rsidR="000F6009" w:rsidRDefault="000F6009">
            <w:pPr>
              <w:rPr>
                <w:lang w:val="en-US"/>
              </w:rPr>
            </w:pPr>
          </w:p>
        </w:tc>
      </w:tr>
      <w:tr w:rsidR="000F6009" w:rsidRPr="0028676B" w:rsidTr="00C02A71">
        <w:tc>
          <w:tcPr>
            <w:tcW w:w="1376" w:type="dxa"/>
          </w:tcPr>
          <w:p w:rsidR="000F6009" w:rsidRPr="00B75358" w:rsidRDefault="0028676B">
            <w:pPr>
              <w:rPr>
                <w:rFonts w:ascii="Times New Roman" w:hAnsi="Times New Roman" w:cs="Times New Roman"/>
                <w:lang w:val="en-US"/>
              </w:rPr>
            </w:pPr>
            <w:r w:rsidRPr="00B75358">
              <w:rPr>
                <w:rFonts w:ascii="Times New Roman" w:hAnsi="Times New Roman" w:cs="Times New Roman"/>
                <w:lang w:val="en-US"/>
              </w:rPr>
              <w:t>4.</w:t>
            </w:r>
          </w:p>
        </w:tc>
        <w:tc>
          <w:tcPr>
            <w:tcW w:w="1656" w:type="dxa"/>
          </w:tcPr>
          <w:p w:rsidR="000F6009" w:rsidRPr="006B5868" w:rsidRDefault="002867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B5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 pentru Drepturile Omului din Moldova</w:t>
            </w:r>
          </w:p>
        </w:tc>
        <w:tc>
          <w:tcPr>
            <w:tcW w:w="3534" w:type="dxa"/>
          </w:tcPr>
          <w:p w:rsidR="000F6009" w:rsidRPr="0028676B" w:rsidRDefault="0028676B" w:rsidP="002867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mod special apreciem faptul că Regulamentul stabile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numărul copiilor în grupe în func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de vîrstă, de prezen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copiilor cu dizabilită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în grupe, problem identificate anterior de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noastră în cadrul analizelor privind respectarea drepturilor copiilor cu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 special în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iile de 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28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ămînt.</w:t>
            </w:r>
          </w:p>
        </w:tc>
        <w:tc>
          <w:tcPr>
            <w:tcW w:w="2818" w:type="dxa"/>
          </w:tcPr>
          <w:p w:rsidR="000F6009" w:rsidRPr="009C5647" w:rsidRDefault="009C5647" w:rsidP="009C56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6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 acceptă</w:t>
            </w:r>
          </w:p>
        </w:tc>
        <w:tc>
          <w:tcPr>
            <w:tcW w:w="5608" w:type="dxa"/>
          </w:tcPr>
          <w:p w:rsidR="000F6009" w:rsidRDefault="000F6009">
            <w:pPr>
              <w:rPr>
                <w:lang w:val="en-US"/>
              </w:rPr>
            </w:pPr>
          </w:p>
        </w:tc>
      </w:tr>
      <w:tr w:rsidR="000F6009" w:rsidRPr="00AE2C42" w:rsidTr="00C02A71">
        <w:tc>
          <w:tcPr>
            <w:tcW w:w="1376" w:type="dxa"/>
          </w:tcPr>
          <w:p w:rsidR="000F6009" w:rsidRPr="00C84E01" w:rsidRDefault="00C84E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lastRenderedPageBreak/>
              <w:t>4.</w:t>
            </w:r>
          </w:p>
        </w:tc>
        <w:tc>
          <w:tcPr>
            <w:tcW w:w="1656" w:type="dxa"/>
          </w:tcPr>
          <w:p w:rsidR="000F6009" w:rsidRPr="00C84E01" w:rsidRDefault="00C84E01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Ministerul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Muncii, Protec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iei Sociale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Familiei</w:t>
            </w:r>
          </w:p>
        </w:tc>
        <w:tc>
          <w:tcPr>
            <w:tcW w:w="3534" w:type="dxa"/>
          </w:tcPr>
          <w:p w:rsidR="000F6009" w:rsidRPr="00C84E01" w:rsidRDefault="00C84E01" w:rsidP="00C84E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Consideră oportună reglementarea într-un capitol separat a specifica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ămînt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 cu un număr redus de copii, care ar putea fi instituite de către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publice din unită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administrativ-teritoriale mici sau prestatorii priva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C84E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818" w:type="dxa"/>
          </w:tcPr>
          <w:p w:rsidR="000F6009" w:rsidRPr="00C84E01" w:rsidRDefault="00E363A2" w:rsidP="00E363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84E01" w:rsidRPr="00C84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acceptă</w:t>
            </w:r>
          </w:p>
        </w:tc>
        <w:tc>
          <w:tcPr>
            <w:tcW w:w="5608" w:type="dxa"/>
          </w:tcPr>
          <w:p w:rsidR="00E363A2" w:rsidRPr="00CB787E" w:rsidRDefault="00E363A2" w:rsidP="00F502F8">
            <w:pPr>
              <w:pStyle w:val="a4"/>
              <w:tabs>
                <w:tab w:val="left" w:pos="284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B7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Au fost form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ulate normele sanitare pentru institu</w:t>
            </w:r>
            <w:r w:rsidR="00A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ţ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iile de educa</w:t>
            </w:r>
            <w:r w:rsidR="00A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ţ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ie antepre</w:t>
            </w:r>
            <w:r w:rsidR="00A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ş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colară </w:t>
            </w:r>
            <w:r w:rsidR="00A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ş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 pre</w:t>
            </w:r>
            <w:r w:rsidR="00A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ş</w:t>
            </w:r>
            <w:r w:rsidR="005B27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colară</w:t>
            </w:r>
            <w:r w:rsidRPr="00CB7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care au un număr redus de copii în cap. X al prezentului regulament.</w:t>
            </w:r>
          </w:p>
          <w:p w:rsidR="000F6009" w:rsidRPr="00E363A2" w:rsidRDefault="000F6009" w:rsidP="00F502F8">
            <w:pPr>
              <w:pStyle w:val="a4"/>
              <w:tabs>
                <w:tab w:val="left" w:pos="284"/>
              </w:tabs>
              <w:spacing w:after="200"/>
              <w:ind w:left="0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  <w:lang w:val="en-US"/>
              </w:rPr>
            </w:pPr>
          </w:p>
        </w:tc>
      </w:tr>
      <w:tr w:rsidR="000F6009" w:rsidRPr="009C2482" w:rsidTr="00C02A71">
        <w:tc>
          <w:tcPr>
            <w:tcW w:w="1376" w:type="dxa"/>
          </w:tcPr>
          <w:p w:rsidR="000F6009" w:rsidRDefault="004D3D9E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656" w:type="dxa"/>
          </w:tcPr>
          <w:p w:rsidR="000F6009" w:rsidRPr="00897AE3" w:rsidRDefault="005929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Ministerul Dezvoltării Regionale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</w:t>
            </w:r>
          </w:p>
        </w:tc>
        <w:tc>
          <w:tcPr>
            <w:tcW w:w="3534" w:type="dxa"/>
          </w:tcPr>
          <w:p w:rsidR="000F6009" w:rsidRDefault="00897AE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În art. 2 al</w:t>
            </w:r>
            <w:r w:rsidR="00A80B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proiectului regulamentului este stipulat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că prezentul regulament cuprinde instruc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</w:t>
            </w:r>
            <w:r w:rsidR="0087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norme, reguli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87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873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cu c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aracter obligatoriu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recomandări op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ionale pentru persoanele fizice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juridice cu atribu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la proiectarea,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ia/reconstruc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ia/renovarea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colare, activită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care fac parte din domeniul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iilor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897A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nu pot fi acceptate în regulamentul examinat.</w:t>
            </w:r>
          </w:p>
          <w:p w:rsidR="00387B25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2) Se propune excluderea următoarelor capitole:</w:t>
            </w: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13CC3" w:rsidRDefault="00C13CC3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amenajarea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ămînt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</w:t>
            </w:r>
          </w:p>
          <w:p w:rsidR="00561BCB" w:rsidRDefault="00561BCB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BCB" w:rsidRDefault="00561BCB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BCB" w:rsidRPr="00561BCB" w:rsidRDefault="00561BCB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BCB" w:rsidRDefault="00561BCB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amenajarea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inerea teritoriului</w:t>
            </w:r>
          </w:p>
          <w:p w:rsidR="00561BCB" w:rsidRDefault="00561BCB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61BCB" w:rsidRDefault="00561BCB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Default="00790161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Default="00790161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Default="00790161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Default="00790161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Pr="00561BCB" w:rsidRDefault="00790161" w:rsidP="00561BC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90161" w:rsidRDefault="00790161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 Iluminatul natural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artificial al încăperilor</w:t>
            </w:r>
          </w:p>
          <w:p w:rsidR="00FB036A" w:rsidRPr="00FB036A" w:rsidRDefault="00FB036A" w:rsidP="00FB03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36A" w:rsidRPr="00FB036A" w:rsidRDefault="00FB036A" w:rsidP="00FB036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D) Încălzirea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ventilarea încăperilor</w:t>
            </w:r>
          </w:p>
          <w:p w:rsidR="00387B25" w:rsidRPr="00897AE3" w:rsidRDefault="00387B25" w:rsidP="00897AE3">
            <w:pPr>
              <w:pStyle w:val="a4"/>
              <w:numPr>
                <w:ilvl w:val="0"/>
                <w:numId w:val="3"/>
              </w:numPr>
              <w:ind w:left="34" w:hanging="65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18" w:type="dxa"/>
          </w:tcPr>
          <w:p w:rsidR="000F6009" w:rsidRDefault="00951CEE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Nu s</w:t>
            </w:r>
            <w:r w:rsidR="00610129" w:rsidRPr="006101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</w:t>
            </w:r>
            <w:r w:rsidR="00387B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</w:t>
            </w:r>
            <w:r w:rsid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87B25" w:rsidRDefault="00387B25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2D10" w:rsidRDefault="00C13CC3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</w:t>
            </w:r>
            <w:r w:rsidR="00EB5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</w:t>
            </w:r>
          </w:p>
          <w:p w:rsidR="004A2D10" w:rsidRPr="004A2D10" w:rsidRDefault="004A2D10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8" w:type="dxa"/>
          </w:tcPr>
          <w:p w:rsidR="000F6009" w:rsidRDefault="00951CEE" w:rsidP="00951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 parte din normele sanitare expuse în regulamentul sanitar nu se regăsesc în normele de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 Concomitent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 Serviciul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Supraveghere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are atribu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în eliberarea avizului sanitar pentru terenurile de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ie, proiecte de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ie/reconstruc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ie, precum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recep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finală aobiectivelor construite/reconstruite. Aceste activită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sunt realizate în temeiul art. 23 a legii nr. 10-XVI din 03.02.2009 privind supraveghrea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publice.</w:t>
            </w:r>
          </w:p>
          <w:p w:rsidR="00951CEE" w:rsidRPr="004A2D10" w:rsidRDefault="00951CEE" w:rsidP="00951C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Cuvîntul „obligatoriu” este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ionat în Legea nr. 10-XVI din 03.02.2009 privind supraveghrea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în no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iunea de „regulament sanitar” la capitolul I, art. 2.</w:t>
            </w:r>
          </w:p>
          <w:p w:rsidR="00561BCB" w:rsidRDefault="00561BCB">
            <w:pPr>
              <w:rPr>
                <w:lang w:val="en-US"/>
              </w:rPr>
            </w:pPr>
          </w:p>
          <w:p w:rsidR="00561BCB" w:rsidRDefault="00C13CC3" w:rsidP="00EB5B3D">
            <w:pPr>
              <w:jc w:val="both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fost revizuit în conformitate cu </w:t>
            </w:r>
            <w:r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NCM C.01.02-99 „Proiectarea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pentru grădini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de copii”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r w:rsidRP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2.08-89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бщественные</w:t>
            </w:r>
            <w:r w:rsidRP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r w:rsidRP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4A2D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33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NCM C. 04.02-2005 „Iluminatul natural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33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artificial”</w:t>
            </w:r>
          </w:p>
          <w:p w:rsidR="00561BCB" w:rsidRDefault="00561BCB">
            <w:pPr>
              <w:rPr>
                <w:lang w:val="en-US"/>
              </w:rPr>
            </w:pPr>
          </w:p>
          <w:p w:rsidR="00561BCB" w:rsidRDefault="00561BCB">
            <w:pPr>
              <w:rPr>
                <w:lang w:val="en-US"/>
              </w:rPr>
            </w:pPr>
          </w:p>
          <w:p w:rsidR="00561BCB" w:rsidRDefault="00B20180" w:rsidP="00B20180">
            <w:pPr>
              <w:pStyle w:val="a4"/>
              <w:numPr>
                <w:ilvl w:val="0"/>
                <w:numId w:val="4"/>
              </w:numPr>
              <w:ind w:left="34" w:hanging="68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A) 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Analizînd propunerile înaintate s-a constatat că prevederile ex</w:t>
            </w:r>
            <w:r w:rsidR="00EB0366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puse în pct. 15-18 lipsesc în NCM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C.01.02-99 </w:t>
            </w:r>
            <w:r w:rsidR="00EB0366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Proiectarea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pentru grădini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de copii</w:t>
            </w:r>
            <w:r w:rsidR="00EB0366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iar pct. 14 din prezentul regulament </w:t>
            </w:r>
            <w:proofErr w:type="gramStart"/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gramEnd"/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61BCB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expus mai detaliat ca în NRC.</w:t>
            </w:r>
          </w:p>
          <w:p w:rsidR="00B20180" w:rsidRDefault="00B20180" w:rsidP="00B201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20180" w:rsidRDefault="00790161" w:rsidP="0027051B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B) </w:t>
            </w:r>
            <w:r w:rsid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pct. 19 prima frază a fost exclusă deoarece se regăse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 în NCM C.</w:t>
            </w:r>
            <w:r w:rsidR="00B20180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01.02-99 „Proiectarea 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B20180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pentru grădini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B20180" w:rsidRP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de copii”</w:t>
            </w:r>
            <w:r w:rsidR="00B201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90161" w:rsidRDefault="00790161" w:rsidP="0079016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Pct. 20-26, 30-31, 35-46 nu se regăsesc în prezentul NCM C.</w:t>
            </w:r>
          </w:p>
          <w:p w:rsidR="00790161" w:rsidRDefault="00790161" w:rsidP="0079016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pct. 28</w:t>
            </w:r>
            <w:r w:rsidR="004372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29, 33 au fost excluse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90161" w:rsidRDefault="00790161" w:rsidP="0079016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Pct. 34 din prezentul regulament este o completare la pct. 4.11 din NCM C.</w:t>
            </w:r>
          </w:p>
          <w:p w:rsidR="0003294D" w:rsidRDefault="0003294D" w:rsidP="00790161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294D" w:rsidRDefault="0003294D" w:rsidP="009C24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2482" w:rsidRPr="0027051B" w:rsidRDefault="002C1F32" w:rsidP="002C1F3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C)Pct. 127-144 din prezentul regulament nu sunt de regăsit în </w:t>
            </w:r>
            <w:r w:rsidRPr="0033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NCM C. 04.02-2005 „Iluminatul natural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333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artificial”</w:t>
            </w:r>
          </w:p>
          <w:p w:rsidR="009C2482" w:rsidRDefault="009C2482" w:rsidP="002C1F3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2482" w:rsidRPr="009C2482" w:rsidRDefault="009C2482" w:rsidP="00963A1F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 xml:space="preserve">. 148-149, 151-167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sesc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 xml:space="preserve"> î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СНиП 2.08-89 „О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бщественные здания и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C2482" w:rsidRPr="009C2482" w:rsidRDefault="009C2482" w:rsidP="009C2482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doua frază din pct. 150 a fost exclusă deoarece este de regăsit în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СНиП 2.08-89 „О</w:t>
            </w:r>
            <w:r w:rsidRPr="009C2482">
              <w:rPr>
                <w:rFonts w:ascii="Times New Roman" w:hAnsi="Times New Roman" w:cs="Times New Roman"/>
                <w:sz w:val="24"/>
                <w:szCs w:val="24"/>
              </w:rPr>
              <w:t>бщественные здания и сооружения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561BCB" w:rsidRPr="009C2482" w:rsidRDefault="00561BCB"/>
        </w:tc>
      </w:tr>
      <w:tr w:rsidR="00D124EA" w:rsidRPr="00AE2C42" w:rsidTr="00C02A71">
        <w:tc>
          <w:tcPr>
            <w:tcW w:w="1376" w:type="dxa"/>
          </w:tcPr>
          <w:p w:rsidR="00D124EA" w:rsidRDefault="00D124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1656" w:type="dxa"/>
          </w:tcPr>
          <w:p w:rsidR="00D124EA" w:rsidRPr="00D73296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Academia de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oldovei</w:t>
            </w:r>
          </w:p>
        </w:tc>
        <w:tc>
          <w:tcPr>
            <w:tcW w:w="3534" w:type="dxa"/>
          </w:tcPr>
          <w:p w:rsidR="00D124EA" w:rsidRPr="00D73296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fost acceptat fără modificări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pletări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18" w:type="dxa"/>
          </w:tcPr>
          <w:p w:rsidR="00D124EA" w:rsidRPr="00610129" w:rsidRDefault="00D124EA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8" w:type="dxa"/>
          </w:tcPr>
          <w:p w:rsidR="00D124EA" w:rsidRPr="004A2D10" w:rsidRDefault="00D12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4EA" w:rsidRPr="00AE2C42" w:rsidTr="00C02A71">
        <w:tc>
          <w:tcPr>
            <w:tcW w:w="1376" w:type="dxa"/>
          </w:tcPr>
          <w:p w:rsidR="00D124EA" w:rsidRDefault="00D124EA">
            <w:pPr>
              <w:rPr>
                <w:lang w:val="en-US"/>
              </w:rPr>
            </w:pPr>
            <w:r>
              <w:rPr>
                <w:lang w:val="en-US"/>
              </w:rPr>
              <w:t xml:space="preserve">7. </w:t>
            </w:r>
          </w:p>
        </w:tc>
        <w:tc>
          <w:tcPr>
            <w:tcW w:w="1656" w:type="dxa"/>
          </w:tcPr>
          <w:p w:rsidR="00D124EA" w:rsidRPr="00D73296" w:rsidRDefault="00EB5B3D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Confidera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N</w:t>
            </w:r>
            <w:r w:rsidR="00D1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D1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ională a Sindicatelor din Moldova</w:t>
            </w:r>
          </w:p>
        </w:tc>
        <w:tc>
          <w:tcPr>
            <w:tcW w:w="3534" w:type="dxa"/>
          </w:tcPr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p.26 cuvîntul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fluvial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</w:t>
            </w:r>
            <w:proofErr w:type="gramEnd"/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substitutit cu cuvîntul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r w:rsidRPr="00D732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pluviale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pct. 47 de concretizat sensul ultimei propozi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pct. 79 de substituit cuvîntul „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i” cu cuvîntul „cu”.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104 de substituir cuvîntul „prelucrare” cu cuvîntul „utilizare”. 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pct. 105 să fie excluse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sintagmele „a IP”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„se recomandă următoarele încăperi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inventar” din prima propozi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să fie completată cu sintagma „după cum urmează:”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107 să fie substituit textul integral cu următorul text „Se interzice amplasarea geamurilor blocului alimentar, spălătoriei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viceurilor sub ferestrele camerelor pentru jocuri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dormitoare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.</w:t>
            </w:r>
            <w:proofErr w:type="gramEnd"/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109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substituit textul integral cu următorul text: „Se interzice amplasarea pe terenul IP a co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urilor de fum, turnurilor de apă, pilonilor electrici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altor obiecte periculoase”. 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pct. 125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substituită sintagma „încălzire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sisteme de ventila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ie” cu sintagma „sisteme de încălzire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ventila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ie”.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127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substituit cuvîntul „viciat” cu cuvîntul „folosit”. 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denumirea cap. VII cuvîntul „sanita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ie” cu cuvîntul „canaliza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ie”.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162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substituită sintagma „echipate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vopsite” cu cuvîntul „vopsi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i”.</w:t>
            </w:r>
          </w:p>
          <w:p w:rsidR="00D124EA" w:rsidRDefault="00D124EA" w:rsidP="00D124EA">
            <w:pPr>
              <w:pStyle w:val="a4"/>
              <w:numPr>
                <w:ilvl w:val="0"/>
                <w:numId w:val="5"/>
              </w:numPr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 pct. 208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punct după cuvîntul „transmisibile”,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iar textul mai departe să fie exclus.</w:t>
            </w:r>
          </w:p>
          <w:p w:rsidR="00D124EA" w:rsidRPr="00D73296" w:rsidRDefault="00D124EA" w:rsidP="003550AE">
            <w:pPr>
              <w:pStyle w:val="a4"/>
              <w:numPr>
                <w:ilvl w:val="0"/>
                <w:numId w:val="5"/>
              </w:numPr>
              <w:tabs>
                <w:tab w:val="left" w:pos="370"/>
              </w:tabs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pct. 211 să fie înlocuit con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inutul primei propozi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cu următorul text „La cererea persoanei sau persoanelor, care supraveghează activitatea IP, personalul angajat trebuie să demonstreze cuno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despre prevenirea bolilor transmisibile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anume:”</w:t>
            </w:r>
          </w:p>
        </w:tc>
        <w:tc>
          <w:tcPr>
            <w:tcW w:w="2818" w:type="dxa"/>
          </w:tcPr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Pr="000E75E3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Pr="000E75E3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Pr="003F57FC" w:rsidRDefault="005C2937" w:rsidP="005C2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D124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acceptă</w:t>
            </w:r>
          </w:p>
        </w:tc>
        <w:tc>
          <w:tcPr>
            <w:tcW w:w="5608" w:type="dxa"/>
          </w:tcPr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17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S-a modificat conform propunerii expuse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Ultima propozi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din pct. 47 a fost exclusă.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pct. 79 conform propunerii expuse.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104 conform propunerii expuse.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105 conform propunerii expuse.</w:t>
            </w: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107 conform propunerii expuse.</w:t>
            </w: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109 conform propunerii expuse.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125 conform propunerii expuse.</w:t>
            </w: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127 conform propunerii expuse.</w:t>
            </w: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titlul cap. VII conform propunerii expuse.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162 conform propunerii expuse.</w:t>
            </w: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corectat pct 208 conform propunerii expuse.</w:t>
            </w:r>
          </w:p>
          <w:p w:rsidR="00D124EA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Default="00D124EA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124EA" w:rsidRPr="003F57FC" w:rsidRDefault="005C2937" w:rsidP="008A56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modificat conform propunerilor expuse în aviz.</w:t>
            </w:r>
          </w:p>
        </w:tc>
      </w:tr>
      <w:tr w:rsidR="00D124EA" w:rsidRPr="00AE2C42" w:rsidTr="00C02A71">
        <w:tc>
          <w:tcPr>
            <w:tcW w:w="1376" w:type="dxa"/>
          </w:tcPr>
          <w:p w:rsidR="00D124EA" w:rsidRDefault="00D124E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8.</w:t>
            </w:r>
          </w:p>
        </w:tc>
        <w:tc>
          <w:tcPr>
            <w:tcW w:w="1656" w:type="dxa"/>
          </w:tcPr>
          <w:p w:rsidR="00D124EA" w:rsidRPr="00BC74AF" w:rsidRDefault="00D124EA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Grupul de Lucru.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Comisia de Stat pentru Reglementarea Activită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de Întreprinzător</w:t>
            </w:r>
          </w:p>
        </w:tc>
        <w:tc>
          <w:tcPr>
            <w:tcW w:w="3534" w:type="dxa"/>
          </w:tcPr>
          <w:p w:rsidR="00D124EA" w:rsidRPr="00BC74AF" w:rsidRDefault="00D124EA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 </w:t>
            </w:r>
            <w:proofErr w:type="gramStart"/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aviza pozitiv proiectul HG cu privire la aprobarea proiectului Regulamentului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sanitar</w:t>
            </w: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iile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ămînt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 w:rsidRPr="00BC74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colar.</w:t>
            </w:r>
          </w:p>
        </w:tc>
        <w:tc>
          <w:tcPr>
            <w:tcW w:w="2818" w:type="dxa"/>
          </w:tcPr>
          <w:p w:rsidR="00D124EA" w:rsidRPr="00610129" w:rsidRDefault="00D124EA" w:rsidP="006101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8" w:type="dxa"/>
          </w:tcPr>
          <w:p w:rsidR="00D124EA" w:rsidRPr="004A2D10" w:rsidRDefault="00D124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445" w:rsidRPr="00AE2C42" w:rsidTr="00C02A71">
        <w:tc>
          <w:tcPr>
            <w:tcW w:w="1376" w:type="dxa"/>
          </w:tcPr>
          <w:p w:rsidR="002D2445" w:rsidRDefault="002D2445">
            <w:pPr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1656" w:type="dxa"/>
          </w:tcPr>
          <w:p w:rsidR="002D2445" w:rsidRPr="00487B23" w:rsidRDefault="002D2445" w:rsidP="008A5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2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 Finan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Pr="00C42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elor</w:t>
            </w:r>
          </w:p>
        </w:tc>
        <w:tc>
          <w:tcPr>
            <w:tcW w:w="3534" w:type="dxa"/>
          </w:tcPr>
          <w:p w:rsidR="002D2445" w:rsidRDefault="009F2BF3" w:rsidP="009F2BF3">
            <w:pPr>
              <w:pStyle w:val="a4"/>
              <w:numPr>
                <w:ilvl w:val="0"/>
                <w:numId w:val="6"/>
              </w:numPr>
              <w:ind w:left="0" w:hanging="7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Pct. 11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12 din prezentul regulament, cu privire la stabilirea numărului de copii în grupe din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iile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ămînt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colar, urmează să fie excluse din motivul reglementării normelor date de către Regulamentul –tip</w:t>
            </w:r>
            <w:r w:rsidR="00D50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urmează să fie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aprobat de Ministerul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iei, în conformitate cu art. 20 (6) din Codul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iei.</w:t>
            </w:r>
          </w:p>
          <w:p w:rsidR="0034130B" w:rsidRDefault="0034130B" w:rsidP="009F2BF3">
            <w:pPr>
              <w:pStyle w:val="a4"/>
              <w:numPr>
                <w:ilvl w:val="0"/>
                <w:numId w:val="6"/>
              </w:numPr>
              <w:ind w:left="0" w:hanging="7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Pe parcursul întregului text al regulamentului sintagma copii cu dizabilită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înlocui cu sintagma copii cu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 special, în conformitate cu no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iunea stabilită de Codul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iei.</w:t>
            </w:r>
          </w:p>
          <w:p w:rsidR="004206F3" w:rsidRDefault="004206F3" w:rsidP="009F2BF3">
            <w:pPr>
              <w:pStyle w:val="a4"/>
              <w:numPr>
                <w:ilvl w:val="0"/>
                <w:numId w:val="6"/>
              </w:numPr>
              <w:ind w:left="0" w:hanging="7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 În pct. 52,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ă de fiecare grupă care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prevăzută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dotată cu echipamente necesare pentru copii cu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 special, serviciul trebuie să apară cînd apare necesitatea.</w:t>
            </w:r>
          </w:p>
          <w:p w:rsidR="00AA1EED" w:rsidRDefault="00AA1EED" w:rsidP="009F2BF3">
            <w:pPr>
              <w:pStyle w:val="a4"/>
              <w:numPr>
                <w:ilvl w:val="0"/>
                <w:numId w:val="6"/>
              </w:numPr>
              <w:ind w:left="0" w:hanging="7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La cap. X, nu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clară necesitatea stipulării separate a normelor sanitare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iile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timpurie cu un număr redus de copii, nefiind clare diferin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 esen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iale fa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 de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 cu mai mul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copii. Se sugerează ca excep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 pentru anumite norme sanitare pentru aceste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fie descries în compartimentele unde aceste norme sunt reglementate.</w:t>
            </w:r>
          </w:p>
          <w:p w:rsidR="007940CF" w:rsidRPr="00A34F4F" w:rsidRDefault="007940CF" w:rsidP="009F2BF3">
            <w:pPr>
              <w:pStyle w:val="a4"/>
              <w:numPr>
                <w:ilvl w:val="0"/>
                <w:numId w:val="6"/>
              </w:numPr>
              <w:ind w:left="0" w:hanging="73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Nota informative la proiect nu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prezentat un calcul estimative al costurilor generate de aceste dotări pentru o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timpurie, fiind dificil de analizat impactul financiar real care îl vor avea acestea.</w:t>
            </w:r>
          </w:p>
        </w:tc>
        <w:tc>
          <w:tcPr>
            <w:tcW w:w="2818" w:type="dxa"/>
          </w:tcPr>
          <w:p w:rsidR="002D2445" w:rsidRDefault="0034130B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Nu se </w:t>
            </w:r>
            <w:r w:rsidR="00571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571CF4" w:rsidRDefault="00571CF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Nu se </w:t>
            </w:r>
            <w:r w:rsidR="006F2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se acceptă</w:t>
            </w: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Pr="00725511" w:rsidRDefault="006F2894" w:rsidP="003413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8" w:type="dxa"/>
          </w:tcPr>
          <w:p w:rsidR="004768FE" w:rsidRDefault="0034130B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Pînă în present nu este aprobat regulamentul-tip de către Ministerul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iei. În avizul prezentat de către Ministerul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nu este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ionată această obiec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art. 44, pct. 3 din Legea nr. 10-XVI nr.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03.02.2009 privind supravegherea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este stipulate, că procesul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trebuie să corespundă regulamentelor sanitare în vigoare. </w:t>
            </w:r>
          </w:p>
          <w:p w:rsidR="00571CF4" w:rsidRDefault="00571CF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71CF4" w:rsidRDefault="00571CF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modificat conform celor expuse în aviz.</w:t>
            </w: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206F3" w:rsidRDefault="004206F3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În pct. 52 dotarea cu echipamente necesare pentru copii cu cerin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ionale special este prevăzută pentru o grupă (încăperi</w:t>
            </w:r>
            <w:r w:rsidR="00DA72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vestiar, cameră de joc, dormitor, bloc sanitar) dar nu pentru fiecare grupă.</w:t>
            </w:r>
          </w:p>
          <w:p w:rsidR="008634F1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4F1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4F1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4F1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Includerea unui capitol separat privind normelor sanitare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iile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timpurie cu un număr redus de copii a fost propus de către Ministerul Muncii, Protec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iei Sociale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Familiei. Concomitant, la acest capitol ministerele vizate nu au au fost devergen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 la acest capitol.</w:t>
            </w: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Default="006F2894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F2894" w:rsidRPr="001B1880" w:rsidRDefault="007D732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nota informativă au</w:t>
            </w:r>
            <w:r w:rsidR="00C425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fost incluse cheltuielile vis-à-vis de </w:t>
            </w:r>
            <w:r w:rsidR="001B1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dotarea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1B1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1B18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timpurie.</w:t>
            </w:r>
          </w:p>
          <w:p w:rsidR="008634F1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634F1" w:rsidRPr="004768FE" w:rsidRDefault="008634F1" w:rsidP="00E227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A11FB" w:rsidRPr="00AE2C42" w:rsidTr="00C02A71">
        <w:trPr>
          <w:trHeight w:val="4725"/>
        </w:trPr>
        <w:tc>
          <w:tcPr>
            <w:tcW w:w="1376" w:type="dxa"/>
          </w:tcPr>
          <w:p w:rsidR="00BA11FB" w:rsidRPr="00B76E9F" w:rsidRDefault="00BA11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6E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10.</w:t>
            </w: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B76E9F" w:rsidRDefault="00B76E9F">
            <w:pPr>
              <w:rPr>
                <w:lang w:val="en-US"/>
              </w:rPr>
            </w:pPr>
          </w:p>
          <w:p w:rsidR="00CD4B67" w:rsidRDefault="00CD4B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BE" w:rsidRDefault="0087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67BE" w:rsidRPr="00B76E9F" w:rsidRDefault="008767B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:rsidR="00BA11FB" w:rsidRDefault="00BA11FB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Ministerul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Centrul Na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 Anticorup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 al RM</w:t>
            </w: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1C53" w:rsidRDefault="00761C53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Confedera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Na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ională a Patronatului din RM</w:t>
            </w: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234251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CALM</w:t>
            </w: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B16DE" w:rsidRDefault="003B16DE" w:rsidP="002E0858">
            <w:pPr>
              <w:tabs>
                <w:tab w:val="left" w:pos="348"/>
                <w:tab w:val="center" w:pos="72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B6718" w:rsidRDefault="004B6718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5EA1" w:rsidRDefault="009C5EA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34251" w:rsidRDefault="003B16DE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Ministerul Justi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</w:p>
          <w:p w:rsidR="00F02200" w:rsidRDefault="00F02200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261" w:rsidRDefault="00A66261" w:rsidP="00A662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11FB" w:rsidRPr="00897AE3" w:rsidRDefault="00BA11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34" w:type="dxa"/>
          </w:tcPr>
          <w:p w:rsidR="00D77945" w:rsidRPr="00D77945" w:rsidRDefault="00D77945" w:rsidP="00D77945">
            <w:pPr>
              <w:pStyle w:val="a4"/>
              <w:numPr>
                <w:ilvl w:val="0"/>
                <w:numId w:val="21"/>
              </w:numPr>
              <w:tabs>
                <w:tab w:val="left" w:pos="370"/>
              </w:tabs>
              <w:spacing w:line="276" w:lineRule="auto"/>
              <w:ind w:left="87" w:hanging="8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 propune a se substitui, în tot textul, sintagma ”instituţie de educaţie antepreşcolară şi preşcolară”  cu sintagma ”Institu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timpurie”;</w:t>
            </w:r>
          </w:p>
          <w:p w:rsidR="00D77945" w:rsidRPr="00D77945" w:rsidRDefault="00D77945" w:rsidP="00D77945">
            <w:pPr>
              <w:pStyle w:val="a4"/>
              <w:numPr>
                <w:ilvl w:val="0"/>
                <w:numId w:val="21"/>
              </w:numPr>
              <w:spacing w:line="276" w:lineRule="auto"/>
              <w:ind w:left="87" w:hanging="63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2. 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Capitolul I </w:t>
            </w:r>
            <w:r w:rsidRPr="00D7794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Dispozi</w:t>
            </w:r>
            <w:r w:rsidR="00AE2C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ii generale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p. 12 sintagma ”Numărul de copii în grupe cu dizabilităţi”  a se substitui cu sintagma ”Numărul de copii cu dizabilită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în grupe”;</w:t>
            </w:r>
          </w:p>
          <w:p w:rsidR="00A32D09" w:rsidRPr="00A32D09" w:rsidRDefault="00A32D09" w:rsidP="00A32D09">
            <w:pPr>
              <w:pStyle w:val="a4"/>
              <w:numPr>
                <w:ilvl w:val="0"/>
                <w:numId w:val="21"/>
              </w:numPr>
              <w:tabs>
                <w:tab w:val="left" w:pos="229"/>
                <w:tab w:val="left" w:pos="370"/>
              </w:tabs>
              <w:spacing w:line="276" w:lineRule="auto"/>
              <w:ind w:left="87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szCs w:val="24"/>
                <w:lang w:val="ro-RO"/>
              </w:rPr>
              <w:t xml:space="preserve">3. 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</w:t>
            </w:r>
            <w:bookmarkStart w:id="0" w:name="_GoBack"/>
            <w:bookmarkEnd w:id="0"/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Capitolul II </w:t>
            </w:r>
            <w:r w:rsidRPr="00A32D09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Amplasarea instituţiilor de educaţie antepreşcolară şi preşcolară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p. 16 să se expună în următoarea redac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ie: “Institu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ie timpurie poate fi amplasată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în clădiri existente sau anexată la blocurile locative sau de menire socială, 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inclusiv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ii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ămînt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excep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 întreprinderilor industriale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celor de prestări servicii, cu respectarea următoarelor condi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ii:”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32D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mai departe după text;</w:t>
            </w:r>
          </w:p>
          <w:p w:rsidR="00D77945" w:rsidRPr="00A45437" w:rsidRDefault="00A45437" w:rsidP="00A45437">
            <w:pPr>
              <w:pStyle w:val="a4"/>
              <w:numPr>
                <w:ilvl w:val="0"/>
                <w:numId w:val="21"/>
              </w:numPr>
              <w:tabs>
                <w:tab w:val="left" w:pos="370"/>
              </w:tabs>
              <w:spacing w:line="276" w:lineRule="auto"/>
              <w:ind w:left="87" w:hanging="633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45437">
              <w:rPr>
                <w:szCs w:val="24"/>
                <w:lang w:val="en-US"/>
              </w:rPr>
              <w:t xml:space="preserve">4. 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 propune excluderea capitolului IX </w:t>
            </w:r>
            <w:r w:rsidRPr="00A4543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Educaţia pentru sănătate a copiilor de vârstă preşcolară, 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că formularea respective nu tine de 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competen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contextul prezentului regulament, ci de prevederile </w:t>
            </w:r>
            <w:r w:rsidRPr="00A4543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Curriculumul-ui educa</w:t>
            </w:r>
            <w:r w:rsidR="00AE2C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ţ</w:t>
            </w:r>
            <w:r w:rsidRPr="00A4543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iei copiilor de vîrstă timpurie </w:t>
            </w:r>
            <w:r w:rsidR="00AE2C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</w:t>
            </w:r>
            <w:r w:rsidRPr="00A4543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 pre</w:t>
            </w:r>
            <w:r w:rsidR="00AE2C42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ş</w:t>
            </w:r>
            <w:r w:rsidRPr="00A4543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colară (1-7 ani) în Republica Moldova</w:t>
            </w:r>
            <w:r w:rsidRPr="00A454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F3D70" w:rsidRPr="00A45437" w:rsidRDefault="009F3D70" w:rsidP="009F3D70">
            <w:pPr>
              <w:pStyle w:val="a4"/>
              <w:numPr>
                <w:ilvl w:val="0"/>
                <w:numId w:val="21"/>
              </w:numPr>
              <w:tabs>
                <w:tab w:val="right" w:pos="0"/>
              </w:tabs>
              <w:ind w:left="370" w:hanging="6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A66261" w:rsidRPr="00CD4B67" w:rsidRDefault="00C16918" w:rsidP="00CD4B67">
            <w:pPr>
              <w:pStyle w:val="a4"/>
              <w:numPr>
                <w:ilvl w:val="0"/>
                <w:numId w:val="14"/>
              </w:numPr>
              <w:tabs>
                <w:tab w:val="right" w:pos="0"/>
                <w:tab w:val="left" w:pos="370"/>
              </w:tabs>
              <w:ind w:left="87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D4B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66261" w:rsidRPr="00CD4B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pct. 8 din proiectul regulamentului no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A66261" w:rsidRPr="00CD4B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iunea gestionar să fie </w:t>
            </w:r>
            <w:r w:rsidR="00680A14" w:rsidRPr="00CD4B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definită</w:t>
            </w:r>
            <w:r w:rsidR="00A66261" w:rsidRPr="00CD4B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complet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A66261" w:rsidRPr="00CD4B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identificate caracteristicele specifice.</w:t>
            </w:r>
          </w:p>
          <w:p w:rsidR="00A66261" w:rsidRDefault="00A66261" w:rsidP="00A66261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16"/>
              </w:tabs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pct. 17 se recomandă de a revedea trimiterea din normă, în vederea corectării acesteia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stabilirea clară a tuturor subiec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implica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responsabili în procesul de activitate 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colare.</w:t>
            </w:r>
          </w:p>
          <w:p w:rsidR="00A66261" w:rsidRPr="0086507C" w:rsidRDefault="00A66261" w:rsidP="00A66261">
            <w:pPr>
              <w:pStyle w:val="a4"/>
              <w:numPr>
                <w:ilvl w:val="0"/>
                <w:numId w:val="14"/>
              </w:numPr>
              <w:tabs>
                <w:tab w:val="left" w:pos="0"/>
                <w:tab w:val="left" w:pos="416"/>
              </w:tabs>
              <w:ind w:left="1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recomandă ca pct. 6 din proiectul regulamentului să fie exclus, întrucît crează condi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avantajoase pentru actualele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colare în raport cu cele care urmează să fie înfiin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ate.</w:t>
            </w:r>
          </w:p>
          <w:p w:rsidR="00BA11FB" w:rsidRDefault="00BA11FB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8767BE" w:rsidRDefault="0003447B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Avizează negativ proiectul HG Cu privire la aprobarea regulamentului sanitar pentru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de învă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ămînt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colar. Motiv serve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 abordarea supra-reglementatoare a ini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iatorului proiectului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nu oferă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flexibilitate necesară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alternative viabile. Adoptarea proiectu</w:t>
            </w:r>
            <w:r w:rsidR="009208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lui va stopa dezvoltarea sector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ului IP. Credem că elaboratorii trebuie să precaute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experien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externe în acest domeniu cum sunt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iile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colare de tip familial, grupe de copii a salaria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create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finan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 de angajatori în cadrul întreprinderilor</w:t>
            </w:r>
          </w:p>
          <w:p w:rsidR="002E0858" w:rsidRDefault="002E0858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34251" w:rsidRDefault="00AE2C42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inînd cont de cele men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ionate, 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CALM consideră că proiectul contravine principiilor constitu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ionale privind autonomia locală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 financiară, precum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principiului corespunderii resurselor cu competen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(corespunderea resurselor financiare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materiale alocate autorită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 publice locale cu volumul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natura competen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23425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elor ce le sunt atribuite pentru a asigura îndeplinirea eficientă a acestora).</w:t>
            </w:r>
          </w:p>
          <w:p w:rsidR="00234251" w:rsidRDefault="0023425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Astfel, necesită reglementare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mecanisme suplimentare delegarea de competen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APL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 publice, inclusiv sursa de acoperire a cheltuielilor necesare pentru îndeplinirea efectivă a atribu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iilor în domeniu.</w:t>
            </w:r>
          </w:p>
          <w:p w:rsidR="003B16DE" w:rsidRDefault="003B16DE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D2195" w:rsidRDefault="003D2195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C5EA1" w:rsidRDefault="009C5EA1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B16DE" w:rsidRPr="003E7B3E" w:rsidRDefault="00F3755E" w:rsidP="008A5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3B1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elevează lipsa de obiec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="003B1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</w:t>
            </w:r>
            <w:r w:rsidR="003B16D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propuneri suplimentare pe marginea Regulamentului</w:t>
            </w:r>
          </w:p>
        </w:tc>
        <w:tc>
          <w:tcPr>
            <w:tcW w:w="2818" w:type="dxa"/>
          </w:tcPr>
          <w:p w:rsidR="00D77945" w:rsidRDefault="00D77945" w:rsidP="00BA11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Se acceptă</w:t>
            </w:r>
          </w:p>
          <w:p w:rsidR="00D77945" w:rsidRP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D77945" w:rsidP="00D77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0A2961" w:rsidRP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P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A11FB" w:rsidRDefault="000A2961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r w:rsidR="00A454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acceptă</w:t>
            </w: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se acceptă</w:t>
            </w:r>
          </w:p>
          <w:p w:rsidR="00A45437" w:rsidRDefault="00A4543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CD4B67" w:rsidRDefault="00CD4B67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0A29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acceptă</w:t>
            </w: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se acceptă</w:t>
            </w: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8755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se acceptă</w:t>
            </w: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08" w:type="dxa"/>
          </w:tcPr>
          <w:p w:rsidR="00D77945" w:rsidRDefault="00D77945" w:rsidP="00BE62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S-a modificat în tot textul regulamentului cu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sintagma 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proofErr w:type="gramEnd"/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D779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 timpurie”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D77945" w:rsidRP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7945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D77945" w:rsidP="00D779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modificat conform celor expuse în aviz.</w:t>
            </w:r>
          </w:p>
          <w:p w:rsidR="000A2961" w:rsidRP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P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A2961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00A7" w:rsidRDefault="000A2961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expus pct. 16 conform celor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ionate în aviz.</w:t>
            </w: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0A29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5437" w:rsidRDefault="00A45437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Domeniul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pentru sănătate este unul prioritar în activitatea Serviciului de Supraveghere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ionat în art. 44, pct. 1), Cap. VII, art.46-47 din legea nr. 10-XVI din 03.02. 2009 privind supravegherea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 (Monitorul Oficial, 2009, nr. 67, art. 183). </w:t>
            </w: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Default="00F3755E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7553C" w:rsidRDefault="0087553C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consultat dic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ionarul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juridic 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fost defivit complet.</w:t>
            </w:r>
          </w:p>
          <w:p w:rsidR="003D2195" w:rsidRDefault="003D2195" w:rsidP="00A4543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fost completat pct. 17.</w:t>
            </w: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P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Pct. 6 a fost modificat conform celor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ionate.</w:t>
            </w: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Prevederile Legii nr. 10-XVI din 03.02.2009 privind supraveghrerea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publice, art. 44, HG nr.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  din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12.05.2010 cu privire la Serviciul de Supraveghere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Publice, pct. 16, lit. c)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reglementează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domeniul de supraveghere 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pentru copii.</w:t>
            </w:r>
          </w:p>
          <w:p w:rsidR="003D2195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ionăm faptul, că prevederile proiectului regulamentului are ca scop protec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copilului de vîrstă antepre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colară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pre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colară. </w:t>
            </w:r>
          </w:p>
          <w:p w:rsidR="003D2195" w:rsidRPr="00AD0193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 etapa de elaborare a acestui document au fost luate bunele practici din UE. Astfel, domeniul activită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 IP a fost de bun augur în întrunirile organizate de către Ministerul Educa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iei, Ministerul Sănătă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ii, reprezentan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 UNICEF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al expertului străin</w:t>
            </w:r>
            <w:r w:rsidRPr="00AD01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D2195" w:rsidRPr="00AD0193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Obiectivele principale ale întrevederilor s-au axat pe analiza fiecărui capitol în parte. O aten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 deosebită au fost abordate normelor sanitare privind amplasarea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etapa de proiectare a IP, referitor la construc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încăperile principale a IP, sistemului de iluminare naturală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artificială din IP, sistemelor de încălzire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ventila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ie, organizării alimenta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iei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nutri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iei copiilor, etc.</w:t>
            </w:r>
          </w:p>
          <w:p w:rsidR="003D2195" w:rsidRDefault="003D2195" w:rsidP="003D21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Este necesar de a men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iona, că pe parcursul întrevederilor au fost vizitate mai multe IP în care au fost evaluate condi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iile sanitare actuale din cadrul IP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 articularea acestora cu normele sanitare prezente, care vor fi implementate pe teritoriul republicii.  Un domeniu foarte mult discutat pe parcursul întrevederilor a fost implementarea normelor sanitare privind activitatea 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</w:t>
            </w:r>
            <w:r w:rsidRPr="00AD0193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 încadrarea copiilor cu nevoi speciale în cadrul IP.</w:t>
            </w:r>
          </w:p>
          <w:p w:rsidR="003D2195" w:rsidRPr="00AD0193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SSSSP efectuează supravegherea de stat a institu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iilor pentru copii conform art. 44 a Legii nr. 10-XVI privind supravegherea de stat a sănătă</w:t>
            </w:r>
            <w:r w:rsidR="00AE2C4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ii publice din 03.02.2009, HG 384 </w:t>
            </w:r>
            <w:r w:rsidRPr="006C371B">
              <w:rPr>
                <w:rFonts w:ascii="Times New Roman" w:hAnsi="Times New Roman" w:cs="Times New Roman"/>
                <w:lang w:val="ro-RO"/>
              </w:rPr>
              <w:t>din 12.05.2</w:t>
            </w:r>
            <w:r>
              <w:rPr>
                <w:rFonts w:ascii="Times New Roman" w:hAnsi="Times New Roman" w:cs="Times New Roman"/>
                <w:lang w:val="ro-RO"/>
              </w:rPr>
              <w:t>010 cu privire la Serviciul de Supraveghere de S</w:t>
            </w:r>
            <w:r w:rsidRPr="006C371B">
              <w:rPr>
                <w:rFonts w:ascii="Times New Roman" w:hAnsi="Times New Roman" w:cs="Times New Roman"/>
                <w:lang w:val="ro-RO"/>
              </w:rPr>
              <w:t>tat a Sănătă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 w:rsidRPr="006C371B">
              <w:rPr>
                <w:rFonts w:ascii="Times New Roman" w:hAnsi="Times New Roman" w:cs="Times New Roman"/>
                <w:lang w:val="ro-RO"/>
              </w:rPr>
              <w:t>ii Publice</w:t>
            </w:r>
            <w:r>
              <w:rPr>
                <w:rFonts w:ascii="Times New Roman" w:hAnsi="Times New Roman" w:cs="Times New Roman"/>
                <w:lang w:val="ro-RO"/>
              </w:rPr>
              <w:t>, iar domeniul propus privind constituirea institu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>iilor pre</w:t>
            </w:r>
            <w:r w:rsidR="00AE2C42">
              <w:rPr>
                <w:rFonts w:ascii="Times New Roman" w:hAnsi="Times New Roman" w:cs="Times New Roman"/>
                <w:lang w:val="ro-RO"/>
              </w:rPr>
              <w:t>ş</w:t>
            </w:r>
            <w:r>
              <w:rPr>
                <w:rFonts w:ascii="Times New Roman" w:hAnsi="Times New Roman" w:cs="Times New Roman"/>
                <w:lang w:val="ro-RO"/>
              </w:rPr>
              <w:t>colare de tip familial, grupe de copii a salaria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 xml:space="preserve">ilor create </w:t>
            </w:r>
            <w:r w:rsidR="00AE2C42">
              <w:rPr>
                <w:rFonts w:ascii="Times New Roman" w:hAnsi="Times New Roman" w:cs="Times New Roman"/>
                <w:lang w:val="ro-RO"/>
              </w:rPr>
              <w:t>ş</w:t>
            </w:r>
            <w:r>
              <w:rPr>
                <w:rFonts w:ascii="Times New Roman" w:hAnsi="Times New Roman" w:cs="Times New Roman"/>
                <w:lang w:val="ro-RO"/>
              </w:rPr>
              <w:t>i finan</w:t>
            </w:r>
            <w:r w:rsidR="00AE2C42">
              <w:rPr>
                <w:rFonts w:ascii="Times New Roman" w:hAnsi="Times New Roman" w:cs="Times New Roman"/>
                <w:lang w:val="ro-RO"/>
              </w:rPr>
              <w:t>ţ</w:t>
            </w:r>
            <w:r>
              <w:rPr>
                <w:rFonts w:ascii="Times New Roman" w:hAnsi="Times New Roman" w:cs="Times New Roman"/>
                <w:lang w:val="ro-RO"/>
              </w:rPr>
              <w:t>ate de angajatori în cadrul întreprinderilor nu este de competenta SSSSP.</w:t>
            </w:r>
          </w:p>
          <w:p w:rsidR="003D2195" w:rsidRDefault="003D2195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D2195" w:rsidRDefault="003D2195" w:rsidP="00C02A71">
            <w:pPr>
              <w:ind w:right="-2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Unul din domeniile de activitate a Serviciului de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Supraveghrere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 este fortificarea stării de sănătate a copiilor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 igienă a colectivită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ilor,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ionat în art. 44 a legii nr. 10-XVI din 03.02.2009 privind supraveghrea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pct. 16 din HG 384 din 12.05.2010 cu privire la Serviciul de Supraveghere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Publice. </w:t>
            </w:r>
          </w:p>
          <w:p w:rsidR="003D2195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Realizările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sunt în cooperare cu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 publice locale (APL). Astfel, cap. II, art. 8 „Asigurarea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publice" a Legii nr. 10-XVI din 03.02.2009 privind supraveghrea de stat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prevede domeniul de cooperare a SSSSP cu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ile administra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publice locale, comunită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societatea civilă în asigurarea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publice.</w:t>
            </w:r>
          </w:p>
          <w:p w:rsidR="003D2195" w:rsidRPr="00AD0193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Art. 11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aceleea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legi, prevede competen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celorlalte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ale administra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publice centrale în realizarea atribu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iilor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publice.</w:t>
            </w:r>
          </w:p>
          <w:p w:rsidR="009C5EA1" w:rsidRDefault="003D2195" w:rsidP="009C5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Întru asigurarea prevederilor legisla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 sanitare în</w:t>
            </w:r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vigoare în domeniul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APL îi sunt atribuite competen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 în temeiul art. 12 a Legii nr. 10-XVI din 03.02.2009 privind supraveghrea de stat </w:t>
            </w:r>
            <w:proofErr w:type="gramStart"/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 w:rsidR="009C5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publice.</w:t>
            </w:r>
          </w:p>
          <w:p w:rsidR="009C5EA1" w:rsidRDefault="009C5EA1" w:rsidP="009C5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Concomitent art. 13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acelea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legi prevede colaborarea cu APL, cu societatea civilă etc în domeniul asigurării activită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ilor de sănătate publică. </w:t>
            </w:r>
          </w:p>
          <w:p w:rsidR="009C5EA1" w:rsidRDefault="009C5EA1" w:rsidP="009C5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Cap. II, pct. 5, litera c) din HG 384 din 12.05.2010 cu privire la Serviciul de Supraveghere de Stat 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Publice prevede conlucrarea cu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ile publice centrale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locale în domeniul de implementare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realizare a prevederilor legale privind calitatea factorilor de mediu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impactul eventual al lor asupra sănătă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omului.</w:t>
            </w:r>
          </w:p>
          <w:p w:rsidR="009C5EA1" w:rsidRDefault="009C5EA1" w:rsidP="009C5E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Pct. 6, lit c) a acelea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HG prevede coordonarea cu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ile centrale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locale, mass media, etc realizarea activită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ilor de educa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 pentru sănătate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de promovare a modului sănătos de via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ă. </w:t>
            </w:r>
          </w:p>
          <w:p w:rsidR="009C5EA1" w:rsidRPr="0059444F" w:rsidRDefault="009C5EA1" w:rsidP="009C5EA1">
            <w:pPr>
              <w:ind w:firstLine="11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62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Referitor la cheltuielile necesare pentru îndeplinirea prevederilor prezentei HG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E62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ionăm faptul, că realizarea prezentei Hotărâri de Guvern se efectuează în limita alocaţiilor aprobate de Autorită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BE62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 Publice locale pe anul respectiv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ionat în pct 4 din proiectul HG. Concomitent, p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rezenta hotărâre intră în vigoare în termen de 6 luni de la data publicării în Monitorul Oficial, cu excep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 institu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iilor ce 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 de reconstruc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ie, reprofilare, termenul fiind de 18 luni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men</w:t>
            </w:r>
            <w:r w:rsidR="00AE2C4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ţ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ionat în pct. 2 din proiectul HG</w:t>
            </w:r>
            <w:r w:rsidRPr="005944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D2195" w:rsidRDefault="003D2195" w:rsidP="003D21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3755E" w:rsidRPr="003D2195" w:rsidRDefault="00F3755E" w:rsidP="003D21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F6009" w:rsidRPr="00D124EA" w:rsidRDefault="000F6009">
      <w:pPr>
        <w:rPr>
          <w:lang w:val="en-US"/>
        </w:rPr>
      </w:pPr>
    </w:p>
    <w:sectPr w:rsidR="000F6009" w:rsidRPr="00D124EA" w:rsidSect="00AE2C4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nionPro-Regular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039C"/>
    <w:multiLevelType w:val="hybridMultilevel"/>
    <w:tmpl w:val="4898847A"/>
    <w:lvl w:ilvl="0" w:tplc="F2925C88">
      <w:start w:val="1"/>
      <w:numFmt w:val="bullet"/>
      <w:lvlText w:val="-"/>
      <w:lvlJc w:val="left"/>
      <w:pPr>
        <w:ind w:left="720" w:hanging="360"/>
      </w:pPr>
      <w:rPr>
        <w:rFonts w:ascii="MinionPro-Regular" w:eastAsiaTheme="minorEastAsia" w:hAnsi="MinionPro-Regular" w:cs="MinionPro-Regular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1541C"/>
    <w:multiLevelType w:val="hybridMultilevel"/>
    <w:tmpl w:val="7348FE6C"/>
    <w:lvl w:ilvl="0" w:tplc="432ECC6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DCA2EBF"/>
    <w:multiLevelType w:val="hybridMultilevel"/>
    <w:tmpl w:val="944A5F52"/>
    <w:lvl w:ilvl="0" w:tplc="6D06165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332DE"/>
    <w:multiLevelType w:val="hybridMultilevel"/>
    <w:tmpl w:val="178002BE"/>
    <w:lvl w:ilvl="0" w:tplc="8DB4CE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80581"/>
    <w:multiLevelType w:val="hybridMultilevel"/>
    <w:tmpl w:val="8C5620C8"/>
    <w:lvl w:ilvl="0" w:tplc="C464E6C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1D1B4137"/>
    <w:multiLevelType w:val="hybridMultilevel"/>
    <w:tmpl w:val="97B81C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8D4BC6"/>
    <w:multiLevelType w:val="hybridMultilevel"/>
    <w:tmpl w:val="CAE0A69E"/>
    <w:lvl w:ilvl="0" w:tplc="8572D4A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4254F6E"/>
    <w:multiLevelType w:val="hybridMultilevel"/>
    <w:tmpl w:val="C1E8714C"/>
    <w:lvl w:ilvl="0" w:tplc="DBEED41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  <w:lang w:val="en-US"/>
      </w:rPr>
    </w:lvl>
    <w:lvl w:ilvl="1" w:tplc="48F41BA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8F04200"/>
    <w:multiLevelType w:val="hybridMultilevel"/>
    <w:tmpl w:val="75547A28"/>
    <w:lvl w:ilvl="0" w:tplc="3940BF88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2C9F11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07A7AF8"/>
    <w:multiLevelType w:val="hybridMultilevel"/>
    <w:tmpl w:val="8C78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07B4A"/>
    <w:multiLevelType w:val="hybridMultilevel"/>
    <w:tmpl w:val="A1E2DC0C"/>
    <w:lvl w:ilvl="0" w:tplc="F8CEA45A">
      <w:start w:val="3"/>
      <w:numFmt w:val="bullet"/>
      <w:lvlText w:val="-"/>
      <w:lvlJc w:val="left"/>
      <w:pPr>
        <w:ind w:left="720" w:hanging="360"/>
      </w:pPr>
      <w:rPr>
        <w:rFonts w:ascii="MinionPro-Regular" w:eastAsiaTheme="minorEastAsia" w:hAnsi="MinionPro-Regular" w:cs="MinionPro-Regular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804099"/>
    <w:multiLevelType w:val="hybridMultilevel"/>
    <w:tmpl w:val="04662428"/>
    <w:lvl w:ilvl="0" w:tplc="0FB4CE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B20EA"/>
    <w:multiLevelType w:val="hybridMultilevel"/>
    <w:tmpl w:val="85EE72F2"/>
    <w:lvl w:ilvl="0" w:tplc="0DB2E7D6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>
    <w:nsid w:val="4F913F47"/>
    <w:multiLevelType w:val="hybridMultilevel"/>
    <w:tmpl w:val="87F2C552"/>
    <w:lvl w:ilvl="0" w:tplc="E8E0751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50181"/>
    <w:multiLevelType w:val="hybridMultilevel"/>
    <w:tmpl w:val="5150F0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187F07"/>
    <w:multiLevelType w:val="hybridMultilevel"/>
    <w:tmpl w:val="823A7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F712F"/>
    <w:multiLevelType w:val="hybridMultilevel"/>
    <w:tmpl w:val="33C6B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C197B"/>
    <w:multiLevelType w:val="hybridMultilevel"/>
    <w:tmpl w:val="CB34440C"/>
    <w:lvl w:ilvl="0" w:tplc="0C08F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C11E05"/>
    <w:multiLevelType w:val="hybridMultilevel"/>
    <w:tmpl w:val="B9C44B6C"/>
    <w:lvl w:ilvl="0" w:tplc="05A26C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1304EA"/>
    <w:multiLevelType w:val="hybridMultilevel"/>
    <w:tmpl w:val="C9BE28AC"/>
    <w:lvl w:ilvl="0" w:tplc="CEF661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480FDE"/>
    <w:multiLevelType w:val="hybridMultilevel"/>
    <w:tmpl w:val="14A6A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19"/>
  </w:num>
  <w:num w:numId="7">
    <w:abstractNumId w:val="3"/>
  </w:num>
  <w:num w:numId="8">
    <w:abstractNumId w:val="13"/>
  </w:num>
  <w:num w:numId="9">
    <w:abstractNumId w:val="8"/>
  </w:num>
  <w:num w:numId="10">
    <w:abstractNumId w:val="1"/>
  </w:num>
  <w:num w:numId="11">
    <w:abstractNumId w:val="14"/>
  </w:num>
  <w:num w:numId="12">
    <w:abstractNumId w:val="18"/>
  </w:num>
  <w:num w:numId="13">
    <w:abstractNumId w:val="4"/>
  </w:num>
  <w:num w:numId="14">
    <w:abstractNumId w:val="17"/>
  </w:num>
  <w:num w:numId="15">
    <w:abstractNumId w:val="9"/>
    <w:lvlOverride w:ilvl="0">
      <w:startOverride w:val="1"/>
    </w:lvlOverride>
  </w:num>
  <w:num w:numId="16">
    <w:abstractNumId w:val="20"/>
  </w:num>
  <w:num w:numId="17">
    <w:abstractNumId w:val="2"/>
  </w:num>
  <w:num w:numId="18">
    <w:abstractNumId w:val="15"/>
  </w:num>
  <w:num w:numId="19">
    <w:abstractNumId w:val="0"/>
  </w:num>
  <w:num w:numId="20">
    <w:abstractNumId w:val="11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0F6009"/>
    <w:rsid w:val="00010069"/>
    <w:rsid w:val="00014E75"/>
    <w:rsid w:val="0003294D"/>
    <w:rsid w:val="0003447B"/>
    <w:rsid w:val="0004125D"/>
    <w:rsid w:val="00070B20"/>
    <w:rsid w:val="0007477D"/>
    <w:rsid w:val="00086573"/>
    <w:rsid w:val="00096F4E"/>
    <w:rsid w:val="000A2961"/>
    <w:rsid w:val="000D277A"/>
    <w:rsid w:val="000D40F2"/>
    <w:rsid w:val="000F6009"/>
    <w:rsid w:val="000F6BDB"/>
    <w:rsid w:val="00102DC3"/>
    <w:rsid w:val="0013361A"/>
    <w:rsid w:val="001554DB"/>
    <w:rsid w:val="00156A9A"/>
    <w:rsid w:val="00166FB6"/>
    <w:rsid w:val="001768C3"/>
    <w:rsid w:val="00187E11"/>
    <w:rsid w:val="0019114B"/>
    <w:rsid w:val="001B1880"/>
    <w:rsid w:val="001E3250"/>
    <w:rsid w:val="00213207"/>
    <w:rsid w:val="00234251"/>
    <w:rsid w:val="00240A1B"/>
    <w:rsid w:val="00252637"/>
    <w:rsid w:val="00255D5C"/>
    <w:rsid w:val="002659BF"/>
    <w:rsid w:val="0027051B"/>
    <w:rsid w:val="0027646A"/>
    <w:rsid w:val="0028676B"/>
    <w:rsid w:val="00290DD9"/>
    <w:rsid w:val="00293D7E"/>
    <w:rsid w:val="002A21ED"/>
    <w:rsid w:val="002B53B1"/>
    <w:rsid w:val="002C1F32"/>
    <w:rsid w:val="002D2445"/>
    <w:rsid w:val="002E0858"/>
    <w:rsid w:val="002E1194"/>
    <w:rsid w:val="002E440E"/>
    <w:rsid w:val="002F4E04"/>
    <w:rsid w:val="00322653"/>
    <w:rsid w:val="00332E40"/>
    <w:rsid w:val="00333256"/>
    <w:rsid w:val="00340C1B"/>
    <w:rsid w:val="0034130B"/>
    <w:rsid w:val="003460ED"/>
    <w:rsid w:val="00347751"/>
    <w:rsid w:val="003550AE"/>
    <w:rsid w:val="003818E0"/>
    <w:rsid w:val="003832CE"/>
    <w:rsid w:val="00387B25"/>
    <w:rsid w:val="0039572A"/>
    <w:rsid w:val="003A2C0B"/>
    <w:rsid w:val="003B16DE"/>
    <w:rsid w:val="003B28BB"/>
    <w:rsid w:val="003D2195"/>
    <w:rsid w:val="003F5ADB"/>
    <w:rsid w:val="00407B13"/>
    <w:rsid w:val="004206F3"/>
    <w:rsid w:val="00423D32"/>
    <w:rsid w:val="0042594F"/>
    <w:rsid w:val="0042671A"/>
    <w:rsid w:val="00436BD9"/>
    <w:rsid w:val="004372D8"/>
    <w:rsid w:val="00450F8B"/>
    <w:rsid w:val="004544AD"/>
    <w:rsid w:val="00463913"/>
    <w:rsid w:val="00466F87"/>
    <w:rsid w:val="00471E20"/>
    <w:rsid w:val="004768FE"/>
    <w:rsid w:val="00481942"/>
    <w:rsid w:val="00481A63"/>
    <w:rsid w:val="00487B23"/>
    <w:rsid w:val="004A2D10"/>
    <w:rsid w:val="004A47B6"/>
    <w:rsid w:val="004B6718"/>
    <w:rsid w:val="004D3D9E"/>
    <w:rsid w:val="004E1F27"/>
    <w:rsid w:val="005107C4"/>
    <w:rsid w:val="00511221"/>
    <w:rsid w:val="00517061"/>
    <w:rsid w:val="00530DC3"/>
    <w:rsid w:val="00535853"/>
    <w:rsid w:val="00543CA3"/>
    <w:rsid w:val="0055353C"/>
    <w:rsid w:val="00561760"/>
    <w:rsid w:val="00561BCB"/>
    <w:rsid w:val="00571CF4"/>
    <w:rsid w:val="00571FAC"/>
    <w:rsid w:val="00591C07"/>
    <w:rsid w:val="00592920"/>
    <w:rsid w:val="00593CB6"/>
    <w:rsid w:val="0059444F"/>
    <w:rsid w:val="005B0A90"/>
    <w:rsid w:val="005B278B"/>
    <w:rsid w:val="005C2937"/>
    <w:rsid w:val="005E7079"/>
    <w:rsid w:val="005F1AE0"/>
    <w:rsid w:val="005F3565"/>
    <w:rsid w:val="00607231"/>
    <w:rsid w:val="00610129"/>
    <w:rsid w:val="00644902"/>
    <w:rsid w:val="00680A14"/>
    <w:rsid w:val="0069606A"/>
    <w:rsid w:val="006B512B"/>
    <w:rsid w:val="006B5868"/>
    <w:rsid w:val="006C371B"/>
    <w:rsid w:val="006E0A94"/>
    <w:rsid w:val="006E27D1"/>
    <w:rsid w:val="006F1F78"/>
    <w:rsid w:val="006F2894"/>
    <w:rsid w:val="00703C8C"/>
    <w:rsid w:val="00716CE9"/>
    <w:rsid w:val="00726FF8"/>
    <w:rsid w:val="00761C53"/>
    <w:rsid w:val="007751F4"/>
    <w:rsid w:val="00776EB9"/>
    <w:rsid w:val="00784B9E"/>
    <w:rsid w:val="007851A9"/>
    <w:rsid w:val="0078529B"/>
    <w:rsid w:val="00790161"/>
    <w:rsid w:val="007940CF"/>
    <w:rsid w:val="007A13DE"/>
    <w:rsid w:val="007C2FDC"/>
    <w:rsid w:val="007D7321"/>
    <w:rsid w:val="00815818"/>
    <w:rsid w:val="00820CB6"/>
    <w:rsid w:val="0083625D"/>
    <w:rsid w:val="00860A49"/>
    <w:rsid w:val="008634F1"/>
    <w:rsid w:val="008718FE"/>
    <w:rsid w:val="00873C04"/>
    <w:rsid w:val="0087553C"/>
    <w:rsid w:val="008767BE"/>
    <w:rsid w:val="00886871"/>
    <w:rsid w:val="00895370"/>
    <w:rsid w:val="00896B6B"/>
    <w:rsid w:val="00897AE3"/>
    <w:rsid w:val="008B1B6F"/>
    <w:rsid w:val="008B3ECF"/>
    <w:rsid w:val="00900F44"/>
    <w:rsid w:val="00911DAC"/>
    <w:rsid w:val="00920878"/>
    <w:rsid w:val="0093104A"/>
    <w:rsid w:val="00951CEE"/>
    <w:rsid w:val="00962AA6"/>
    <w:rsid w:val="00963A1F"/>
    <w:rsid w:val="00974FE9"/>
    <w:rsid w:val="009800A7"/>
    <w:rsid w:val="009B39C0"/>
    <w:rsid w:val="009C2482"/>
    <w:rsid w:val="009C5647"/>
    <w:rsid w:val="009C5EA1"/>
    <w:rsid w:val="009F2BF3"/>
    <w:rsid w:val="009F3D70"/>
    <w:rsid w:val="00A00380"/>
    <w:rsid w:val="00A32D09"/>
    <w:rsid w:val="00A45437"/>
    <w:rsid w:val="00A63158"/>
    <w:rsid w:val="00A66261"/>
    <w:rsid w:val="00A66BE5"/>
    <w:rsid w:val="00A7362E"/>
    <w:rsid w:val="00A80BB2"/>
    <w:rsid w:val="00AA150F"/>
    <w:rsid w:val="00AA1EED"/>
    <w:rsid w:val="00AD0193"/>
    <w:rsid w:val="00AE2C42"/>
    <w:rsid w:val="00AF1E84"/>
    <w:rsid w:val="00AF7E01"/>
    <w:rsid w:val="00B17CCA"/>
    <w:rsid w:val="00B20180"/>
    <w:rsid w:val="00B26FDA"/>
    <w:rsid w:val="00B42E51"/>
    <w:rsid w:val="00B5568E"/>
    <w:rsid w:val="00B75358"/>
    <w:rsid w:val="00B76E9F"/>
    <w:rsid w:val="00B81764"/>
    <w:rsid w:val="00B821D3"/>
    <w:rsid w:val="00B958B2"/>
    <w:rsid w:val="00BA11FB"/>
    <w:rsid w:val="00BA28F6"/>
    <w:rsid w:val="00BA440E"/>
    <w:rsid w:val="00BC6DF2"/>
    <w:rsid w:val="00BE142A"/>
    <w:rsid w:val="00BE62C1"/>
    <w:rsid w:val="00BF2A8F"/>
    <w:rsid w:val="00C01BFF"/>
    <w:rsid w:val="00C02A71"/>
    <w:rsid w:val="00C13CC3"/>
    <w:rsid w:val="00C16918"/>
    <w:rsid w:val="00C3651C"/>
    <w:rsid w:val="00C418A0"/>
    <w:rsid w:val="00C425F4"/>
    <w:rsid w:val="00C50049"/>
    <w:rsid w:val="00C767B3"/>
    <w:rsid w:val="00C84E01"/>
    <w:rsid w:val="00C878C0"/>
    <w:rsid w:val="00CB4039"/>
    <w:rsid w:val="00CB787E"/>
    <w:rsid w:val="00CC3180"/>
    <w:rsid w:val="00CD3886"/>
    <w:rsid w:val="00CD4B67"/>
    <w:rsid w:val="00CE6145"/>
    <w:rsid w:val="00D07A87"/>
    <w:rsid w:val="00D113DE"/>
    <w:rsid w:val="00D11661"/>
    <w:rsid w:val="00D124EA"/>
    <w:rsid w:val="00D22634"/>
    <w:rsid w:val="00D505B1"/>
    <w:rsid w:val="00D531A4"/>
    <w:rsid w:val="00D64B08"/>
    <w:rsid w:val="00D77945"/>
    <w:rsid w:val="00D83458"/>
    <w:rsid w:val="00D83D5B"/>
    <w:rsid w:val="00DA7256"/>
    <w:rsid w:val="00DD3B54"/>
    <w:rsid w:val="00DE3DE0"/>
    <w:rsid w:val="00DF15E3"/>
    <w:rsid w:val="00DF7E32"/>
    <w:rsid w:val="00E011A3"/>
    <w:rsid w:val="00E02888"/>
    <w:rsid w:val="00E03615"/>
    <w:rsid w:val="00E22744"/>
    <w:rsid w:val="00E34F8A"/>
    <w:rsid w:val="00E363A2"/>
    <w:rsid w:val="00E52F86"/>
    <w:rsid w:val="00E5345B"/>
    <w:rsid w:val="00E55A76"/>
    <w:rsid w:val="00E76DE5"/>
    <w:rsid w:val="00E979D6"/>
    <w:rsid w:val="00EB0366"/>
    <w:rsid w:val="00EB5B3D"/>
    <w:rsid w:val="00EC6C31"/>
    <w:rsid w:val="00EE7776"/>
    <w:rsid w:val="00EF1AB3"/>
    <w:rsid w:val="00F02200"/>
    <w:rsid w:val="00F052F7"/>
    <w:rsid w:val="00F242BD"/>
    <w:rsid w:val="00F352E9"/>
    <w:rsid w:val="00F3755E"/>
    <w:rsid w:val="00F418EF"/>
    <w:rsid w:val="00F47EBE"/>
    <w:rsid w:val="00F502F8"/>
    <w:rsid w:val="00F508A0"/>
    <w:rsid w:val="00F60023"/>
    <w:rsid w:val="00FA5C55"/>
    <w:rsid w:val="00FB036A"/>
    <w:rsid w:val="00FF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009"/>
    <w:pPr>
      <w:ind w:left="720"/>
      <w:contextualSpacing/>
    </w:pPr>
  </w:style>
  <w:style w:type="paragraph" w:customStyle="1" w:styleId="NoSpacing1">
    <w:name w:val="No Spacing1"/>
    <w:rsid w:val="00BA11F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Placeholder Text"/>
    <w:basedOn w:val="a0"/>
    <w:uiPriority w:val="99"/>
    <w:semiHidden/>
    <w:rsid w:val="00D83D5B"/>
    <w:rPr>
      <w:color w:val="808080"/>
    </w:rPr>
  </w:style>
  <w:style w:type="paragraph" w:styleId="a6">
    <w:name w:val="annotation text"/>
    <w:basedOn w:val="a"/>
    <w:link w:val="a7"/>
    <w:rsid w:val="00571F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571F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BA44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styleId="2">
    <w:name w:val="Body Text Indent 2"/>
    <w:basedOn w:val="a"/>
    <w:link w:val="20"/>
    <w:uiPriority w:val="99"/>
    <w:unhideWhenUsed/>
    <w:rsid w:val="006B512B"/>
    <w:pPr>
      <w:spacing w:after="120" w:line="480" w:lineRule="auto"/>
      <w:ind w:left="283"/>
    </w:pPr>
    <w:rPr>
      <w:rFonts w:eastAsiaTheme="minorEastAsia"/>
      <w:lang w:val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512B"/>
    <w:rPr>
      <w:rFonts w:eastAsiaTheme="minorEastAsia"/>
      <w:lang w:val="en-US"/>
    </w:rPr>
  </w:style>
  <w:style w:type="paragraph" w:customStyle="1" w:styleId="ConsPlusNormal">
    <w:name w:val="ConsPlusNormal"/>
    <w:rsid w:val="00DE3D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418E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41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E4CC0-9E83-4D00-915E-896E4590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abucur</cp:lastModifiedBy>
  <cp:revision>201</cp:revision>
  <dcterms:created xsi:type="dcterms:W3CDTF">2015-03-18T13:55:00Z</dcterms:created>
  <dcterms:modified xsi:type="dcterms:W3CDTF">2016-04-11T08:11:00Z</dcterms:modified>
</cp:coreProperties>
</file>