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EB" w:rsidRPr="00A21B66" w:rsidRDefault="00F019EB" w:rsidP="00F019EB">
      <w:pPr>
        <w:autoSpaceDE w:val="0"/>
        <w:autoSpaceDN w:val="0"/>
        <w:adjustRightInd w:val="0"/>
        <w:spacing w:after="0" w:line="240" w:lineRule="auto"/>
        <w:rPr>
          <w:rFonts w:ascii="Times New Roman" w:eastAsia="Calibri" w:hAnsi="Times New Roman" w:cs="Times New Roman"/>
          <w:b/>
          <w:bCs/>
          <w:sz w:val="27"/>
          <w:szCs w:val="27"/>
        </w:rPr>
      </w:pPr>
      <w:r w:rsidRPr="00A21B66">
        <w:rPr>
          <w:rFonts w:ascii="Times New Roman" w:eastAsia="Calibri" w:hAnsi="Times New Roman" w:cs="Times New Roman"/>
          <w:b/>
          <w:bCs/>
          <w:sz w:val="27"/>
          <w:szCs w:val="27"/>
        </w:rPr>
        <w:t>NOTĂ INFORMATIVĂ</w:t>
      </w:r>
    </w:p>
    <w:p w:rsidR="00F019EB" w:rsidRPr="00A21B66" w:rsidRDefault="00F019EB" w:rsidP="00BB6F91">
      <w:pPr>
        <w:jc w:val="both"/>
        <w:rPr>
          <w:rFonts w:ascii="Times New Roman" w:eastAsia="Calibri" w:hAnsi="Times New Roman" w:cs="Times New Roman"/>
          <w:b/>
          <w:bCs/>
          <w:sz w:val="27"/>
          <w:szCs w:val="27"/>
          <w:lang w:eastAsia="ro-RO"/>
        </w:rPr>
      </w:pPr>
      <w:r w:rsidRPr="00A21B66">
        <w:rPr>
          <w:rFonts w:ascii="Times New Roman" w:eastAsia="Calibri" w:hAnsi="Times New Roman" w:cs="Times New Roman"/>
          <w:sz w:val="27"/>
          <w:szCs w:val="27"/>
        </w:rPr>
        <w:t xml:space="preserve">la proiectul legii </w:t>
      </w:r>
      <w:r w:rsidR="00BB6F91" w:rsidRPr="00A21B66">
        <w:rPr>
          <w:rFonts w:ascii="Times New Roman" w:eastAsia="Calibri" w:hAnsi="Times New Roman" w:cs="Times New Roman"/>
          <w:sz w:val="27"/>
          <w:szCs w:val="27"/>
        </w:rPr>
        <w:t>privind modificarea și completarea unor acte legislative</w:t>
      </w:r>
      <w:r w:rsidR="00B42B3B" w:rsidRPr="00A21B66">
        <w:rPr>
          <w:rFonts w:ascii="Times New Roman" w:eastAsia="Calibri" w:hAnsi="Times New Roman" w:cs="Times New Roman"/>
          <w:sz w:val="27"/>
          <w:szCs w:val="27"/>
        </w:rPr>
        <w:t xml:space="preserve"> </w:t>
      </w:r>
    </w:p>
    <w:tbl>
      <w:tblPr>
        <w:tblW w:w="9936" w:type="dxa"/>
        <w:tblInd w:w="-252" w:type="dxa"/>
        <w:tblLayout w:type="fixed"/>
        <w:tblLook w:val="0000"/>
      </w:tblPr>
      <w:tblGrid>
        <w:gridCol w:w="9936"/>
      </w:tblGrid>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F019EB" w:rsidRPr="00A21B66" w:rsidRDefault="00F019EB" w:rsidP="00254485">
            <w:pPr>
              <w:autoSpaceDE w:val="0"/>
              <w:autoSpaceDN w:val="0"/>
              <w:adjustRightInd w:val="0"/>
              <w:spacing w:after="0" w:line="240" w:lineRule="auto"/>
              <w:rPr>
                <w:rFonts w:ascii="Times New Roman" w:eastAsia="Calibri" w:hAnsi="Times New Roman" w:cs="Times New Roman"/>
                <w:sz w:val="27"/>
                <w:szCs w:val="27"/>
              </w:rPr>
            </w:pPr>
            <w:r w:rsidRPr="00A21B66">
              <w:rPr>
                <w:rFonts w:ascii="Times New Roman" w:eastAsia="Calibri" w:hAnsi="Times New Roman" w:cs="Times New Roman"/>
                <w:b/>
                <w:bCs/>
                <w:sz w:val="27"/>
                <w:szCs w:val="27"/>
              </w:rPr>
              <w:t>1. Numele iniţiatorului şi a autorului, precum şi a participanţilor la elaborarea proiectului</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F019EB" w:rsidRPr="00A21B66" w:rsidRDefault="00F019EB" w:rsidP="0003527B">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Proiectul de lege privind modificarea și completarea </w:t>
            </w:r>
            <w:r w:rsidR="005062C5" w:rsidRPr="00A21B66">
              <w:rPr>
                <w:rFonts w:ascii="Times New Roman" w:eastAsia="Calibri" w:hAnsi="Times New Roman" w:cs="Times New Roman"/>
                <w:sz w:val="27"/>
                <w:szCs w:val="27"/>
              </w:rPr>
              <w:t>unor acte legislative (Legea nr.382-XIV din 6 mai 1999 cu privire la circulaţia substanţelor narcotice şi psihotrope şi a precursorilor, Codul penal și Codul contravențional)</w:t>
            </w:r>
            <w:r w:rsidRPr="00A21B66">
              <w:rPr>
                <w:rFonts w:ascii="Times New Roman" w:eastAsia="Calibri" w:hAnsi="Times New Roman" w:cs="Times New Roman"/>
                <w:sz w:val="27"/>
                <w:szCs w:val="27"/>
              </w:rPr>
              <w:t xml:space="preserve"> a fost elaborat de către Ministerul Afacerilor Interne.</w:t>
            </w:r>
          </w:p>
        </w:tc>
      </w:tr>
      <w:tr w:rsidR="00F019EB" w:rsidRPr="00A21B66" w:rsidTr="00254485">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F019EB" w:rsidRPr="00A21B66" w:rsidRDefault="00F019EB" w:rsidP="00254485">
            <w:pPr>
              <w:autoSpaceDE w:val="0"/>
              <w:autoSpaceDN w:val="0"/>
              <w:adjustRightInd w:val="0"/>
              <w:spacing w:after="0" w:line="240" w:lineRule="auto"/>
              <w:ind w:firstLine="540"/>
              <w:rPr>
                <w:rFonts w:ascii="Times New Roman" w:eastAsia="Calibri" w:hAnsi="Times New Roman" w:cs="Times New Roman"/>
                <w:sz w:val="27"/>
                <w:szCs w:val="27"/>
              </w:rPr>
            </w:pPr>
            <w:r w:rsidRPr="00A21B66">
              <w:rPr>
                <w:rFonts w:ascii="Times New Roman" w:eastAsia="Calibri" w:hAnsi="Times New Roman" w:cs="Times New Roman"/>
                <w:b/>
                <w:bCs/>
                <w:sz w:val="27"/>
                <w:szCs w:val="27"/>
              </w:rPr>
              <w:t>2. Condițiile ce au impus elaborarea proiectului și scopul urmărit</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F019EB" w:rsidRPr="00A21B66" w:rsidRDefault="00CF1E4A" w:rsidP="00254485">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Cadrul legal în domeniul consumului şi traficului ilicit de droguri în diverse state, inclusiv şi în Republica Moldova, atestă un proces continuu de dezvoltare şi perfecţionare a bazei normative care determină politica naţională de control asupra circulaţiei substanţelor narcotice, psihotrope şi/sau a precursorilor.</w:t>
            </w:r>
          </w:p>
          <w:p w:rsidR="002701DA" w:rsidRPr="00A21B66" w:rsidRDefault="002701DA" w:rsidP="00254485">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Așadar, printre problemele actuale cu care se confruntă comunitatea internaţională trebuie evidenţiată în mod deosebit problema privind circulaţia ilegală a substanţelor narcotice, psihotrope, a analoagelor şi precursorilor acestora. Actualitatea problemei date este condiţionată de creşterea exponenţială a numărului de persoane consumatoare de droguri, fapt ce provoacă îngrijorare în planul pericolului degradării speciei umane.</w:t>
            </w:r>
          </w:p>
          <w:p w:rsidR="00FD70E1" w:rsidRPr="00A21B66" w:rsidRDefault="00FD70E1" w:rsidP="00FD70E1">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În conformitate cu prevederile Strategiei naţionale antidrog pentru anii 2011-2018</w:t>
            </w:r>
            <w:r w:rsidR="0003527B">
              <w:rPr>
                <w:rFonts w:ascii="Times New Roman" w:hAnsi="Times New Roman" w:cs="Times New Roman"/>
                <w:sz w:val="27"/>
                <w:szCs w:val="27"/>
              </w:rPr>
              <w:t>,</w:t>
            </w:r>
            <w:r w:rsidRPr="00A21B66">
              <w:rPr>
                <w:rFonts w:ascii="Times New Roman" w:hAnsi="Times New Roman" w:cs="Times New Roman"/>
                <w:sz w:val="27"/>
                <w:szCs w:val="27"/>
              </w:rPr>
              <w:t xml:space="preserve"> aprobată prin </w:t>
            </w:r>
            <w:r w:rsidR="00A21B66" w:rsidRPr="00A21B66">
              <w:rPr>
                <w:rFonts w:ascii="Times New Roman" w:hAnsi="Times New Roman" w:cs="Times New Roman"/>
                <w:sz w:val="27"/>
                <w:szCs w:val="27"/>
              </w:rPr>
              <w:t>Hotărârea</w:t>
            </w:r>
            <w:r w:rsidRPr="00A21B66">
              <w:rPr>
                <w:rFonts w:ascii="Times New Roman" w:hAnsi="Times New Roman" w:cs="Times New Roman"/>
                <w:sz w:val="27"/>
                <w:szCs w:val="27"/>
              </w:rPr>
              <w:t xml:space="preserve"> Guvernului nr. 1208 din 27 decembrie 2010, Ministerul Afacerilor Interne este preponderent responsabil de implementarea Convenţiei contra traficului ilicit de stupefiante şi substanţe psihotrope, adoptată la Viena la 20 decembrie 1988, îndeosebi în ceea ce priveşte întreprinderea măsurilor menite să combată oferta de droguri ilicite şi cultivarea plantelor pentru producerea drogurilor. În sens general, MAI răspunde pentru apărarea ordinii şi securităţii publice, combaterea crimelor </w:t>
            </w:r>
            <w:r w:rsidR="00A21B66" w:rsidRPr="00A21B66">
              <w:rPr>
                <w:rFonts w:ascii="Times New Roman" w:hAnsi="Times New Roman" w:cs="Times New Roman"/>
                <w:sz w:val="27"/>
                <w:szCs w:val="27"/>
              </w:rPr>
              <w:t>săvârșite</w:t>
            </w:r>
            <w:r w:rsidRPr="00A21B66">
              <w:rPr>
                <w:rFonts w:ascii="Times New Roman" w:hAnsi="Times New Roman" w:cs="Times New Roman"/>
                <w:sz w:val="27"/>
                <w:szCs w:val="27"/>
              </w:rPr>
              <w:t xml:space="preserve"> în domeniul drogurilor şi instruirea profesională continuă a personalului său. Totodată, joacă un rol important în controlul şi aplicarea legii în ceea ce priveşte circulaţia ilegală a substanţelor narcotice, psihotrope şi precursorilor.</w:t>
            </w:r>
          </w:p>
          <w:p w:rsidR="00FD70E1" w:rsidRPr="00A21B66" w:rsidRDefault="00FD70E1" w:rsidP="00FD70E1">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Astfel, urmare evaluării cadrului normativ relevant, precum şi ca urmare a desfăşurării auditului activităţii organelor de drept implicate în activităţi de combatere a traficului ilicit de droguri, au fost identificate unele deficienţe în aplicarea legii în ceea ce priveşte circulaţia ilegală a substanţelor narcotice, psihotrope şi precursorilor.</w:t>
            </w:r>
          </w:p>
          <w:p w:rsidR="00322AC0" w:rsidRPr="00A21B66" w:rsidRDefault="00322AC0" w:rsidP="00FD70E1">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Una din problemele cu care se confruntă societatea o reprezintă circulația ilegală a substanţelor narcotice, psihotrope (stupefiante), precursorilor, etnobotanicelor, analogilor, omologilor, derivatelor și a plantelor care conţin astfel de substanţe, condiționată de creșterea continuă a numărului de persoane consumatoare de droguri, fapt ce provoacă îngrijorare pe planul pericolului degradării umane.</w:t>
            </w:r>
          </w:p>
          <w:p w:rsidR="0067566F" w:rsidRPr="00A21B66" w:rsidRDefault="0067566F" w:rsidP="00FD70E1">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 xml:space="preserve">Efectele lor sunt mai periculoase şi mai toxice pentru organism, decât efectele produse de marijuana sau </w:t>
            </w:r>
            <w:r w:rsidR="00A21B66" w:rsidRPr="00A21B66">
              <w:rPr>
                <w:rFonts w:ascii="Times New Roman" w:hAnsi="Times New Roman" w:cs="Times New Roman"/>
                <w:sz w:val="27"/>
                <w:szCs w:val="27"/>
              </w:rPr>
              <w:t>canabis</w:t>
            </w:r>
            <w:r w:rsidRPr="00A21B66">
              <w:rPr>
                <w:rFonts w:ascii="Times New Roman" w:hAnsi="Times New Roman" w:cs="Times New Roman"/>
                <w:sz w:val="27"/>
                <w:szCs w:val="27"/>
              </w:rPr>
              <w:t xml:space="preserve">, </w:t>
            </w:r>
            <w:r w:rsidR="00A21B66" w:rsidRPr="00A21B66">
              <w:rPr>
                <w:rFonts w:ascii="Times New Roman" w:hAnsi="Times New Roman" w:cs="Times New Roman"/>
                <w:sz w:val="27"/>
                <w:szCs w:val="27"/>
              </w:rPr>
              <w:t>transformând</w:t>
            </w:r>
            <w:r w:rsidRPr="00A21B66">
              <w:rPr>
                <w:rFonts w:ascii="Times New Roman" w:hAnsi="Times New Roman" w:cs="Times New Roman"/>
                <w:sz w:val="27"/>
                <w:szCs w:val="27"/>
              </w:rPr>
              <w:t xml:space="preserve"> consumatorii în persoane bolnave psihic, cu un procent sporit de decese.</w:t>
            </w:r>
          </w:p>
          <w:p w:rsidR="003117C5" w:rsidRPr="00A21B66" w:rsidRDefault="003117C5" w:rsidP="003117C5">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Republica Moldova este o țară care</w:t>
            </w:r>
            <w:r w:rsidR="00DE445D">
              <w:rPr>
                <w:rFonts w:ascii="Times New Roman" w:hAnsi="Times New Roman" w:cs="Times New Roman"/>
                <w:sz w:val="27"/>
                <w:szCs w:val="27"/>
              </w:rPr>
              <w:t>,</w:t>
            </w:r>
            <w:r w:rsidRPr="00A21B66">
              <w:rPr>
                <w:rFonts w:ascii="Times New Roman" w:hAnsi="Times New Roman" w:cs="Times New Roman"/>
                <w:sz w:val="27"/>
                <w:szCs w:val="27"/>
              </w:rPr>
              <w:t xml:space="preserve"> de fapt</w:t>
            </w:r>
            <w:r w:rsidR="00DE445D">
              <w:rPr>
                <w:rFonts w:ascii="Times New Roman" w:hAnsi="Times New Roman" w:cs="Times New Roman"/>
                <w:sz w:val="27"/>
                <w:szCs w:val="27"/>
              </w:rPr>
              <w:t>,</w:t>
            </w:r>
            <w:r w:rsidRPr="00A21B66">
              <w:rPr>
                <w:rFonts w:ascii="Times New Roman" w:hAnsi="Times New Roman" w:cs="Times New Roman"/>
                <w:sz w:val="27"/>
                <w:szCs w:val="27"/>
              </w:rPr>
              <w:t xml:space="preserve"> recunoaște multiple pericole generate de circulația ilicită a drogurilor, precum și dreptul la libera circulație, dar și alte aspect</w:t>
            </w:r>
            <w:r w:rsidR="00DE445D">
              <w:rPr>
                <w:rFonts w:ascii="Times New Roman" w:hAnsi="Times New Roman" w:cs="Times New Roman"/>
                <w:sz w:val="27"/>
                <w:szCs w:val="27"/>
              </w:rPr>
              <w:t>e</w:t>
            </w:r>
            <w:r w:rsidRPr="00A21B66">
              <w:rPr>
                <w:rFonts w:ascii="Times New Roman" w:hAnsi="Times New Roman" w:cs="Times New Roman"/>
                <w:sz w:val="27"/>
                <w:szCs w:val="27"/>
              </w:rPr>
              <w:t xml:space="preserve"> administrative, juridice și politice rămase fără control, ca efect al globalizării economice și sociale, generează schimbări semnificative în circulația ilegală a substanţelor narcotice, psihotrope (stupefiante), precursorilor, etnobotanicelor, analogilor, omologilor, derivatelor și a plantelor care conţin astfel de substanţe și în țara noastră.</w:t>
            </w:r>
          </w:p>
          <w:p w:rsidR="00E230D9" w:rsidRPr="00A21B66" w:rsidRDefault="003117C5" w:rsidP="003117C5">
            <w:pPr>
              <w:spacing w:after="0" w:line="240" w:lineRule="auto"/>
              <w:ind w:firstLine="720"/>
              <w:jc w:val="both"/>
              <w:rPr>
                <w:sz w:val="27"/>
                <w:szCs w:val="27"/>
              </w:rPr>
            </w:pPr>
            <w:r w:rsidRPr="00A21B66">
              <w:rPr>
                <w:rFonts w:ascii="Times New Roman" w:hAnsi="Times New Roman" w:cs="Times New Roman"/>
                <w:sz w:val="27"/>
                <w:szCs w:val="27"/>
              </w:rPr>
              <w:t xml:space="preserve">Astfel, în ultima perioadă, tot mai multe substanțe noi numite ”etnobotanice” </w:t>
            </w:r>
            <w:r w:rsidRPr="00A21B66">
              <w:rPr>
                <w:rFonts w:ascii="Times New Roman" w:hAnsi="Times New Roman" w:cs="Times New Roman"/>
                <w:sz w:val="27"/>
                <w:szCs w:val="27"/>
              </w:rPr>
              <w:lastRenderedPageBreak/>
              <w:t>(substanțe psihoactive) provenite din comercializarea ilicită sub diverse denumiri apar pe piața Republicii Moldova, ca exemplu ”spice”</w:t>
            </w:r>
            <w:r w:rsidR="00DE445D">
              <w:rPr>
                <w:rFonts w:ascii="Times New Roman" w:hAnsi="Times New Roman" w:cs="Times New Roman"/>
                <w:sz w:val="27"/>
                <w:szCs w:val="27"/>
              </w:rPr>
              <w:t>,</w:t>
            </w:r>
            <w:r w:rsidRPr="00A21B66">
              <w:rPr>
                <w:rFonts w:ascii="Times New Roman" w:hAnsi="Times New Roman" w:cs="Times New Roman"/>
                <w:sz w:val="27"/>
                <w:szCs w:val="27"/>
              </w:rPr>
              <w:t xml:space="preserve">  expuse spre consum tot mai des și care nu sunt altceva decît substanțe care produc schimbări ce induc efecte fiziologice și/sau mentale, halucinogene</w:t>
            </w:r>
            <w:r w:rsidR="009449C4">
              <w:rPr>
                <w:rFonts w:ascii="Times New Roman" w:hAnsi="Times New Roman" w:cs="Times New Roman"/>
                <w:sz w:val="27"/>
                <w:szCs w:val="27"/>
              </w:rPr>
              <w:t>,</w:t>
            </w:r>
            <w:r w:rsidRPr="00A21B66">
              <w:rPr>
                <w:rFonts w:ascii="Times New Roman" w:hAnsi="Times New Roman" w:cs="Times New Roman"/>
                <w:sz w:val="27"/>
                <w:szCs w:val="27"/>
              </w:rPr>
              <w:t xml:space="preserve"> precum și alte efecte de acest gen și care</w:t>
            </w:r>
            <w:r w:rsidR="009449C4">
              <w:rPr>
                <w:rFonts w:ascii="Times New Roman" w:hAnsi="Times New Roman" w:cs="Times New Roman"/>
                <w:sz w:val="27"/>
                <w:szCs w:val="27"/>
              </w:rPr>
              <w:t>,</w:t>
            </w:r>
            <w:r w:rsidRPr="00A21B66">
              <w:rPr>
                <w:rFonts w:ascii="Times New Roman" w:hAnsi="Times New Roman" w:cs="Times New Roman"/>
                <w:sz w:val="27"/>
                <w:szCs w:val="27"/>
              </w:rPr>
              <w:t xml:space="preserve"> totodată</w:t>
            </w:r>
            <w:r w:rsidR="009449C4">
              <w:rPr>
                <w:rFonts w:ascii="Times New Roman" w:hAnsi="Times New Roman" w:cs="Times New Roman"/>
                <w:sz w:val="27"/>
                <w:szCs w:val="27"/>
              </w:rPr>
              <w:t>,</w:t>
            </w:r>
            <w:r w:rsidRPr="00A21B66">
              <w:rPr>
                <w:rFonts w:ascii="Times New Roman" w:hAnsi="Times New Roman" w:cs="Times New Roman"/>
                <w:sz w:val="27"/>
                <w:szCs w:val="27"/>
              </w:rPr>
              <w:t xml:space="preserve"> sunt foarte periculoase și toxice pentru organismul uman, chiar mai periculoase decît consumul altor substanțe narcotice deja cunoscute. Consumul acestor substanțe provoacă tot mai multe decese.</w:t>
            </w:r>
            <w:r w:rsidR="00E230D9" w:rsidRPr="00A21B66">
              <w:rPr>
                <w:sz w:val="27"/>
                <w:szCs w:val="27"/>
              </w:rPr>
              <w:t xml:space="preserve"> </w:t>
            </w:r>
          </w:p>
          <w:p w:rsidR="003117C5" w:rsidRPr="00A21B66" w:rsidRDefault="00E230D9" w:rsidP="003117C5">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 xml:space="preserve">Studiile internaționale demonstrează că, consumul îndelungat de substanțe etnobotanice produc dependență. Cei care le consumă, riscă în timp foarte scurt să devină dependenți. În decurs de </w:t>
            </w:r>
            <w:r w:rsidR="00A21B66" w:rsidRPr="00A21B66">
              <w:rPr>
                <w:rFonts w:ascii="Times New Roman" w:hAnsi="Times New Roman" w:cs="Times New Roman"/>
                <w:sz w:val="27"/>
                <w:szCs w:val="27"/>
              </w:rPr>
              <w:t>până</w:t>
            </w:r>
            <w:r w:rsidRPr="00A21B66">
              <w:rPr>
                <w:rFonts w:ascii="Times New Roman" w:hAnsi="Times New Roman" w:cs="Times New Roman"/>
                <w:sz w:val="27"/>
                <w:szCs w:val="27"/>
              </w:rPr>
              <w:t xml:space="preserve"> la trei luni de la debutul consumului, are loc o degradare fizică și psihică. Efectele asupra organismului uman sunt devastatoare, asemănătoare celor determinate de substanțe psihoactive, fiind afectat în mod direct creierul (stări confuzionale, pierderea identității, halucinații, diminuarea atenție</w:t>
            </w:r>
            <w:r w:rsidR="009449C4">
              <w:rPr>
                <w:rFonts w:ascii="Times New Roman" w:hAnsi="Times New Roman" w:cs="Times New Roman"/>
                <w:sz w:val="27"/>
                <w:szCs w:val="27"/>
              </w:rPr>
              <w:t>i, tentative de sinucidere</w:t>
            </w:r>
            <w:r w:rsidR="00DE3052" w:rsidRPr="00A21B66">
              <w:rPr>
                <w:rFonts w:ascii="Times New Roman" w:hAnsi="Times New Roman" w:cs="Times New Roman"/>
                <w:sz w:val="27"/>
                <w:szCs w:val="27"/>
              </w:rPr>
              <w:t xml:space="preserve"> </w:t>
            </w:r>
            <w:r w:rsidR="00A21B66" w:rsidRPr="00A21B66">
              <w:rPr>
                <w:rFonts w:ascii="Times New Roman" w:hAnsi="Times New Roman" w:cs="Times New Roman"/>
                <w:sz w:val="27"/>
                <w:szCs w:val="27"/>
              </w:rPr>
              <w:t>etc.</w:t>
            </w:r>
            <w:r w:rsidRPr="00A21B66">
              <w:rPr>
                <w:rFonts w:ascii="Times New Roman" w:hAnsi="Times New Roman" w:cs="Times New Roman"/>
                <w:sz w:val="27"/>
                <w:szCs w:val="27"/>
              </w:rPr>
              <w:t>).</w:t>
            </w:r>
          </w:p>
          <w:p w:rsidR="00DE3052" w:rsidRPr="00A21B66" w:rsidRDefault="00DE3052" w:rsidP="003117C5">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Experții din cadrul Centrului tehnico-criminalistic și expertize judiciare al Inspectoratului General al Poliției, în urma efectuării expertizelor și constatărilor tehnico-științifice</w:t>
            </w:r>
            <w:r w:rsidR="009449C4">
              <w:rPr>
                <w:rFonts w:ascii="Times New Roman" w:hAnsi="Times New Roman" w:cs="Times New Roman"/>
                <w:sz w:val="27"/>
                <w:szCs w:val="27"/>
              </w:rPr>
              <w:t>,</w:t>
            </w:r>
            <w:r w:rsidRPr="00A21B66">
              <w:rPr>
                <w:rFonts w:ascii="Times New Roman" w:hAnsi="Times New Roman" w:cs="Times New Roman"/>
                <w:sz w:val="27"/>
                <w:szCs w:val="27"/>
              </w:rPr>
              <w:t xml:space="preserve"> au identificat formula chimică a etnobotanicelor și au constatat faptul că producătorii sintetizează substanțe noi foarte rapid, </w:t>
            </w:r>
            <w:r w:rsidR="00A21B66" w:rsidRPr="00A21B66">
              <w:rPr>
                <w:rFonts w:ascii="Times New Roman" w:hAnsi="Times New Roman" w:cs="Times New Roman"/>
                <w:sz w:val="27"/>
                <w:szCs w:val="27"/>
              </w:rPr>
              <w:t>modificând</w:t>
            </w:r>
            <w:r w:rsidRPr="00A21B66">
              <w:rPr>
                <w:rFonts w:ascii="Times New Roman" w:hAnsi="Times New Roman" w:cs="Times New Roman"/>
                <w:sz w:val="27"/>
                <w:szCs w:val="27"/>
              </w:rPr>
              <w:t xml:space="preserve">  formula chimică prin introducerea altor derivate.</w:t>
            </w:r>
          </w:p>
          <w:p w:rsidR="00DE3052" w:rsidRPr="00A21B66" w:rsidRDefault="00DE3052" w:rsidP="00DE3052">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 xml:space="preserve">Subsidiar, pentru simplificarea procedurii punerii sub controlul statal al substanțelor psihoactive, periculoase și pentru evitarea completării permanente a listelor și tabelelor substanțelor narcotice, psihotrope și a plantelor care conțin astfel de substanțe depistate în trafic ilicit, </w:t>
            </w:r>
            <w:r w:rsidR="005B10D3" w:rsidRPr="00A21B66">
              <w:rPr>
                <w:rFonts w:ascii="Times New Roman" w:hAnsi="Times New Roman" w:cs="Times New Roman"/>
                <w:sz w:val="27"/>
                <w:szCs w:val="27"/>
              </w:rPr>
              <w:t>inserate</w:t>
            </w:r>
            <w:r w:rsidRPr="00A21B66">
              <w:rPr>
                <w:rFonts w:ascii="Times New Roman" w:hAnsi="Times New Roman" w:cs="Times New Roman"/>
                <w:sz w:val="27"/>
                <w:szCs w:val="27"/>
              </w:rPr>
              <w:t xml:space="preserve"> în </w:t>
            </w:r>
            <w:r w:rsidR="00A21B66" w:rsidRPr="00A21B66">
              <w:rPr>
                <w:rFonts w:ascii="Times New Roman" w:hAnsi="Times New Roman" w:cs="Times New Roman"/>
                <w:sz w:val="27"/>
                <w:szCs w:val="27"/>
              </w:rPr>
              <w:t>Hotărârea</w:t>
            </w:r>
            <w:r w:rsidR="00AA0D0B" w:rsidRPr="00A21B66">
              <w:rPr>
                <w:rFonts w:ascii="Times New Roman" w:hAnsi="Times New Roman" w:cs="Times New Roman"/>
                <w:sz w:val="27"/>
                <w:szCs w:val="27"/>
              </w:rPr>
              <w:t xml:space="preserve"> Guvernului nr. 1088 din 05 octombrie 2004</w:t>
            </w:r>
            <w:r w:rsidRPr="00A21B66">
              <w:rPr>
                <w:rFonts w:ascii="Times New Roman" w:hAnsi="Times New Roman" w:cs="Times New Roman"/>
                <w:sz w:val="27"/>
                <w:szCs w:val="27"/>
              </w:rPr>
              <w:t>, s-a recurs la studierea literaturii științifice.</w:t>
            </w:r>
          </w:p>
          <w:p w:rsidR="00DE3052" w:rsidRPr="00A21B66" w:rsidRDefault="00AA0D0B" w:rsidP="00DE3052">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Adițional</w:t>
            </w:r>
            <w:r w:rsidR="00DE3052" w:rsidRPr="00A21B66">
              <w:rPr>
                <w:rFonts w:ascii="Times New Roman" w:hAnsi="Times New Roman" w:cs="Times New Roman"/>
                <w:sz w:val="27"/>
                <w:szCs w:val="27"/>
              </w:rPr>
              <w:t xml:space="preserve">, au fost </w:t>
            </w:r>
            <w:r w:rsidR="009449C4">
              <w:rPr>
                <w:rFonts w:ascii="Times New Roman" w:hAnsi="Times New Roman" w:cs="Times New Roman"/>
                <w:sz w:val="27"/>
                <w:szCs w:val="27"/>
              </w:rPr>
              <w:t>desfășurate</w:t>
            </w:r>
            <w:r w:rsidR="00DE3052" w:rsidRPr="00A21B66">
              <w:rPr>
                <w:rFonts w:ascii="Times New Roman" w:hAnsi="Times New Roman" w:cs="Times New Roman"/>
                <w:sz w:val="27"/>
                <w:szCs w:val="27"/>
              </w:rPr>
              <w:t xml:space="preserve"> ședințe comune de lucru cu experții, în urma căreia s</w:t>
            </w:r>
            <w:r w:rsidR="00AA40EF">
              <w:rPr>
                <w:rFonts w:ascii="Times New Roman" w:hAnsi="Times New Roman" w:cs="Times New Roman"/>
                <w:sz w:val="27"/>
                <w:szCs w:val="27"/>
              </w:rPr>
              <w:t>-</w:t>
            </w:r>
            <w:r w:rsidR="00DE3052" w:rsidRPr="00A21B66">
              <w:rPr>
                <w:rFonts w:ascii="Times New Roman" w:hAnsi="Times New Roman" w:cs="Times New Roman"/>
                <w:sz w:val="27"/>
                <w:szCs w:val="27"/>
              </w:rPr>
              <w:t>a stabilit necesitatea definirii substanțelor, compușilor și amestecurilor de prafuri și/sau plante utilizate de către consumatorii de droguri.</w:t>
            </w:r>
          </w:p>
          <w:p w:rsidR="00AA0D0B" w:rsidRPr="00A21B66" w:rsidRDefault="00EA79A9" w:rsidP="00CA2811">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 xml:space="preserve"> Suplimentar menţionăm că, reprezentanţii Ministerului Afacerilor Interne, inclusiv al Direcţiei nr. 4 al Inspectoratului Naţional de Investigaţii al Inspectoratului General al Poliţiei (în continuare INI</w:t>
            </w:r>
            <w:r w:rsidR="00E45E7C" w:rsidRPr="00A21B66">
              <w:rPr>
                <w:rFonts w:ascii="Times New Roman" w:hAnsi="Times New Roman" w:cs="Times New Roman"/>
                <w:sz w:val="27"/>
                <w:szCs w:val="27"/>
              </w:rPr>
              <w:t xml:space="preserve"> al IGP</w:t>
            </w:r>
            <w:r w:rsidRPr="00A21B66">
              <w:rPr>
                <w:rFonts w:ascii="Times New Roman" w:hAnsi="Times New Roman" w:cs="Times New Roman"/>
                <w:sz w:val="27"/>
                <w:szCs w:val="27"/>
              </w:rPr>
              <w:t xml:space="preserve">) fac parte nemijlocit din Comisia Naţională Antidrog, care este un organ interdepartamental, instituit de Guvern în scopul promovării politicii statului în domeniul circulaţiei substanţelor narcotice şi psihotrope şi a precursorilor, ce implementează cerinţele stipulate în convenţiile internaţionale ale Organizaţiei Naţiunilor Unite, cum ar fi: Convenţia unică asupra stupefiantelor (1961),  Convenţia asupra substanţelor psihotrope (1971) şi Convenţia contra traficului ilicit de stupefiante şi substanţe psihotrope (1988), la care Republica Moldova este parte. Totodată, aceasta creează platforma pentru comunicarea continuă cu administraţia publică centrală şi locală, cu entităţi care contribuie la implementarea politicii în domeniul drogurilor, elaborează propuneri de perfecţionare a legislaţiei în domeniu (fapt stipulat în art. 6 al </w:t>
            </w:r>
            <w:r w:rsidR="00813BDC" w:rsidRPr="00A21B66">
              <w:rPr>
                <w:rFonts w:ascii="Times New Roman" w:hAnsi="Times New Roman" w:cs="Times New Roman"/>
                <w:sz w:val="27"/>
                <w:szCs w:val="27"/>
              </w:rPr>
              <w:t>Legii nr. 382-XIV din 6 mai 1999 cu privire la circulaţia substanţelor narcotice şi psihotrope şi a precursorilor</w:t>
            </w:r>
            <w:r w:rsidRPr="00A21B66">
              <w:rPr>
                <w:rFonts w:ascii="Times New Roman" w:hAnsi="Times New Roman" w:cs="Times New Roman"/>
                <w:sz w:val="27"/>
                <w:szCs w:val="27"/>
              </w:rPr>
              <w:t>).</w:t>
            </w:r>
          </w:p>
          <w:p w:rsidR="00CA2811" w:rsidRPr="00A21B66" w:rsidRDefault="00CA2811" w:rsidP="00320EFE">
            <w:pPr>
              <w:spacing w:after="0" w:line="240" w:lineRule="auto"/>
              <w:ind w:firstLine="720"/>
              <w:jc w:val="both"/>
              <w:rPr>
                <w:rFonts w:ascii="Times New Roman" w:hAnsi="Times New Roman" w:cs="Times New Roman"/>
                <w:sz w:val="27"/>
                <w:szCs w:val="27"/>
              </w:rPr>
            </w:pPr>
            <w:r w:rsidRPr="00A21B66">
              <w:rPr>
                <w:rFonts w:ascii="Times New Roman" w:hAnsi="Times New Roman" w:cs="Times New Roman"/>
                <w:sz w:val="27"/>
                <w:szCs w:val="27"/>
              </w:rPr>
              <w:t xml:space="preserve">Mai mult, </w:t>
            </w:r>
            <w:r w:rsidR="00B51A70" w:rsidRPr="00A21B66">
              <w:rPr>
                <w:rFonts w:ascii="Times New Roman" w:hAnsi="Times New Roman" w:cs="Times New Roman"/>
                <w:sz w:val="27"/>
                <w:szCs w:val="27"/>
              </w:rPr>
              <w:t>în conformitate cu prevederile</w:t>
            </w:r>
            <w:r w:rsidRPr="00A21B66">
              <w:rPr>
                <w:rFonts w:ascii="Times New Roman" w:hAnsi="Times New Roman" w:cs="Times New Roman"/>
                <w:sz w:val="27"/>
                <w:szCs w:val="27"/>
              </w:rPr>
              <w:t xml:space="preserve"> Convenţiei ONU contra traficului ilicit de stupefiante şi substanţe psihotrope din 1988, statul trebuie să asigure prin metode legale circulaţia eficientă şi restricţionată a acestor substanţe, astfel prin art. 7 al Legii nr. 382</w:t>
            </w:r>
            <w:r w:rsidR="00B51A70" w:rsidRPr="00A21B66">
              <w:rPr>
                <w:rFonts w:ascii="Times New Roman" w:hAnsi="Times New Roman" w:cs="Times New Roman"/>
                <w:sz w:val="27"/>
                <w:szCs w:val="27"/>
              </w:rPr>
              <w:t xml:space="preserve">-XIV din 06 mai </w:t>
            </w:r>
            <w:r w:rsidRPr="00A21B66">
              <w:rPr>
                <w:rFonts w:ascii="Times New Roman" w:hAnsi="Times New Roman" w:cs="Times New Roman"/>
                <w:sz w:val="27"/>
                <w:szCs w:val="27"/>
              </w:rPr>
              <w:t xml:space="preserve">1999 cu privire la circulaţia substanţelor narcotice şi psihotrope şi a precursorilor, competenţa în eliberarea şi retragerea autorizaţiei pentru activităţi cu substanţe narcotice şi psihotrope şi cu precursori, în condiţiile </w:t>
            </w:r>
            <w:r w:rsidR="00AA40EF">
              <w:rPr>
                <w:rFonts w:ascii="Times New Roman" w:hAnsi="Times New Roman" w:cs="Times New Roman"/>
                <w:sz w:val="27"/>
                <w:szCs w:val="27"/>
              </w:rPr>
              <w:t>L</w:t>
            </w:r>
            <w:r w:rsidRPr="00A21B66">
              <w:rPr>
                <w:rFonts w:ascii="Times New Roman" w:hAnsi="Times New Roman" w:cs="Times New Roman"/>
                <w:sz w:val="27"/>
                <w:szCs w:val="27"/>
              </w:rPr>
              <w:t>egi</w:t>
            </w:r>
            <w:r w:rsidR="00AA40EF">
              <w:rPr>
                <w:rFonts w:ascii="Times New Roman" w:hAnsi="Times New Roman" w:cs="Times New Roman"/>
                <w:sz w:val="27"/>
                <w:szCs w:val="27"/>
              </w:rPr>
              <w:t>i,</w:t>
            </w:r>
            <w:r w:rsidRPr="00A21B66">
              <w:rPr>
                <w:rFonts w:ascii="Times New Roman" w:hAnsi="Times New Roman" w:cs="Times New Roman"/>
                <w:sz w:val="27"/>
                <w:szCs w:val="27"/>
              </w:rPr>
              <w:t xml:space="preserve"> o deţine numai Comitetul Permanent de Control asupra Drogurilor al Ministerului Sănătăţii, fapt ce nu </w:t>
            </w:r>
            <w:r w:rsidRPr="00A21B66">
              <w:rPr>
                <w:rFonts w:ascii="Times New Roman" w:hAnsi="Times New Roman" w:cs="Times New Roman"/>
                <w:sz w:val="27"/>
                <w:szCs w:val="27"/>
              </w:rPr>
              <w:lastRenderedPageBreak/>
              <w:t>este suficient pentru un control eficient în domeniul vizat.</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F019EB" w:rsidRPr="00A21B66" w:rsidRDefault="00F019EB" w:rsidP="00254485">
            <w:pPr>
              <w:autoSpaceDE w:val="0"/>
              <w:autoSpaceDN w:val="0"/>
              <w:adjustRightInd w:val="0"/>
              <w:spacing w:after="0" w:line="240" w:lineRule="auto"/>
              <w:ind w:firstLine="539"/>
              <w:rPr>
                <w:rFonts w:ascii="Times New Roman" w:eastAsia="Calibri" w:hAnsi="Times New Roman" w:cs="Times New Roman"/>
                <w:sz w:val="27"/>
                <w:szCs w:val="27"/>
              </w:rPr>
            </w:pPr>
            <w:r w:rsidRPr="00A21B66">
              <w:rPr>
                <w:rFonts w:ascii="Times New Roman" w:eastAsia="Calibri" w:hAnsi="Times New Roman" w:cs="Times New Roman"/>
                <w:b/>
                <w:bCs/>
                <w:sz w:val="27"/>
                <w:szCs w:val="27"/>
              </w:rPr>
              <w:lastRenderedPageBreak/>
              <w:t>3. Principalele prevederi ale proiectului</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F019EB" w:rsidRPr="00A21B66" w:rsidRDefault="00E45E7C" w:rsidP="00E45E7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R</w:t>
            </w:r>
            <w:r w:rsidR="00274D39" w:rsidRPr="00A21B66">
              <w:rPr>
                <w:rFonts w:ascii="Times New Roman" w:eastAsia="Calibri" w:hAnsi="Times New Roman" w:cs="Times New Roman"/>
                <w:sz w:val="27"/>
                <w:szCs w:val="27"/>
              </w:rPr>
              <w:t>eieșind din specificul activității Direcţiei nr. 4 a INI</w:t>
            </w:r>
            <w:r w:rsidRPr="00A21B66">
              <w:rPr>
                <w:rFonts w:ascii="Times New Roman" w:eastAsia="Calibri" w:hAnsi="Times New Roman" w:cs="Times New Roman"/>
                <w:sz w:val="27"/>
                <w:szCs w:val="27"/>
              </w:rPr>
              <w:t xml:space="preserve"> al IGP</w:t>
            </w:r>
            <w:r w:rsidR="00274D39" w:rsidRPr="00A21B66">
              <w:rPr>
                <w:rFonts w:ascii="Times New Roman" w:eastAsia="Calibri" w:hAnsi="Times New Roman" w:cs="Times New Roman"/>
                <w:sz w:val="27"/>
                <w:szCs w:val="27"/>
              </w:rPr>
              <w:t xml:space="preserve">, care reprezintă o subdiviziune specializată, cu competenţă de organ de constatare, </w:t>
            </w:r>
            <w:r w:rsidR="00A21B66" w:rsidRPr="00A21B66">
              <w:rPr>
                <w:rFonts w:ascii="Times New Roman" w:eastAsia="Calibri" w:hAnsi="Times New Roman" w:cs="Times New Roman"/>
                <w:sz w:val="27"/>
                <w:szCs w:val="27"/>
              </w:rPr>
              <w:t>exercitând</w:t>
            </w:r>
            <w:r w:rsidR="00274D39" w:rsidRPr="00A21B66">
              <w:rPr>
                <w:rFonts w:ascii="Times New Roman" w:eastAsia="Calibri" w:hAnsi="Times New Roman" w:cs="Times New Roman"/>
                <w:sz w:val="27"/>
                <w:szCs w:val="27"/>
              </w:rPr>
              <w:t xml:space="preserve"> la nivel naţional conducerea, coordonarea şi controlul în domeniul combaterii traficului ilicit de droguri, substanţelor psihotrope, a analoagelor acestora şi precursorilor, considerăm oportun modificarea și completarea </w:t>
            </w:r>
            <w:r w:rsidR="00320EFE">
              <w:rPr>
                <w:rFonts w:ascii="Times New Roman" w:eastAsia="Calibri" w:hAnsi="Times New Roman" w:cs="Times New Roman"/>
                <w:sz w:val="27"/>
                <w:szCs w:val="27"/>
              </w:rPr>
              <w:t>Legii nr.</w:t>
            </w:r>
            <w:r w:rsidR="007A18AF">
              <w:rPr>
                <w:rFonts w:ascii="Times New Roman" w:eastAsia="Calibri" w:hAnsi="Times New Roman" w:cs="Times New Roman"/>
                <w:sz w:val="27"/>
                <w:szCs w:val="27"/>
              </w:rPr>
              <w:t>382-XIV din 06 mai 1999</w:t>
            </w:r>
            <w:r w:rsidR="006262FE">
              <w:rPr>
                <w:rFonts w:ascii="Times New Roman" w:eastAsia="Calibri" w:hAnsi="Times New Roman" w:cs="Times New Roman"/>
                <w:sz w:val="27"/>
                <w:szCs w:val="27"/>
              </w:rPr>
              <w:t xml:space="preserve"> </w:t>
            </w:r>
            <w:r w:rsidR="006262FE" w:rsidRPr="00A21B66">
              <w:rPr>
                <w:rFonts w:ascii="Times New Roman" w:eastAsia="Calibri" w:hAnsi="Times New Roman" w:cs="Times New Roman"/>
                <w:sz w:val="27"/>
                <w:szCs w:val="27"/>
              </w:rPr>
              <w:t>cu privire la circulaţia substanţelor narcotice, psihotrope şi a precursorilor</w:t>
            </w:r>
            <w:r w:rsidR="007A18AF">
              <w:rPr>
                <w:rFonts w:ascii="Times New Roman" w:eastAsia="Calibri" w:hAnsi="Times New Roman" w:cs="Times New Roman"/>
                <w:sz w:val="27"/>
                <w:szCs w:val="27"/>
              </w:rPr>
              <w:t xml:space="preserve">, </w:t>
            </w:r>
            <w:r w:rsidR="00274D39" w:rsidRPr="00A21B66">
              <w:rPr>
                <w:rFonts w:ascii="Times New Roman" w:eastAsia="Calibri" w:hAnsi="Times New Roman" w:cs="Times New Roman"/>
                <w:sz w:val="27"/>
                <w:szCs w:val="27"/>
              </w:rPr>
              <w:t xml:space="preserve">cu indicarea expresă a competenţei pentru subdiviziunea specializată a MAI la exercitarea controlului asupra cerințelor tehnice față de încăperile și obiectivele în care se păstrează substanțele narcotice, psihotrope și/sau precursori, precum și la exercitarea controlului asupra circulației legale a substanţelor narcotice, psihotrope şi/sau precursori, în condiţiile prevăzute de legislaţie.  </w:t>
            </w:r>
          </w:p>
          <w:p w:rsidR="00813BDC" w:rsidRPr="00A21B66" w:rsidRDefault="00813BDC"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În acest context, urmare evaluării situaţiei la compartimentul dat, se constată că personalul instituţiilor ce sunt implicate în activităţi ce vizează circuitul legal al substanţelor narcotice şi psihotrope, frecvent admit ilegalităţi ce vizează realizarea ilegală către consumatorii de droguri a substanţelor a</w:t>
            </w:r>
            <w:r w:rsidR="006262FE">
              <w:rPr>
                <w:rFonts w:ascii="Times New Roman" w:eastAsia="Calibri" w:hAnsi="Times New Roman" w:cs="Times New Roman"/>
                <w:sz w:val="27"/>
                <w:szCs w:val="27"/>
              </w:rPr>
              <w:t>le</w:t>
            </w:r>
            <w:r w:rsidRPr="00A21B66">
              <w:rPr>
                <w:rFonts w:ascii="Times New Roman" w:eastAsia="Calibri" w:hAnsi="Times New Roman" w:cs="Times New Roman"/>
                <w:sz w:val="27"/>
                <w:szCs w:val="27"/>
              </w:rPr>
              <w:t xml:space="preserve"> căror circulaţie pe teritoriul ţării este restricţionată </w:t>
            </w:r>
            <w:r w:rsidR="006262FE">
              <w:rPr>
                <w:rFonts w:ascii="Times New Roman" w:eastAsia="Calibri" w:hAnsi="Times New Roman" w:cs="Times New Roman"/>
                <w:sz w:val="27"/>
                <w:szCs w:val="27"/>
              </w:rPr>
              <w:t>ca</w:t>
            </w:r>
            <w:r w:rsidRPr="00A21B66">
              <w:rPr>
                <w:rFonts w:ascii="Times New Roman" w:eastAsia="Calibri" w:hAnsi="Times New Roman" w:cs="Times New Roman"/>
                <w:sz w:val="27"/>
                <w:szCs w:val="27"/>
              </w:rPr>
              <w:t xml:space="preserve"> urmare în perioada anilor 2011-2015 fiind intentate 29 cauze penale conform art. 218 Cod penal, iar din circuitul ilegal au fost sechestrate și scoase 28 250 pastile, 159 fiole și 98 capsule cu conţinut psihotrop, precum şi precursori utilizaţi pentru confecţionarea substanţelor psihotrope. </w:t>
            </w:r>
          </w:p>
          <w:p w:rsidR="00813BDC" w:rsidRPr="00A21B66" w:rsidRDefault="00813BDC"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ab/>
              <w:t>Admiterea în circuitul ilicit a substanţelor nominalizate, condiţionează degradarea morală a societăţii, sporirea numărului de consumatori ale substanţelor narcotice şi psihotrope, care la moment constituie ~ 11 500 persoane,  precum şi sporirea numărul</w:t>
            </w:r>
            <w:r w:rsidR="006262FE">
              <w:rPr>
                <w:rFonts w:ascii="Times New Roman" w:eastAsia="Calibri" w:hAnsi="Times New Roman" w:cs="Times New Roman"/>
                <w:sz w:val="27"/>
                <w:szCs w:val="27"/>
              </w:rPr>
              <w:t>ui</w:t>
            </w:r>
            <w:r w:rsidRPr="00A21B66">
              <w:rPr>
                <w:rFonts w:ascii="Times New Roman" w:eastAsia="Calibri" w:hAnsi="Times New Roman" w:cs="Times New Roman"/>
                <w:sz w:val="27"/>
                <w:szCs w:val="27"/>
              </w:rPr>
              <w:t xml:space="preserve"> deceselor în </w:t>
            </w:r>
            <w:r w:rsidR="00A21B66" w:rsidRPr="00A21B66">
              <w:rPr>
                <w:rFonts w:ascii="Times New Roman" w:eastAsia="Calibri" w:hAnsi="Times New Roman" w:cs="Times New Roman"/>
                <w:sz w:val="27"/>
                <w:szCs w:val="27"/>
              </w:rPr>
              <w:t>rândul</w:t>
            </w:r>
            <w:r w:rsidRPr="00A21B66">
              <w:rPr>
                <w:rFonts w:ascii="Times New Roman" w:eastAsia="Calibri" w:hAnsi="Times New Roman" w:cs="Times New Roman"/>
                <w:sz w:val="27"/>
                <w:szCs w:val="27"/>
              </w:rPr>
              <w:t xml:space="preserve"> populaţiei ca urmare a intoxicării cu droguri şi substanţe psihotrope, decese care conform datelor statistice prezentate de către Centrul de medicină legală pe </w:t>
            </w:r>
            <w:r w:rsidR="00A21B66" w:rsidRPr="00A21B66">
              <w:rPr>
                <w:rFonts w:ascii="Times New Roman" w:eastAsia="Calibri" w:hAnsi="Times New Roman" w:cs="Times New Roman"/>
                <w:sz w:val="27"/>
                <w:szCs w:val="27"/>
              </w:rPr>
              <w:t>lângă</w:t>
            </w:r>
            <w:r w:rsidRPr="00A21B66">
              <w:rPr>
                <w:rFonts w:ascii="Times New Roman" w:eastAsia="Calibri" w:hAnsi="Times New Roman" w:cs="Times New Roman"/>
                <w:sz w:val="27"/>
                <w:szCs w:val="27"/>
              </w:rPr>
              <w:t xml:space="preserve"> Ministerul Sănătății prezintă o majorare esențială</w:t>
            </w:r>
            <w:r w:rsidR="0005548F">
              <w:rPr>
                <w:rFonts w:ascii="Times New Roman" w:eastAsia="Calibri" w:hAnsi="Times New Roman" w:cs="Times New Roman"/>
                <w:sz w:val="27"/>
                <w:szCs w:val="27"/>
              </w:rPr>
              <w:t>,</w:t>
            </w:r>
            <w:r w:rsidRPr="00A21B66">
              <w:rPr>
                <w:rFonts w:ascii="Times New Roman" w:eastAsia="Calibri" w:hAnsi="Times New Roman" w:cs="Times New Roman"/>
                <w:sz w:val="27"/>
                <w:szCs w:val="27"/>
              </w:rPr>
              <w:t xml:space="preserve"> și anume în anul 2011 – 10 persoane, 2012 – 7 persoane, în anul 2013 – 17 persoane și în 2014 - 24 persoane.</w:t>
            </w:r>
          </w:p>
          <w:p w:rsidR="00813BDC" w:rsidRPr="00A21B66" w:rsidRDefault="00535A26"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Urmare</w:t>
            </w:r>
            <w:r w:rsidR="00813BDC" w:rsidRPr="00A21B66">
              <w:rPr>
                <w:rFonts w:ascii="Times New Roman" w:eastAsia="Calibri" w:hAnsi="Times New Roman" w:cs="Times New Roman"/>
                <w:sz w:val="27"/>
                <w:szCs w:val="27"/>
              </w:rPr>
              <w:t xml:space="preserve"> celor menționate</w:t>
            </w:r>
            <w:r w:rsidRPr="00A21B66">
              <w:rPr>
                <w:rFonts w:ascii="Times New Roman" w:eastAsia="Calibri" w:hAnsi="Times New Roman" w:cs="Times New Roman"/>
                <w:sz w:val="27"/>
                <w:szCs w:val="27"/>
              </w:rPr>
              <w:t>,</w:t>
            </w:r>
            <w:r w:rsidR="00813BDC" w:rsidRPr="00A21B66">
              <w:rPr>
                <w:rFonts w:ascii="Times New Roman" w:eastAsia="Calibri" w:hAnsi="Times New Roman" w:cs="Times New Roman"/>
                <w:sz w:val="27"/>
                <w:szCs w:val="27"/>
              </w:rPr>
              <w:t xml:space="preserve"> apare </w:t>
            </w:r>
            <w:r w:rsidRPr="00A21B66">
              <w:rPr>
                <w:rFonts w:ascii="Times New Roman" w:eastAsia="Calibri" w:hAnsi="Times New Roman" w:cs="Times New Roman"/>
                <w:sz w:val="27"/>
                <w:szCs w:val="27"/>
              </w:rPr>
              <w:t>necesitatea completării Legii  n</w:t>
            </w:r>
            <w:r w:rsidR="00813BDC" w:rsidRPr="00A21B66">
              <w:rPr>
                <w:rFonts w:ascii="Times New Roman" w:eastAsia="Calibri" w:hAnsi="Times New Roman" w:cs="Times New Roman"/>
                <w:sz w:val="27"/>
                <w:szCs w:val="27"/>
              </w:rPr>
              <w:t>r. 382</w:t>
            </w:r>
            <w:r w:rsidRPr="00A21B66">
              <w:rPr>
                <w:rFonts w:ascii="Times New Roman" w:eastAsia="Calibri" w:hAnsi="Times New Roman" w:cs="Times New Roman"/>
                <w:sz w:val="27"/>
                <w:szCs w:val="27"/>
              </w:rPr>
              <w:t>-XIV</w:t>
            </w:r>
            <w:r w:rsidR="00813BDC" w:rsidRPr="00A21B66">
              <w:rPr>
                <w:rFonts w:ascii="Times New Roman" w:eastAsia="Calibri" w:hAnsi="Times New Roman" w:cs="Times New Roman"/>
                <w:sz w:val="27"/>
                <w:szCs w:val="27"/>
              </w:rPr>
              <w:t xml:space="preserve"> din  06</w:t>
            </w:r>
            <w:r w:rsidRPr="00A21B66">
              <w:rPr>
                <w:rFonts w:ascii="Times New Roman" w:eastAsia="Calibri" w:hAnsi="Times New Roman" w:cs="Times New Roman"/>
                <w:sz w:val="27"/>
                <w:szCs w:val="27"/>
              </w:rPr>
              <w:t xml:space="preserve"> mai </w:t>
            </w:r>
            <w:r w:rsidR="00813BDC" w:rsidRPr="00A21B66">
              <w:rPr>
                <w:rFonts w:ascii="Times New Roman" w:eastAsia="Calibri" w:hAnsi="Times New Roman" w:cs="Times New Roman"/>
                <w:sz w:val="27"/>
                <w:szCs w:val="27"/>
              </w:rPr>
              <w:t>1999 cu privire la circulaţia substanţelor narcotice, psihotrope şi a precursorilor cu un capitol suplimentar</w:t>
            </w:r>
            <w:r w:rsidR="0005548F">
              <w:rPr>
                <w:rFonts w:ascii="Times New Roman" w:eastAsia="Calibri" w:hAnsi="Times New Roman" w:cs="Times New Roman"/>
                <w:sz w:val="27"/>
                <w:szCs w:val="27"/>
              </w:rPr>
              <w:t>,</w:t>
            </w:r>
            <w:r w:rsidR="00813BDC" w:rsidRPr="00A21B66">
              <w:rPr>
                <w:rFonts w:ascii="Times New Roman" w:eastAsia="Calibri" w:hAnsi="Times New Roman" w:cs="Times New Roman"/>
                <w:sz w:val="27"/>
                <w:szCs w:val="27"/>
              </w:rPr>
              <w:t xml:space="preserve"> </w:t>
            </w:r>
            <w:r w:rsidR="0005548F">
              <w:rPr>
                <w:rFonts w:ascii="Times New Roman" w:eastAsia="Calibri" w:hAnsi="Times New Roman" w:cs="Times New Roman"/>
                <w:sz w:val="27"/>
                <w:szCs w:val="27"/>
              </w:rPr>
              <w:t xml:space="preserve">intitulat </w:t>
            </w:r>
            <w:r w:rsidR="00813BDC" w:rsidRPr="00A21B66">
              <w:rPr>
                <w:rFonts w:ascii="Times New Roman" w:eastAsia="Calibri" w:hAnsi="Times New Roman" w:cs="Times New Roman"/>
                <w:sz w:val="27"/>
                <w:szCs w:val="27"/>
              </w:rPr>
              <w:t xml:space="preserve">”Subdiviziunea specializată de control asupra drogurilor din cadrul Ministerului Afacerilor Interne”, deoarece pentru obținerea autorizației de activitate cu substanțe narcotice, psihotrope și a precursorilor, solicitantul depune la Comitet o cerere, </w:t>
            </w:r>
            <w:r w:rsidR="00A21B66" w:rsidRPr="00A21B66">
              <w:rPr>
                <w:rFonts w:ascii="Times New Roman" w:eastAsia="Calibri" w:hAnsi="Times New Roman" w:cs="Times New Roman"/>
                <w:sz w:val="27"/>
                <w:szCs w:val="27"/>
              </w:rPr>
              <w:t>motivând</w:t>
            </w:r>
            <w:r w:rsidR="00813BDC" w:rsidRPr="00A21B66">
              <w:rPr>
                <w:rFonts w:ascii="Times New Roman" w:eastAsia="Calibri" w:hAnsi="Times New Roman" w:cs="Times New Roman"/>
                <w:sz w:val="27"/>
                <w:szCs w:val="27"/>
              </w:rPr>
              <w:t xml:space="preserve"> necesitatea activității care include doar denumirea instituției, adresa juridică, numărul contului bancar ale băncii cu următoarele documente anexate:</w:t>
            </w:r>
          </w:p>
          <w:p w:rsidR="00813BDC" w:rsidRPr="00A21B66" w:rsidRDefault="0005548F"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Pr>
                <w:rFonts w:ascii="Times New Roman" w:eastAsia="Calibri" w:hAnsi="Times New Roman" w:cs="Times New Roman"/>
                <w:sz w:val="27"/>
                <w:szCs w:val="27"/>
              </w:rPr>
              <w:t>-</w:t>
            </w:r>
            <w:r>
              <w:rPr>
                <w:rFonts w:ascii="Times New Roman" w:eastAsia="Calibri" w:hAnsi="Times New Roman" w:cs="Times New Roman"/>
                <w:sz w:val="27"/>
                <w:szCs w:val="27"/>
              </w:rPr>
              <w:tab/>
              <w:t>c</w:t>
            </w:r>
            <w:r w:rsidR="00813BDC" w:rsidRPr="00A21B66">
              <w:rPr>
                <w:rFonts w:ascii="Times New Roman" w:eastAsia="Calibri" w:hAnsi="Times New Roman" w:cs="Times New Roman"/>
                <w:sz w:val="27"/>
                <w:szCs w:val="27"/>
              </w:rPr>
              <w:t>opiile documentelor de fondare și înregistrare al instituției;</w:t>
            </w:r>
          </w:p>
          <w:p w:rsidR="00813BDC" w:rsidRPr="00A21B66" w:rsidRDefault="0005548F"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Pr>
                <w:rFonts w:ascii="Times New Roman" w:eastAsia="Calibri" w:hAnsi="Times New Roman" w:cs="Times New Roman"/>
                <w:sz w:val="27"/>
                <w:szCs w:val="27"/>
              </w:rPr>
              <w:t>-</w:t>
            </w:r>
            <w:r>
              <w:rPr>
                <w:rFonts w:ascii="Times New Roman" w:eastAsia="Calibri" w:hAnsi="Times New Roman" w:cs="Times New Roman"/>
                <w:sz w:val="27"/>
                <w:szCs w:val="27"/>
              </w:rPr>
              <w:tab/>
              <w:t>c</w:t>
            </w:r>
            <w:r w:rsidR="00813BDC" w:rsidRPr="00A21B66">
              <w:rPr>
                <w:rFonts w:ascii="Times New Roman" w:eastAsia="Calibri" w:hAnsi="Times New Roman" w:cs="Times New Roman"/>
                <w:sz w:val="27"/>
                <w:szCs w:val="27"/>
              </w:rPr>
              <w:t>opia ordinului de angajare a persoanei responsabile de activitate cu precursori;</w:t>
            </w:r>
          </w:p>
          <w:p w:rsidR="00813BDC" w:rsidRPr="00A21B66" w:rsidRDefault="0005548F"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Pr>
                <w:rFonts w:ascii="Times New Roman" w:eastAsia="Calibri" w:hAnsi="Times New Roman" w:cs="Times New Roman"/>
                <w:sz w:val="27"/>
                <w:szCs w:val="27"/>
              </w:rPr>
              <w:t>-</w:t>
            </w:r>
            <w:r>
              <w:rPr>
                <w:rFonts w:ascii="Times New Roman" w:eastAsia="Calibri" w:hAnsi="Times New Roman" w:cs="Times New Roman"/>
                <w:sz w:val="27"/>
                <w:szCs w:val="27"/>
              </w:rPr>
              <w:tab/>
              <w:t>c</w:t>
            </w:r>
            <w:r w:rsidR="00813BDC" w:rsidRPr="00A21B66">
              <w:rPr>
                <w:rFonts w:ascii="Times New Roman" w:eastAsia="Calibri" w:hAnsi="Times New Roman" w:cs="Times New Roman"/>
                <w:sz w:val="27"/>
                <w:szCs w:val="27"/>
              </w:rPr>
              <w:t>opiile diplomelor și certificatelor de conferire a categoriei de calificare profesională pentru tipul de activitate autorizat;</w:t>
            </w:r>
          </w:p>
          <w:p w:rsidR="00813BDC" w:rsidRPr="00A21B66" w:rsidRDefault="00813BDC"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w:t>
            </w:r>
            <w:r w:rsidRPr="00A21B66">
              <w:rPr>
                <w:rFonts w:ascii="Times New Roman" w:eastAsia="Calibri" w:hAnsi="Times New Roman" w:cs="Times New Roman"/>
                <w:sz w:val="27"/>
                <w:szCs w:val="27"/>
              </w:rPr>
              <w:tab/>
              <w:t>Avizul consultativ al instituției medico-sanitare narcologice, ce confirmă sănătatea lucrătorilor care în baza obligațiunilor de serviciu au acces la substanțe narcotice, psihotrope și a precursorilor și nu suferă de narcomanie, toxicomanie, alcoolism cronic sau lipsa persoanelor inapte pentru unele tipuri de activități, legate cu surse de pericol.</w:t>
            </w:r>
          </w:p>
          <w:p w:rsidR="00813BDC" w:rsidRPr="00A21B66" w:rsidRDefault="00813BDC"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Ulterior, Comitetul decide asupra acordării, suspendării sau retragerii autorizației</w:t>
            </w:r>
            <w:r w:rsidR="00A0517D">
              <w:rPr>
                <w:rFonts w:ascii="Times New Roman" w:eastAsia="Calibri" w:hAnsi="Times New Roman" w:cs="Times New Roman"/>
                <w:sz w:val="27"/>
                <w:szCs w:val="27"/>
              </w:rPr>
              <w:t>,</w:t>
            </w:r>
            <w:r w:rsidRPr="00A21B66">
              <w:rPr>
                <w:rFonts w:ascii="Times New Roman" w:eastAsia="Calibri" w:hAnsi="Times New Roman" w:cs="Times New Roman"/>
                <w:sz w:val="27"/>
                <w:szCs w:val="27"/>
              </w:rPr>
              <w:t xml:space="preserve"> fără a solicita careva acte emise de către organul de constatare privind corespunderea cerințelor tehnice față de încăperile și obiectivele în care se păstrează substanțele narcotice, psihotrope și/sau precursori, prevăzute de legislaţie. Fapt ce duce la implicarea în activități ilicite a personalului instituțiilor, cum ar fi</w:t>
            </w:r>
            <w:r w:rsidR="00A0517D">
              <w:rPr>
                <w:rFonts w:ascii="Times New Roman" w:eastAsia="Calibri" w:hAnsi="Times New Roman" w:cs="Times New Roman"/>
                <w:sz w:val="27"/>
                <w:szCs w:val="27"/>
              </w:rPr>
              <w:t>,</w:t>
            </w:r>
            <w:r w:rsidRPr="00A21B66">
              <w:rPr>
                <w:rFonts w:ascii="Times New Roman" w:eastAsia="Calibri" w:hAnsi="Times New Roman" w:cs="Times New Roman"/>
                <w:sz w:val="27"/>
                <w:szCs w:val="27"/>
              </w:rPr>
              <w:t xml:space="preserve"> spre </w:t>
            </w:r>
            <w:r w:rsidR="00A21B66" w:rsidRPr="00A21B66">
              <w:rPr>
                <w:rFonts w:ascii="Times New Roman" w:eastAsia="Calibri" w:hAnsi="Times New Roman" w:cs="Times New Roman"/>
                <w:sz w:val="27"/>
                <w:szCs w:val="27"/>
              </w:rPr>
              <w:t>exemplu</w:t>
            </w:r>
            <w:r w:rsidRPr="00A21B66">
              <w:rPr>
                <w:rFonts w:ascii="Times New Roman" w:eastAsia="Calibri" w:hAnsi="Times New Roman" w:cs="Times New Roman"/>
                <w:sz w:val="27"/>
                <w:szCs w:val="27"/>
              </w:rPr>
              <w:t xml:space="preserve">: prescrierea ilegală </w:t>
            </w:r>
            <w:r w:rsidRPr="00A21B66">
              <w:rPr>
                <w:rFonts w:ascii="Times New Roman" w:eastAsia="Calibri" w:hAnsi="Times New Roman" w:cs="Times New Roman"/>
                <w:sz w:val="27"/>
                <w:szCs w:val="27"/>
              </w:rPr>
              <w:lastRenderedPageBreak/>
              <w:t>sau încălcarea regulilor de circulație a substanțelor narcotice sau psihotrope. De</w:t>
            </w:r>
            <w:r w:rsidR="00535A26" w:rsidRPr="00A21B66">
              <w:rPr>
                <w:rFonts w:ascii="Times New Roman" w:eastAsia="Calibri" w:hAnsi="Times New Roman" w:cs="Times New Roman"/>
                <w:sz w:val="27"/>
                <w:szCs w:val="27"/>
              </w:rPr>
              <w:t xml:space="preserve"> </w:t>
            </w:r>
            <w:r w:rsidRPr="00A21B66">
              <w:rPr>
                <w:rFonts w:ascii="Times New Roman" w:eastAsia="Calibri" w:hAnsi="Times New Roman" w:cs="Times New Roman"/>
                <w:sz w:val="27"/>
                <w:szCs w:val="27"/>
              </w:rPr>
              <w:t>aceea, scopul subdiviziunii specializate de control asupra drogurilor din cadrul Ministerului Afacerilor Interne este de a preveni, investiga și descoperi infracțiuni pe linia de activitate ce survin din lipsa unui controlului mai riguros pentru a nu admite abateri.</w:t>
            </w:r>
          </w:p>
          <w:p w:rsidR="00813BDC" w:rsidRPr="00A21B66" w:rsidRDefault="00813BDC" w:rsidP="00813BDC">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Menționăm că, actul de constatare care urmează a fi emis de către subdiviziunea specializată de control asupra drogurilor din cadrul Ministerului Afacerilor Interne în urma verificărilor, reprezintă un act de informare a Comitetului despre cele constatate. Ultimul r</w:t>
            </w:r>
            <w:r w:rsidR="004E4FE3" w:rsidRPr="00A21B66">
              <w:rPr>
                <w:rFonts w:ascii="Times New Roman" w:eastAsia="Calibri" w:hAnsi="Times New Roman" w:cs="Times New Roman"/>
                <w:sz w:val="27"/>
                <w:szCs w:val="27"/>
              </w:rPr>
              <w:t xml:space="preserve">ămâne </w:t>
            </w:r>
            <w:r w:rsidRPr="00A21B66">
              <w:rPr>
                <w:rFonts w:ascii="Times New Roman" w:eastAsia="Calibri" w:hAnsi="Times New Roman" w:cs="Times New Roman"/>
                <w:sz w:val="27"/>
                <w:szCs w:val="27"/>
              </w:rPr>
              <w:t xml:space="preserve">în continuare </w:t>
            </w:r>
            <w:r w:rsidR="004E4FE3" w:rsidRPr="00A21B66">
              <w:rPr>
                <w:rFonts w:ascii="Times New Roman" w:eastAsia="Calibri" w:hAnsi="Times New Roman" w:cs="Times New Roman"/>
                <w:sz w:val="27"/>
                <w:szCs w:val="27"/>
              </w:rPr>
              <w:t xml:space="preserve">abilitat </w:t>
            </w:r>
            <w:r w:rsidRPr="00A21B66">
              <w:rPr>
                <w:rFonts w:ascii="Times New Roman" w:eastAsia="Calibri" w:hAnsi="Times New Roman" w:cs="Times New Roman"/>
                <w:sz w:val="27"/>
                <w:szCs w:val="27"/>
              </w:rPr>
              <w:t>cu dreptul la decizia asupra acordării, suspendării sau retragerii autorizației.</w:t>
            </w:r>
          </w:p>
          <w:p w:rsidR="004E4FE3" w:rsidRPr="00A21B66" w:rsidRDefault="004E4FE3" w:rsidP="004E4FE3">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Subdiviziunea specializată de control asupra drogurilor din cadrul </w:t>
            </w:r>
            <w:r w:rsidR="000E682B">
              <w:rPr>
                <w:rFonts w:ascii="Times New Roman" w:eastAsia="Calibri" w:hAnsi="Times New Roman" w:cs="Times New Roman"/>
                <w:sz w:val="27"/>
                <w:szCs w:val="27"/>
              </w:rPr>
              <w:t xml:space="preserve">Ministerului Afacerilor Interne </w:t>
            </w:r>
            <w:r w:rsidRPr="00A21B66">
              <w:rPr>
                <w:rFonts w:ascii="Times New Roman" w:eastAsia="Calibri" w:hAnsi="Times New Roman" w:cs="Times New Roman"/>
                <w:sz w:val="27"/>
                <w:szCs w:val="27"/>
              </w:rPr>
              <w:t xml:space="preserve">are drept scop primordial </w:t>
            </w:r>
            <w:r w:rsidR="00866F94" w:rsidRPr="00A21B66">
              <w:rPr>
                <w:rFonts w:ascii="Times New Roman" w:eastAsia="Calibri" w:hAnsi="Times New Roman" w:cs="Times New Roman"/>
                <w:sz w:val="27"/>
                <w:szCs w:val="27"/>
              </w:rPr>
              <w:t>preîntâmpinarea</w:t>
            </w:r>
            <w:r w:rsidRPr="00A21B66">
              <w:rPr>
                <w:rFonts w:ascii="Times New Roman" w:eastAsia="Calibri" w:hAnsi="Times New Roman" w:cs="Times New Roman"/>
                <w:sz w:val="27"/>
                <w:szCs w:val="27"/>
              </w:rPr>
              <w:t xml:space="preserve"> şi neadmiterea eliberării în circuitul ilegal al substanţelor narcotice şi psihotrope, </w:t>
            </w:r>
            <w:r w:rsidR="00866F94" w:rsidRPr="00A21B66">
              <w:rPr>
                <w:rFonts w:ascii="Times New Roman" w:eastAsia="Calibri" w:hAnsi="Times New Roman" w:cs="Times New Roman"/>
                <w:sz w:val="27"/>
                <w:szCs w:val="27"/>
              </w:rPr>
              <w:t>drept pentru care</w:t>
            </w:r>
            <w:r w:rsidRPr="00A21B66">
              <w:rPr>
                <w:rFonts w:ascii="Times New Roman" w:eastAsia="Calibri" w:hAnsi="Times New Roman" w:cs="Times New Roman"/>
                <w:sz w:val="27"/>
                <w:szCs w:val="27"/>
              </w:rPr>
              <w:t xml:space="preserve"> considerăm că este necesar un control mai riguros din partea organelor de drept, reglementat prin lege. </w:t>
            </w:r>
          </w:p>
          <w:p w:rsidR="004E4FE3" w:rsidRPr="00A21B66" w:rsidRDefault="004E4FE3" w:rsidP="004E4FE3">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ab/>
              <w:t>Actualmente, circulația substanţelor narcotice, psihotrope şi a precursorilo</w:t>
            </w:r>
            <w:r w:rsidR="00866F94" w:rsidRPr="00A21B66">
              <w:rPr>
                <w:rFonts w:ascii="Times New Roman" w:eastAsia="Calibri" w:hAnsi="Times New Roman" w:cs="Times New Roman"/>
                <w:sz w:val="27"/>
                <w:szCs w:val="27"/>
              </w:rPr>
              <w:t>r este reglementată de Legea  nr</w:t>
            </w:r>
            <w:r w:rsidRPr="00A21B66">
              <w:rPr>
                <w:rFonts w:ascii="Times New Roman" w:eastAsia="Calibri" w:hAnsi="Times New Roman" w:cs="Times New Roman"/>
                <w:sz w:val="27"/>
                <w:szCs w:val="27"/>
              </w:rPr>
              <w:t>. 382</w:t>
            </w:r>
            <w:r w:rsidR="00866F94" w:rsidRPr="00A21B66">
              <w:rPr>
                <w:rFonts w:ascii="Times New Roman" w:eastAsia="Calibri" w:hAnsi="Times New Roman" w:cs="Times New Roman"/>
                <w:sz w:val="27"/>
                <w:szCs w:val="27"/>
              </w:rPr>
              <w:t>-XIV</w:t>
            </w:r>
            <w:r w:rsidRPr="00A21B66">
              <w:rPr>
                <w:rFonts w:ascii="Times New Roman" w:eastAsia="Calibri" w:hAnsi="Times New Roman" w:cs="Times New Roman"/>
                <w:sz w:val="27"/>
                <w:szCs w:val="27"/>
              </w:rPr>
              <w:t xml:space="preserve"> din  06</w:t>
            </w:r>
            <w:r w:rsidR="00866F94" w:rsidRPr="00A21B66">
              <w:rPr>
                <w:rFonts w:ascii="Times New Roman" w:eastAsia="Calibri" w:hAnsi="Times New Roman" w:cs="Times New Roman"/>
                <w:sz w:val="27"/>
                <w:szCs w:val="27"/>
              </w:rPr>
              <w:t xml:space="preserve"> mai </w:t>
            </w:r>
            <w:r w:rsidRPr="00A21B66">
              <w:rPr>
                <w:rFonts w:ascii="Times New Roman" w:eastAsia="Calibri" w:hAnsi="Times New Roman" w:cs="Times New Roman"/>
                <w:sz w:val="27"/>
                <w:szCs w:val="27"/>
              </w:rPr>
              <w:t>1999 cu privire la circulaţia substanţelor narcotice, psihotrope şi a precurso</w:t>
            </w:r>
            <w:r w:rsidR="00866F94" w:rsidRPr="00A21B66">
              <w:rPr>
                <w:rFonts w:ascii="Times New Roman" w:eastAsia="Calibri" w:hAnsi="Times New Roman" w:cs="Times New Roman"/>
                <w:sz w:val="27"/>
                <w:szCs w:val="27"/>
              </w:rPr>
              <w:t xml:space="preserve">rilor, Codul contravenţional </w:t>
            </w:r>
            <w:r w:rsidRPr="00A21B66">
              <w:rPr>
                <w:rFonts w:ascii="Times New Roman" w:eastAsia="Calibri" w:hAnsi="Times New Roman" w:cs="Times New Roman"/>
                <w:sz w:val="27"/>
                <w:szCs w:val="27"/>
              </w:rPr>
              <w:t>și Codul penal</w:t>
            </w:r>
            <w:r w:rsidR="00866F94" w:rsidRPr="00A21B66">
              <w:rPr>
                <w:rFonts w:ascii="Times New Roman" w:eastAsia="Calibri" w:hAnsi="Times New Roman" w:cs="Times New Roman"/>
                <w:sz w:val="27"/>
                <w:szCs w:val="27"/>
              </w:rPr>
              <w:t>.</w:t>
            </w:r>
          </w:p>
          <w:p w:rsidR="00866F94" w:rsidRPr="00A21B66" w:rsidRDefault="00866F94" w:rsidP="004E4FE3">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Pe cale de consecință, </w:t>
            </w:r>
            <w:r w:rsidR="00C71687" w:rsidRPr="00A21B66">
              <w:rPr>
                <w:rFonts w:ascii="Times New Roman" w:eastAsia="Calibri" w:hAnsi="Times New Roman" w:cs="Times New Roman"/>
                <w:sz w:val="27"/>
                <w:szCs w:val="27"/>
              </w:rPr>
              <w:t xml:space="preserve">propunem </w:t>
            </w:r>
            <w:r w:rsidR="00270188" w:rsidRPr="00A21B66">
              <w:rPr>
                <w:rFonts w:ascii="Times New Roman" w:eastAsia="Calibri" w:hAnsi="Times New Roman" w:cs="Times New Roman"/>
                <w:sz w:val="27"/>
                <w:szCs w:val="27"/>
              </w:rPr>
              <w:t>amendarea</w:t>
            </w:r>
            <w:r w:rsidR="00C71687" w:rsidRPr="00A21B66">
              <w:rPr>
                <w:rFonts w:ascii="Times New Roman" w:eastAsia="Calibri" w:hAnsi="Times New Roman" w:cs="Times New Roman"/>
                <w:sz w:val="27"/>
                <w:szCs w:val="27"/>
              </w:rPr>
              <w:t xml:space="preserve"> Legii  </w:t>
            </w:r>
            <w:r w:rsidR="00270188" w:rsidRPr="00A21B66">
              <w:rPr>
                <w:rFonts w:ascii="Times New Roman" w:eastAsia="Calibri" w:hAnsi="Times New Roman" w:cs="Times New Roman"/>
                <w:sz w:val="27"/>
                <w:szCs w:val="27"/>
              </w:rPr>
              <w:t>n</w:t>
            </w:r>
            <w:r w:rsidR="00C71687" w:rsidRPr="00A21B66">
              <w:rPr>
                <w:rFonts w:ascii="Times New Roman" w:eastAsia="Calibri" w:hAnsi="Times New Roman" w:cs="Times New Roman"/>
                <w:sz w:val="27"/>
                <w:szCs w:val="27"/>
              </w:rPr>
              <w:t>r. 382</w:t>
            </w:r>
            <w:r w:rsidR="00270188" w:rsidRPr="00A21B66">
              <w:rPr>
                <w:rFonts w:ascii="Times New Roman" w:eastAsia="Calibri" w:hAnsi="Times New Roman" w:cs="Times New Roman"/>
                <w:sz w:val="27"/>
                <w:szCs w:val="27"/>
              </w:rPr>
              <w:t xml:space="preserve">-XIV din  06 mai </w:t>
            </w:r>
            <w:r w:rsidR="00C71687" w:rsidRPr="00A21B66">
              <w:rPr>
                <w:rFonts w:ascii="Times New Roman" w:eastAsia="Calibri" w:hAnsi="Times New Roman" w:cs="Times New Roman"/>
                <w:sz w:val="27"/>
                <w:szCs w:val="27"/>
              </w:rPr>
              <w:t xml:space="preserve">1999 cu privire la circulaţia substanţelor narcotice, psihotrope şi a precursorilor, Codului contravenţional și Codului penal, la noile provocări în domeniul controlului circulației substanțelor care dăunează grav prosperității și sănătății cetățenilor Republicii Moldova și determinarea competenței legale a subdiviziunii specializate de control asupra drogurilor din cadrul Ministerului Afacerilor Interne la </w:t>
            </w:r>
            <w:r w:rsidR="00A21B66" w:rsidRPr="00A21B66">
              <w:rPr>
                <w:rFonts w:ascii="Times New Roman" w:eastAsia="Calibri" w:hAnsi="Times New Roman" w:cs="Times New Roman"/>
                <w:sz w:val="27"/>
                <w:szCs w:val="27"/>
              </w:rPr>
              <w:t>compartimentul</w:t>
            </w:r>
            <w:r w:rsidR="00C71687" w:rsidRPr="00A21B66">
              <w:rPr>
                <w:rFonts w:ascii="Times New Roman" w:eastAsia="Calibri" w:hAnsi="Times New Roman" w:cs="Times New Roman"/>
                <w:sz w:val="27"/>
                <w:szCs w:val="27"/>
              </w:rPr>
              <w:t xml:space="preserve"> ce vizează controlul preventiv, planificat și/sau </w:t>
            </w:r>
            <w:r w:rsidR="00A21B66" w:rsidRPr="00A21B66">
              <w:rPr>
                <w:rFonts w:ascii="Times New Roman" w:eastAsia="Calibri" w:hAnsi="Times New Roman" w:cs="Times New Roman"/>
                <w:sz w:val="27"/>
                <w:szCs w:val="27"/>
              </w:rPr>
              <w:t>inopinat</w:t>
            </w:r>
            <w:r w:rsidR="00C71687" w:rsidRPr="00A21B66">
              <w:rPr>
                <w:rFonts w:ascii="Times New Roman" w:eastAsia="Calibri" w:hAnsi="Times New Roman" w:cs="Times New Roman"/>
                <w:sz w:val="27"/>
                <w:szCs w:val="27"/>
              </w:rPr>
              <w:t xml:space="preserve"> asupra cerințelor tehnice față de încăperile și obiectivele în care se păstrează substanţel</w:t>
            </w:r>
            <w:r w:rsidR="000E682B">
              <w:rPr>
                <w:rFonts w:ascii="Times New Roman" w:eastAsia="Calibri" w:hAnsi="Times New Roman" w:cs="Times New Roman"/>
                <w:sz w:val="27"/>
                <w:szCs w:val="27"/>
              </w:rPr>
              <w:t>e</w:t>
            </w:r>
            <w:r w:rsidR="00C71687" w:rsidRPr="00A21B66">
              <w:rPr>
                <w:rFonts w:ascii="Times New Roman" w:eastAsia="Calibri" w:hAnsi="Times New Roman" w:cs="Times New Roman"/>
                <w:sz w:val="27"/>
                <w:szCs w:val="27"/>
              </w:rPr>
              <w:t xml:space="preserve"> narcotice, psihotrope (stupefiante), precursori</w:t>
            </w:r>
            <w:r w:rsidR="000E682B">
              <w:rPr>
                <w:rFonts w:ascii="Times New Roman" w:eastAsia="Calibri" w:hAnsi="Times New Roman" w:cs="Times New Roman"/>
                <w:sz w:val="27"/>
                <w:szCs w:val="27"/>
              </w:rPr>
              <w:t>i</w:t>
            </w:r>
            <w:r w:rsidR="00C71687" w:rsidRPr="00A21B66">
              <w:rPr>
                <w:rFonts w:ascii="Times New Roman" w:eastAsia="Calibri" w:hAnsi="Times New Roman" w:cs="Times New Roman"/>
                <w:sz w:val="27"/>
                <w:szCs w:val="27"/>
              </w:rPr>
              <w:t>, etnobotanicel</w:t>
            </w:r>
            <w:r w:rsidR="000E682B">
              <w:rPr>
                <w:rFonts w:ascii="Times New Roman" w:eastAsia="Calibri" w:hAnsi="Times New Roman" w:cs="Times New Roman"/>
                <w:sz w:val="27"/>
                <w:szCs w:val="27"/>
              </w:rPr>
              <w:t>e</w:t>
            </w:r>
            <w:r w:rsidR="00C71687" w:rsidRPr="00A21B66">
              <w:rPr>
                <w:rFonts w:ascii="Times New Roman" w:eastAsia="Calibri" w:hAnsi="Times New Roman" w:cs="Times New Roman"/>
                <w:sz w:val="27"/>
                <w:szCs w:val="27"/>
              </w:rPr>
              <w:t>, analogi</w:t>
            </w:r>
            <w:r w:rsidR="000E682B">
              <w:rPr>
                <w:rFonts w:ascii="Times New Roman" w:eastAsia="Calibri" w:hAnsi="Times New Roman" w:cs="Times New Roman"/>
                <w:sz w:val="27"/>
                <w:szCs w:val="27"/>
              </w:rPr>
              <w:t>i, omologii</w:t>
            </w:r>
            <w:r w:rsidR="00C71687" w:rsidRPr="00A21B66">
              <w:rPr>
                <w:rFonts w:ascii="Times New Roman" w:eastAsia="Calibri" w:hAnsi="Times New Roman" w:cs="Times New Roman"/>
                <w:sz w:val="27"/>
                <w:szCs w:val="27"/>
              </w:rPr>
              <w:t>, derivatel</w:t>
            </w:r>
            <w:r w:rsidR="000E682B">
              <w:rPr>
                <w:rFonts w:ascii="Times New Roman" w:eastAsia="Calibri" w:hAnsi="Times New Roman" w:cs="Times New Roman"/>
                <w:sz w:val="27"/>
                <w:szCs w:val="27"/>
              </w:rPr>
              <w:t>e</w:t>
            </w:r>
            <w:r w:rsidR="00C71687" w:rsidRPr="00A21B66">
              <w:rPr>
                <w:rFonts w:ascii="Times New Roman" w:eastAsia="Calibri" w:hAnsi="Times New Roman" w:cs="Times New Roman"/>
                <w:sz w:val="27"/>
                <w:szCs w:val="27"/>
              </w:rPr>
              <w:t xml:space="preserve"> și a plantel</w:t>
            </w:r>
            <w:r w:rsidR="000E682B">
              <w:rPr>
                <w:rFonts w:ascii="Times New Roman" w:eastAsia="Calibri" w:hAnsi="Times New Roman" w:cs="Times New Roman"/>
                <w:sz w:val="27"/>
                <w:szCs w:val="27"/>
              </w:rPr>
              <w:t>e</w:t>
            </w:r>
            <w:r w:rsidR="00C71687" w:rsidRPr="00A21B66">
              <w:rPr>
                <w:rFonts w:ascii="Times New Roman" w:eastAsia="Calibri" w:hAnsi="Times New Roman" w:cs="Times New Roman"/>
                <w:sz w:val="27"/>
                <w:szCs w:val="27"/>
              </w:rPr>
              <w:t xml:space="preserve"> care conţin astfel de substanţe</w:t>
            </w:r>
            <w:r w:rsidR="00AD69EC">
              <w:rPr>
                <w:rFonts w:ascii="Times New Roman" w:eastAsia="Calibri" w:hAnsi="Times New Roman" w:cs="Times New Roman"/>
                <w:sz w:val="27"/>
                <w:szCs w:val="27"/>
              </w:rPr>
              <w:t>,</w:t>
            </w:r>
            <w:r w:rsidR="00C71687" w:rsidRPr="00A21B66">
              <w:rPr>
                <w:rFonts w:ascii="Times New Roman" w:eastAsia="Calibri" w:hAnsi="Times New Roman" w:cs="Times New Roman"/>
                <w:sz w:val="27"/>
                <w:szCs w:val="27"/>
              </w:rPr>
              <w:t xml:space="preserve"> precum și controlul asupra circulației legale a acestora.</w:t>
            </w:r>
          </w:p>
          <w:p w:rsidR="00F920FE" w:rsidRPr="00A21B66" w:rsidRDefault="00F920FE" w:rsidP="00F920FE">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Relevant este faptul că</w:t>
            </w:r>
            <w:r w:rsidR="00AD69EC">
              <w:rPr>
                <w:rFonts w:ascii="Times New Roman" w:eastAsia="Calibri" w:hAnsi="Times New Roman" w:cs="Times New Roman"/>
                <w:sz w:val="27"/>
                <w:szCs w:val="27"/>
              </w:rPr>
              <w:t>,</w:t>
            </w:r>
            <w:r w:rsidRPr="00A21B66">
              <w:rPr>
                <w:rFonts w:ascii="Times New Roman" w:eastAsia="Calibri" w:hAnsi="Times New Roman" w:cs="Times New Roman"/>
                <w:sz w:val="27"/>
                <w:szCs w:val="27"/>
              </w:rPr>
              <w:t xml:space="preserve"> proiectul respectiv este elaborat în corespundere cu legislaţia în vigoare cu privire la circulaţia substanţelor narcotice, psihotrope şi a precursorilor şi nu impune adoptarea de alte acte normative noi, cu </w:t>
            </w:r>
            <w:r w:rsidR="00A21B66" w:rsidRPr="00A21B66">
              <w:rPr>
                <w:rFonts w:ascii="Times New Roman" w:eastAsia="Calibri" w:hAnsi="Times New Roman" w:cs="Times New Roman"/>
                <w:sz w:val="27"/>
                <w:szCs w:val="27"/>
              </w:rPr>
              <w:t>atât</w:t>
            </w:r>
            <w:r w:rsidRPr="00A21B66">
              <w:rPr>
                <w:rFonts w:ascii="Times New Roman" w:eastAsia="Calibri" w:hAnsi="Times New Roman" w:cs="Times New Roman"/>
                <w:sz w:val="27"/>
                <w:szCs w:val="27"/>
              </w:rPr>
              <w:t xml:space="preserve"> mai mult că, deja prin </w:t>
            </w:r>
            <w:r w:rsidR="00A21B66" w:rsidRPr="00A21B66">
              <w:rPr>
                <w:rFonts w:ascii="Times New Roman" w:eastAsia="Calibri" w:hAnsi="Times New Roman" w:cs="Times New Roman"/>
                <w:sz w:val="27"/>
                <w:szCs w:val="27"/>
              </w:rPr>
              <w:t>Hotărârea</w:t>
            </w:r>
            <w:r w:rsidRPr="00A21B66">
              <w:rPr>
                <w:rFonts w:ascii="Times New Roman" w:eastAsia="Calibri" w:hAnsi="Times New Roman" w:cs="Times New Roman"/>
                <w:sz w:val="27"/>
                <w:szCs w:val="27"/>
              </w:rPr>
              <w:t xml:space="preserve"> </w:t>
            </w:r>
            <w:r w:rsidR="00AD69EC">
              <w:rPr>
                <w:rFonts w:ascii="Times New Roman" w:eastAsia="Calibri" w:hAnsi="Times New Roman" w:cs="Times New Roman"/>
                <w:sz w:val="27"/>
                <w:szCs w:val="27"/>
              </w:rPr>
              <w:t>Guvernului nr.79 din 23.01.2006</w:t>
            </w:r>
            <w:r w:rsidRPr="00A21B66">
              <w:rPr>
                <w:rFonts w:ascii="Times New Roman" w:eastAsia="Calibri" w:hAnsi="Times New Roman" w:cs="Times New Roman"/>
                <w:sz w:val="27"/>
                <w:szCs w:val="27"/>
              </w:rPr>
              <w:t xml:space="preserve"> se aprobă </w:t>
            </w:r>
            <w:r w:rsidR="00A21B66" w:rsidRPr="00A21B66">
              <w:rPr>
                <w:rFonts w:ascii="Times New Roman" w:eastAsia="Calibri" w:hAnsi="Times New Roman" w:cs="Times New Roman"/>
                <w:sz w:val="27"/>
                <w:szCs w:val="27"/>
              </w:rPr>
              <w:t>atât</w:t>
            </w:r>
            <w:r w:rsidRPr="00A21B66">
              <w:rPr>
                <w:rFonts w:ascii="Times New Roman" w:eastAsia="Calibri" w:hAnsi="Times New Roman" w:cs="Times New Roman"/>
                <w:sz w:val="27"/>
                <w:szCs w:val="27"/>
              </w:rPr>
              <w:t xml:space="preserve"> lista substanţelor narcotice, psihotrope şi a plantelor care conţin astfel de substanţe depistate în trafic ilicit, precum şi cantităţile acestora. </w:t>
            </w:r>
            <w:r w:rsidRPr="00A21B66">
              <w:rPr>
                <w:rFonts w:ascii="Times New Roman" w:eastAsia="Calibri" w:hAnsi="Times New Roman" w:cs="Times New Roman"/>
                <w:sz w:val="27"/>
                <w:szCs w:val="27"/>
              </w:rPr>
              <w:tab/>
            </w:r>
          </w:p>
          <w:p w:rsidR="00066C4E" w:rsidRPr="00A21B66" w:rsidRDefault="00066C4E" w:rsidP="00F920FE">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Concomitent, potrivit Hot</w:t>
            </w:r>
            <w:r w:rsidR="001A2DEB" w:rsidRPr="00A21B66">
              <w:rPr>
                <w:rFonts w:ascii="Times New Roman" w:eastAsia="Calibri" w:hAnsi="Times New Roman" w:cs="Times New Roman"/>
                <w:sz w:val="27"/>
                <w:szCs w:val="27"/>
              </w:rPr>
              <w:t xml:space="preserve">ărârii Curții Constituționale nr. 25 din 13 octombrie 2015, </w:t>
            </w:r>
            <w:r w:rsidR="00944146" w:rsidRPr="00A21B66">
              <w:rPr>
                <w:rFonts w:ascii="Times New Roman" w:eastAsia="Calibri" w:hAnsi="Times New Roman" w:cs="Times New Roman"/>
                <w:sz w:val="27"/>
                <w:szCs w:val="27"/>
              </w:rPr>
              <w:t xml:space="preserve">au fost recunoscute constituționale prevederile </w:t>
            </w:r>
            <w:r w:rsidR="00A21B66" w:rsidRPr="00A21B66">
              <w:rPr>
                <w:rFonts w:ascii="Times New Roman" w:eastAsia="Calibri" w:hAnsi="Times New Roman" w:cs="Times New Roman"/>
                <w:sz w:val="27"/>
                <w:szCs w:val="27"/>
              </w:rPr>
              <w:t>Hotărârii</w:t>
            </w:r>
            <w:r w:rsidR="00944146" w:rsidRPr="00A21B66">
              <w:rPr>
                <w:rFonts w:ascii="Times New Roman" w:eastAsia="Calibri" w:hAnsi="Times New Roman" w:cs="Times New Roman"/>
                <w:sz w:val="27"/>
                <w:szCs w:val="27"/>
              </w:rPr>
              <w:t xml:space="preserve"> Guvernului nr.79 din 23.01.2006. </w:t>
            </w:r>
          </w:p>
          <w:p w:rsidR="00A03E23" w:rsidRPr="00A21B66" w:rsidRDefault="007B4010" w:rsidP="00F920FE">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Implicit</w:t>
            </w:r>
            <w:r w:rsidR="00A03E23" w:rsidRPr="00A21B66">
              <w:rPr>
                <w:rFonts w:ascii="Times New Roman" w:eastAsia="Calibri" w:hAnsi="Times New Roman" w:cs="Times New Roman"/>
                <w:sz w:val="27"/>
                <w:szCs w:val="27"/>
              </w:rPr>
              <w:t xml:space="preserve">, </w:t>
            </w:r>
            <w:r w:rsidRPr="00A21B66">
              <w:rPr>
                <w:rFonts w:ascii="Times New Roman" w:eastAsia="Calibri" w:hAnsi="Times New Roman" w:cs="Times New Roman"/>
                <w:sz w:val="27"/>
                <w:szCs w:val="27"/>
              </w:rPr>
              <w:t xml:space="preserve">amendamentele propuse </w:t>
            </w:r>
            <w:r w:rsidR="0089299A" w:rsidRPr="00A21B66">
              <w:rPr>
                <w:rFonts w:ascii="Times New Roman" w:eastAsia="Calibri" w:hAnsi="Times New Roman" w:cs="Times New Roman"/>
                <w:sz w:val="27"/>
                <w:szCs w:val="27"/>
              </w:rPr>
              <w:t xml:space="preserve">au fost elaborate în temeiul Adresei Curții </w:t>
            </w:r>
            <w:r w:rsidR="00E40F50" w:rsidRPr="00A21B66">
              <w:rPr>
                <w:rFonts w:ascii="Times New Roman" w:eastAsia="Calibri" w:hAnsi="Times New Roman" w:cs="Times New Roman"/>
                <w:sz w:val="27"/>
                <w:szCs w:val="27"/>
              </w:rPr>
              <w:t>Constituționale</w:t>
            </w:r>
            <w:r w:rsidR="0089299A" w:rsidRPr="00A21B66">
              <w:rPr>
                <w:rFonts w:ascii="Times New Roman" w:eastAsia="Calibri" w:hAnsi="Times New Roman" w:cs="Times New Roman"/>
                <w:sz w:val="27"/>
                <w:szCs w:val="27"/>
              </w:rPr>
              <w:t xml:space="preserve"> nr.PCC-01/30a din 13 octombrie 2015 pentru excluderea interpretărilor eronate ale</w:t>
            </w:r>
            <w:r w:rsidR="00E40F50" w:rsidRPr="00A21B66">
              <w:rPr>
                <w:rFonts w:ascii="Times New Roman" w:eastAsia="Calibri" w:hAnsi="Times New Roman" w:cs="Times New Roman"/>
                <w:sz w:val="27"/>
                <w:szCs w:val="27"/>
              </w:rPr>
              <w:t xml:space="preserve"> actelor legislative care reglementează acest segment.</w:t>
            </w:r>
            <w:r w:rsidRPr="00A21B66">
              <w:rPr>
                <w:rFonts w:ascii="Times New Roman" w:eastAsia="Calibri" w:hAnsi="Times New Roman" w:cs="Times New Roman"/>
                <w:sz w:val="27"/>
                <w:szCs w:val="27"/>
              </w:rPr>
              <w:t xml:space="preserve"> </w:t>
            </w:r>
          </w:p>
          <w:p w:rsidR="00F920FE" w:rsidRPr="00A21B66" w:rsidRDefault="00F920FE" w:rsidP="00F920FE">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Astfel, este necesar de modificat și com</w:t>
            </w:r>
            <w:r w:rsidR="00AD69EC">
              <w:rPr>
                <w:rFonts w:ascii="Times New Roman" w:eastAsia="Calibri" w:hAnsi="Times New Roman" w:cs="Times New Roman"/>
                <w:sz w:val="27"/>
                <w:szCs w:val="27"/>
              </w:rPr>
              <w:t>pletat titlul și textul Legii  n</w:t>
            </w:r>
            <w:r w:rsidRPr="00A21B66">
              <w:rPr>
                <w:rFonts w:ascii="Times New Roman" w:eastAsia="Calibri" w:hAnsi="Times New Roman" w:cs="Times New Roman"/>
                <w:sz w:val="27"/>
                <w:szCs w:val="27"/>
              </w:rPr>
              <w:t>r. 382 din  06.05.1999 cu privire la circulaţia substanţelor narcotice, psihotrope şi a precursorilor, introducerea în art. (1) a noțiunilor necesare definirii substanțelor noi apărute</w:t>
            </w:r>
            <w:r w:rsidR="00AD69EC">
              <w:rPr>
                <w:rFonts w:ascii="Times New Roman" w:eastAsia="Calibri" w:hAnsi="Times New Roman" w:cs="Times New Roman"/>
                <w:sz w:val="27"/>
                <w:szCs w:val="27"/>
              </w:rPr>
              <w:t>,</w:t>
            </w:r>
            <w:r w:rsidRPr="00A21B66">
              <w:rPr>
                <w:rFonts w:ascii="Times New Roman" w:eastAsia="Calibri" w:hAnsi="Times New Roman" w:cs="Times New Roman"/>
                <w:sz w:val="27"/>
                <w:szCs w:val="27"/>
              </w:rPr>
              <w:t xml:space="preserve"> precum și introducerea unui articol suplimentar cu indicarea expresă a competenţei pentru subdiviziunea specializată a MAI la exercitarea controlului asupra cerințelor tehnice față de încăperile și obiectivele în care se păstrează substanţele narcotice, psihotrope (stupefiante), precursori, etnobotanice, analogi, omologi, derivate și a plantelor care conţin astfel de substanţe, precum și la exercitarea controlului asupra circulației legale a substanţelor narcotice, psihotrope (stupefiante), precursorilor, etnobotanicelor, analogilor, omologilor, derivatelor și a plantelor care conţin astfel de substanţe, în condiţiile </w:t>
            </w:r>
            <w:r w:rsidRPr="00A21B66">
              <w:rPr>
                <w:rFonts w:ascii="Times New Roman" w:eastAsia="Calibri" w:hAnsi="Times New Roman" w:cs="Times New Roman"/>
                <w:sz w:val="27"/>
                <w:szCs w:val="27"/>
              </w:rPr>
              <w:lastRenderedPageBreak/>
              <w:t xml:space="preserve">prevăzute de legislaţie.  </w:t>
            </w:r>
          </w:p>
          <w:p w:rsidR="00F920FE" w:rsidRPr="00A21B66" w:rsidRDefault="00F920FE" w:rsidP="00F920FE">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Totodată, apare necesitatea modificării art. 134</w:t>
            </w:r>
            <w:r w:rsidRPr="00A21B66">
              <w:rPr>
                <w:rFonts w:ascii="Times New Roman" w:eastAsia="Calibri" w:hAnsi="Times New Roman" w:cs="Times New Roman"/>
                <w:sz w:val="27"/>
                <w:szCs w:val="27"/>
                <w:vertAlign w:val="superscript"/>
              </w:rPr>
              <w:t>1</w:t>
            </w:r>
            <w:r w:rsidRPr="00A21B66">
              <w:rPr>
                <w:rFonts w:ascii="Times New Roman" w:eastAsia="Calibri" w:hAnsi="Times New Roman" w:cs="Times New Roman"/>
                <w:sz w:val="27"/>
                <w:szCs w:val="27"/>
              </w:rPr>
              <w:t xml:space="preserve"> din Codul penal, cu </w:t>
            </w:r>
            <w:r w:rsidR="00912BED" w:rsidRPr="00A21B66">
              <w:rPr>
                <w:rFonts w:ascii="Times New Roman" w:eastAsia="Calibri" w:hAnsi="Times New Roman" w:cs="Times New Roman"/>
                <w:sz w:val="27"/>
                <w:szCs w:val="27"/>
              </w:rPr>
              <w:t>introducerea</w:t>
            </w:r>
            <w:r w:rsidRPr="00A21B66">
              <w:rPr>
                <w:rFonts w:ascii="Times New Roman" w:eastAsia="Calibri" w:hAnsi="Times New Roman" w:cs="Times New Roman"/>
                <w:sz w:val="27"/>
                <w:szCs w:val="27"/>
              </w:rPr>
              <w:t xml:space="preserve"> noțiunilor ce definesc substanțele noi, art. art. 134</w:t>
            </w:r>
            <w:r w:rsidRPr="00A21B66">
              <w:rPr>
                <w:rFonts w:ascii="Times New Roman" w:eastAsia="Calibri" w:hAnsi="Times New Roman" w:cs="Times New Roman"/>
                <w:sz w:val="27"/>
                <w:szCs w:val="27"/>
                <w:vertAlign w:val="superscript"/>
              </w:rPr>
              <w:t>12</w:t>
            </w:r>
            <w:r w:rsidRPr="00A21B66">
              <w:rPr>
                <w:rFonts w:ascii="Times New Roman" w:eastAsia="Calibri" w:hAnsi="Times New Roman" w:cs="Times New Roman"/>
                <w:sz w:val="27"/>
                <w:szCs w:val="27"/>
              </w:rPr>
              <w:t>, 209, 217, 217</w:t>
            </w:r>
            <w:r w:rsidRPr="00A21B66">
              <w:rPr>
                <w:rFonts w:ascii="Times New Roman" w:eastAsia="Calibri" w:hAnsi="Times New Roman" w:cs="Times New Roman"/>
                <w:sz w:val="27"/>
                <w:szCs w:val="27"/>
                <w:vertAlign w:val="superscript"/>
              </w:rPr>
              <w:t>1</w:t>
            </w:r>
            <w:r w:rsidRPr="00A21B66">
              <w:rPr>
                <w:rFonts w:ascii="Times New Roman" w:eastAsia="Calibri" w:hAnsi="Times New Roman" w:cs="Times New Roman"/>
                <w:sz w:val="27"/>
                <w:szCs w:val="27"/>
              </w:rPr>
              <w:t>, 217</w:t>
            </w:r>
            <w:r w:rsidRPr="00A21B66">
              <w:rPr>
                <w:rFonts w:ascii="Times New Roman" w:eastAsia="Calibri" w:hAnsi="Times New Roman" w:cs="Times New Roman"/>
                <w:sz w:val="27"/>
                <w:szCs w:val="27"/>
                <w:vertAlign w:val="superscript"/>
              </w:rPr>
              <w:t>2</w:t>
            </w:r>
            <w:r w:rsidRPr="00A21B66">
              <w:rPr>
                <w:rFonts w:ascii="Times New Roman" w:eastAsia="Calibri" w:hAnsi="Times New Roman" w:cs="Times New Roman"/>
                <w:sz w:val="27"/>
                <w:szCs w:val="27"/>
              </w:rPr>
              <w:t>, 217</w:t>
            </w:r>
            <w:r w:rsidRPr="00A21B66">
              <w:rPr>
                <w:rFonts w:ascii="Times New Roman" w:eastAsia="Calibri" w:hAnsi="Times New Roman" w:cs="Times New Roman"/>
                <w:sz w:val="27"/>
                <w:szCs w:val="27"/>
                <w:vertAlign w:val="superscript"/>
              </w:rPr>
              <w:t>3</w:t>
            </w:r>
            <w:r w:rsidRPr="00A21B66">
              <w:rPr>
                <w:rFonts w:ascii="Times New Roman" w:eastAsia="Calibri" w:hAnsi="Times New Roman" w:cs="Times New Roman"/>
                <w:sz w:val="27"/>
                <w:szCs w:val="27"/>
              </w:rPr>
              <w:t>, 217</w:t>
            </w:r>
            <w:r w:rsidRPr="00A21B66">
              <w:rPr>
                <w:rFonts w:ascii="Times New Roman" w:eastAsia="Calibri" w:hAnsi="Times New Roman" w:cs="Times New Roman"/>
                <w:sz w:val="27"/>
                <w:szCs w:val="27"/>
                <w:vertAlign w:val="superscript"/>
              </w:rPr>
              <w:t>4</w:t>
            </w:r>
            <w:r w:rsidRPr="00A21B66">
              <w:rPr>
                <w:rFonts w:ascii="Times New Roman" w:eastAsia="Calibri" w:hAnsi="Times New Roman" w:cs="Times New Roman"/>
                <w:sz w:val="27"/>
                <w:szCs w:val="27"/>
              </w:rPr>
              <w:t>, 217</w:t>
            </w:r>
            <w:r w:rsidRPr="00A21B66">
              <w:rPr>
                <w:rFonts w:ascii="Times New Roman" w:eastAsia="Calibri" w:hAnsi="Times New Roman" w:cs="Times New Roman"/>
                <w:sz w:val="27"/>
                <w:szCs w:val="27"/>
                <w:vertAlign w:val="superscript"/>
              </w:rPr>
              <w:t>5</w:t>
            </w:r>
            <w:r w:rsidRPr="00A21B66">
              <w:rPr>
                <w:rFonts w:ascii="Times New Roman" w:eastAsia="Calibri" w:hAnsi="Times New Roman" w:cs="Times New Roman"/>
                <w:sz w:val="27"/>
                <w:szCs w:val="27"/>
              </w:rPr>
              <w:t>, 217</w:t>
            </w:r>
            <w:r w:rsidRPr="00A21B66">
              <w:rPr>
                <w:rFonts w:ascii="Times New Roman" w:eastAsia="Calibri" w:hAnsi="Times New Roman" w:cs="Times New Roman"/>
                <w:sz w:val="27"/>
                <w:szCs w:val="27"/>
                <w:vertAlign w:val="superscript"/>
              </w:rPr>
              <w:t>6</w:t>
            </w:r>
            <w:r w:rsidRPr="00A21B66">
              <w:rPr>
                <w:rFonts w:ascii="Times New Roman" w:eastAsia="Calibri" w:hAnsi="Times New Roman" w:cs="Times New Roman"/>
                <w:sz w:val="27"/>
                <w:szCs w:val="27"/>
              </w:rPr>
              <w:t>, 218, 219, art. 248 alin. (2), art.  264</w:t>
            </w:r>
            <w:r w:rsidRPr="00A21B66">
              <w:rPr>
                <w:rFonts w:ascii="Times New Roman" w:eastAsia="Calibri" w:hAnsi="Times New Roman" w:cs="Times New Roman"/>
                <w:sz w:val="27"/>
                <w:szCs w:val="27"/>
                <w:vertAlign w:val="superscript"/>
              </w:rPr>
              <w:t>1</w:t>
            </w:r>
            <w:r w:rsidRPr="00A21B66">
              <w:rPr>
                <w:rFonts w:ascii="Times New Roman" w:eastAsia="Calibri" w:hAnsi="Times New Roman" w:cs="Times New Roman"/>
                <w:sz w:val="27"/>
                <w:szCs w:val="27"/>
              </w:rPr>
              <w:t xml:space="preserve"> alin. (1), (2)  </w:t>
            </w:r>
            <w:r w:rsidR="002920C7" w:rsidRPr="00A21B66">
              <w:rPr>
                <w:rFonts w:ascii="Times New Roman" w:eastAsia="Calibri" w:hAnsi="Times New Roman" w:cs="Times New Roman"/>
                <w:sz w:val="27"/>
                <w:szCs w:val="27"/>
              </w:rPr>
              <w:t>din Codul penal</w:t>
            </w:r>
            <w:r w:rsidRPr="00A21B66">
              <w:rPr>
                <w:rFonts w:ascii="Times New Roman" w:eastAsia="Calibri" w:hAnsi="Times New Roman" w:cs="Times New Roman"/>
                <w:sz w:val="27"/>
                <w:szCs w:val="27"/>
              </w:rPr>
              <w:t xml:space="preserve"> precum</w:t>
            </w:r>
            <w:r w:rsidR="002920C7" w:rsidRPr="00A21B66">
              <w:rPr>
                <w:rFonts w:ascii="Times New Roman" w:eastAsia="Calibri" w:hAnsi="Times New Roman" w:cs="Times New Roman"/>
                <w:sz w:val="27"/>
                <w:szCs w:val="27"/>
              </w:rPr>
              <w:t xml:space="preserve"> și art. art. 85-87, 233 și 277</w:t>
            </w:r>
            <w:r w:rsidR="002920C7" w:rsidRPr="00A21B66">
              <w:rPr>
                <w:rFonts w:ascii="Times New Roman" w:eastAsia="Calibri" w:hAnsi="Times New Roman" w:cs="Times New Roman"/>
                <w:sz w:val="27"/>
                <w:szCs w:val="27"/>
                <w:vertAlign w:val="superscript"/>
              </w:rPr>
              <w:t>1</w:t>
            </w:r>
            <w:r w:rsidRPr="00A21B66">
              <w:rPr>
                <w:rFonts w:ascii="Times New Roman" w:eastAsia="Calibri" w:hAnsi="Times New Roman" w:cs="Times New Roman"/>
                <w:sz w:val="27"/>
                <w:szCs w:val="27"/>
              </w:rPr>
              <w:t xml:space="preserve"> </w:t>
            </w:r>
            <w:r w:rsidR="002920C7" w:rsidRPr="00A21B66">
              <w:rPr>
                <w:rFonts w:ascii="Times New Roman" w:eastAsia="Calibri" w:hAnsi="Times New Roman" w:cs="Times New Roman"/>
                <w:sz w:val="27"/>
                <w:szCs w:val="27"/>
              </w:rPr>
              <w:t>din Codul contravențional</w:t>
            </w:r>
            <w:r w:rsidRPr="00A21B66">
              <w:rPr>
                <w:rFonts w:ascii="Times New Roman" w:eastAsia="Calibri" w:hAnsi="Times New Roman" w:cs="Times New Roman"/>
                <w:sz w:val="27"/>
                <w:szCs w:val="27"/>
              </w:rPr>
              <w:t>.</w:t>
            </w:r>
          </w:p>
          <w:p w:rsidR="00F019EB" w:rsidRPr="00A21B66" w:rsidRDefault="00F019EB" w:rsidP="00254485">
            <w:pPr>
              <w:autoSpaceDE w:val="0"/>
              <w:autoSpaceDN w:val="0"/>
              <w:adjustRightInd w:val="0"/>
              <w:spacing w:after="0" w:line="240" w:lineRule="auto"/>
              <w:ind w:firstLine="612"/>
              <w:jc w:val="both"/>
              <w:rPr>
                <w:rFonts w:ascii="Times New Roman" w:eastAsia="Calibri" w:hAnsi="Times New Roman" w:cs="Times New Roman"/>
                <w:sz w:val="27"/>
                <w:szCs w:val="27"/>
              </w:rPr>
            </w:pPr>
          </w:p>
        </w:tc>
      </w:tr>
      <w:tr w:rsidR="00451952" w:rsidRPr="00A21B66" w:rsidTr="0075483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451952" w:rsidRPr="00A21B66" w:rsidRDefault="0075483F" w:rsidP="0075483F">
            <w:pPr>
              <w:tabs>
                <w:tab w:val="left" w:pos="1410"/>
                <w:tab w:val="center" w:pos="5166"/>
              </w:tabs>
              <w:autoSpaceDE w:val="0"/>
              <w:autoSpaceDN w:val="0"/>
              <w:adjustRightInd w:val="0"/>
              <w:spacing w:after="0" w:line="240" w:lineRule="auto"/>
              <w:ind w:firstLine="612"/>
              <w:jc w:val="left"/>
              <w:rPr>
                <w:rFonts w:ascii="Times New Roman" w:eastAsia="Calibri" w:hAnsi="Times New Roman" w:cs="Times New Roman"/>
                <w:b/>
                <w:color w:val="FF0000"/>
                <w:sz w:val="27"/>
                <w:szCs w:val="27"/>
                <w:highlight w:val="darkGray"/>
              </w:rPr>
            </w:pPr>
            <w:r w:rsidRPr="00A21B66">
              <w:rPr>
                <w:rFonts w:ascii="Times New Roman" w:eastAsia="Calibri" w:hAnsi="Times New Roman" w:cs="Times New Roman"/>
                <w:b/>
                <w:sz w:val="27"/>
                <w:szCs w:val="27"/>
              </w:rPr>
              <w:lastRenderedPageBreak/>
              <w:tab/>
            </w:r>
            <w:r w:rsidRPr="00A21B66">
              <w:rPr>
                <w:rFonts w:ascii="Times New Roman" w:eastAsia="Calibri" w:hAnsi="Times New Roman" w:cs="Times New Roman"/>
                <w:b/>
                <w:sz w:val="27"/>
                <w:szCs w:val="27"/>
              </w:rPr>
              <w:tab/>
            </w:r>
            <w:r w:rsidR="00451952" w:rsidRPr="00A21B66">
              <w:rPr>
                <w:rFonts w:ascii="Times New Roman" w:eastAsia="Calibri" w:hAnsi="Times New Roman" w:cs="Times New Roman"/>
                <w:b/>
                <w:sz w:val="27"/>
                <w:szCs w:val="27"/>
              </w:rPr>
              <w:t>5. Scopul și obiectivele proiectului</w:t>
            </w:r>
          </w:p>
        </w:tc>
      </w:tr>
      <w:tr w:rsidR="0075483F" w:rsidRPr="00A21B66" w:rsidTr="0075483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75483F" w:rsidRPr="00A21B66" w:rsidRDefault="0075483F" w:rsidP="0075483F">
            <w:pPr>
              <w:tabs>
                <w:tab w:val="left" w:pos="1410"/>
                <w:tab w:val="center" w:pos="5166"/>
              </w:tabs>
              <w:autoSpaceDE w:val="0"/>
              <w:autoSpaceDN w:val="0"/>
              <w:adjustRightInd w:val="0"/>
              <w:spacing w:after="0" w:line="240" w:lineRule="auto"/>
              <w:ind w:firstLine="612"/>
              <w:jc w:val="both"/>
              <w:rPr>
                <w:rFonts w:ascii="Times New Roman" w:hAnsi="Times New Roman" w:cs="Times New Roman"/>
                <w:sz w:val="27"/>
                <w:szCs w:val="27"/>
              </w:rPr>
            </w:pPr>
            <w:r w:rsidRPr="00A21B66">
              <w:rPr>
                <w:rFonts w:ascii="Times New Roman" w:eastAsia="Calibri" w:hAnsi="Times New Roman" w:cs="Times New Roman"/>
                <w:sz w:val="27"/>
                <w:szCs w:val="27"/>
              </w:rPr>
              <w:t xml:space="preserve">Proiectul prenotat are ca scop </w:t>
            </w:r>
            <w:r w:rsidRPr="00A21B66">
              <w:rPr>
                <w:rFonts w:ascii="Times New Roman" w:eastAsia="Calibri" w:hAnsi="Times New Roman" w:cs="Times New Roman"/>
                <w:sz w:val="27"/>
                <w:szCs w:val="27"/>
                <w:lang w:eastAsia="ru-RU"/>
              </w:rPr>
              <w:t xml:space="preserve">prevenirea și curmarea infracțiunilor la capitolul vizat, precum și </w:t>
            </w:r>
            <w:r w:rsidRPr="00A21B66">
              <w:rPr>
                <w:rFonts w:ascii="Times New Roman" w:eastAsia="Calibri" w:hAnsi="Times New Roman" w:cs="Times New Roman"/>
                <w:sz w:val="27"/>
                <w:szCs w:val="27"/>
              </w:rPr>
              <w:t xml:space="preserve">supravegherea, controlul şi neadmiterea în circuitul ilegal a </w:t>
            </w:r>
            <w:r w:rsidRPr="00A21B66">
              <w:rPr>
                <w:rStyle w:val="docheader1"/>
                <w:rFonts w:eastAsia="Calibri"/>
                <w:b w:val="0"/>
                <w:sz w:val="27"/>
                <w:szCs w:val="27"/>
              </w:rPr>
              <w:t xml:space="preserve">substanţelor narcotice, psihotrope (stupefiante), precursorilor, etnobotanicelor, analogilor, omologilor, derivatelor și a plantelor care conţin astfel de substanţe, </w:t>
            </w:r>
            <w:r w:rsidRPr="00A21B66">
              <w:rPr>
                <w:rFonts w:ascii="Times New Roman" w:eastAsia="Calibri" w:hAnsi="Times New Roman" w:cs="Times New Roman"/>
                <w:sz w:val="27"/>
                <w:szCs w:val="27"/>
              </w:rPr>
              <w:t xml:space="preserve">împuternicirea Guvernului pentru stabilirea cantităţilor mici, mari şi deosebit de mari </w:t>
            </w:r>
            <w:r w:rsidRPr="00A21B66">
              <w:rPr>
                <w:rFonts w:ascii="Times New Roman" w:eastAsia="Calibri" w:hAnsi="Times New Roman" w:cs="Times New Roman"/>
                <w:color w:val="000000"/>
                <w:sz w:val="27"/>
                <w:szCs w:val="27"/>
              </w:rPr>
              <w:t>ale substanțelor indicate</w:t>
            </w:r>
            <w:r w:rsidR="00AD69EC">
              <w:rPr>
                <w:rFonts w:ascii="Times New Roman" w:eastAsia="Calibri" w:hAnsi="Times New Roman" w:cs="Times New Roman"/>
                <w:color w:val="000000"/>
                <w:sz w:val="27"/>
                <w:szCs w:val="27"/>
              </w:rPr>
              <w:t>,</w:t>
            </w:r>
            <w:r w:rsidRPr="00A21B66">
              <w:rPr>
                <w:rFonts w:ascii="Times New Roman" w:eastAsia="Calibri" w:hAnsi="Times New Roman" w:cs="Times New Roman"/>
                <w:color w:val="000000"/>
                <w:sz w:val="27"/>
                <w:szCs w:val="27"/>
              </w:rPr>
              <w:t xml:space="preserve"> precum și</w:t>
            </w:r>
            <w:r w:rsidRPr="00A21B66">
              <w:rPr>
                <w:rStyle w:val="docheader1"/>
                <w:rFonts w:eastAsia="Calibri"/>
                <w:b w:val="0"/>
                <w:sz w:val="27"/>
                <w:szCs w:val="27"/>
              </w:rPr>
              <w:t xml:space="preserve"> instituirea competenţei pentru subdiviziunea specializată a MAI la exercitarea controlului </w:t>
            </w:r>
            <w:r w:rsidRPr="00A21B66">
              <w:rPr>
                <w:rFonts w:ascii="Times New Roman" w:eastAsia="Calibri" w:hAnsi="Times New Roman" w:cs="Times New Roman"/>
                <w:sz w:val="27"/>
                <w:szCs w:val="27"/>
              </w:rPr>
              <w:t xml:space="preserve">preventiv, planificat și/sau </w:t>
            </w:r>
            <w:r w:rsidR="00CA2811" w:rsidRPr="00A21B66">
              <w:rPr>
                <w:rFonts w:ascii="Times New Roman" w:hAnsi="Times New Roman" w:cs="Times New Roman"/>
                <w:sz w:val="27"/>
                <w:szCs w:val="27"/>
              </w:rPr>
              <w:t>inopinat</w:t>
            </w:r>
            <w:r w:rsidRPr="00A21B66">
              <w:rPr>
                <w:rFonts w:ascii="Times New Roman" w:eastAsia="Calibri" w:hAnsi="Times New Roman" w:cs="Times New Roman"/>
                <w:sz w:val="27"/>
                <w:szCs w:val="27"/>
              </w:rPr>
              <w:t xml:space="preserve"> </w:t>
            </w:r>
            <w:r w:rsidRPr="00A21B66">
              <w:rPr>
                <w:rStyle w:val="docheader1"/>
                <w:rFonts w:eastAsia="Calibri"/>
                <w:b w:val="0"/>
                <w:sz w:val="27"/>
                <w:szCs w:val="27"/>
              </w:rPr>
              <w:t>asupra cerințelor tehnice față de încăperile și obiectivele în care se păstrează substanțele menționate și la exercitarea controlului asupra circulației legale a substanţelor narcotice, psihotrope (stupefiante), precursorilor, etnobotanicelor, analogilor, omologilor, derivatelor și a plantelor care conţin astfel de substanţe</w:t>
            </w:r>
            <w:r w:rsidRPr="00A21B66">
              <w:rPr>
                <w:rFonts w:ascii="Times New Roman" w:eastAsia="Calibri" w:hAnsi="Times New Roman" w:cs="Times New Roman"/>
                <w:sz w:val="27"/>
                <w:szCs w:val="27"/>
              </w:rPr>
              <w:t>, în condiţiile prevăzute de legislaţie.</w:t>
            </w:r>
          </w:p>
          <w:p w:rsidR="0073609F" w:rsidRPr="00A21B66" w:rsidRDefault="00CF4340" w:rsidP="0073609F">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În rezultatul adoptării</w:t>
            </w:r>
            <w:r w:rsidR="0073609F" w:rsidRPr="00A21B66">
              <w:rPr>
                <w:rFonts w:ascii="Times New Roman" w:eastAsia="Calibri" w:hAnsi="Times New Roman" w:cs="Times New Roman"/>
                <w:sz w:val="27"/>
                <w:szCs w:val="27"/>
              </w:rPr>
              <w:t xml:space="preserve"> modificărilor propuse, Guvernul va fi a</w:t>
            </w:r>
            <w:r w:rsidRPr="00A21B66">
              <w:rPr>
                <w:rFonts w:ascii="Times New Roman" w:eastAsia="Calibri" w:hAnsi="Times New Roman" w:cs="Times New Roman"/>
                <w:sz w:val="27"/>
                <w:szCs w:val="27"/>
              </w:rPr>
              <w:t>u</w:t>
            </w:r>
            <w:r w:rsidR="0073609F" w:rsidRPr="00A21B66">
              <w:rPr>
                <w:rFonts w:ascii="Times New Roman" w:eastAsia="Calibri" w:hAnsi="Times New Roman" w:cs="Times New Roman"/>
                <w:sz w:val="27"/>
                <w:szCs w:val="27"/>
              </w:rPr>
              <w:t xml:space="preserve">toritatea competentă în partea ce ţine de stabilirea şi aprobarea cantităţilor mici, mari şi deosebit de mari ale substanţelor narcotice, psihotrope (stupefiante), precursorilor, etnobotanicelor, analogilor, omologilor, derivatelor și a plantelor care conţin astfel de substanţe. </w:t>
            </w:r>
          </w:p>
          <w:p w:rsidR="0073609F" w:rsidRPr="00A21B66" w:rsidRDefault="0073609F" w:rsidP="0073609F">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De asemenea, subdiviziunea specializată a MAI va avea competența de a exercita controlul preventiv, planificat și/sau </w:t>
            </w:r>
            <w:r w:rsidR="00CF4340" w:rsidRPr="00A21B66">
              <w:rPr>
                <w:rFonts w:ascii="Times New Roman" w:eastAsia="Calibri" w:hAnsi="Times New Roman" w:cs="Times New Roman"/>
                <w:sz w:val="27"/>
                <w:szCs w:val="27"/>
              </w:rPr>
              <w:t>inopinat</w:t>
            </w:r>
            <w:r w:rsidRPr="00A21B66">
              <w:rPr>
                <w:rFonts w:ascii="Times New Roman" w:eastAsia="Calibri" w:hAnsi="Times New Roman" w:cs="Times New Roman"/>
                <w:sz w:val="27"/>
                <w:szCs w:val="27"/>
              </w:rPr>
              <w:t xml:space="preserve"> asupra</w:t>
            </w:r>
            <w:r w:rsidR="00A10C7E">
              <w:rPr>
                <w:rFonts w:ascii="Times New Roman" w:eastAsia="Calibri" w:hAnsi="Times New Roman" w:cs="Times New Roman"/>
                <w:sz w:val="27"/>
                <w:szCs w:val="27"/>
              </w:rPr>
              <w:t xml:space="preserve"> respectării</w:t>
            </w:r>
            <w:r w:rsidRPr="00A21B66">
              <w:rPr>
                <w:rFonts w:ascii="Times New Roman" w:eastAsia="Calibri" w:hAnsi="Times New Roman" w:cs="Times New Roman"/>
                <w:sz w:val="27"/>
                <w:szCs w:val="27"/>
              </w:rPr>
              <w:t xml:space="preserve"> cerințelor tehnice față de încăperile și obiectivele în care se păstrează substanţelor narcotice, psihotrope (stupefiante), precursorilor, etnobotanicelor, analogilor, omologilor, derivatelor și a plantelor care conţin astfel de substanţe, precum și la exercitarea controlului asupra circulației legale a substanţelor narcotice, psihotrope (stupefiante), precursorilor, etnobotanicelor, analogilor, omologilor, derivatelor și a plantelor care conţin astfel de substanţe, în condiţiile prevăzute de legislaţie.</w:t>
            </w:r>
          </w:p>
        </w:tc>
      </w:tr>
      <w:tr w:rsidR="00B51A70" w:rsidRPr="00A21B66" w:rsidTr="00B51A7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B51A70" w:rsidRPr="00A21B66" w:rsidRDefault="00B51A70" w:rsidP="00B51A70">
            <w:pPr>
              <w:tabs>
                <w:tab w:val="left" w:pos="1410"/>
                <w:tab w:val="center" w:pos="5166"/>
              </w:tabs>
              <w:autoSpaceDE w:val="0"/>
              <w:autoSpaceDN w:val="0"/>
              <w:adjustRightInd w:val="0"/>
              <w:spacing w:after="0" w:line="240" w:lineRule="auto"/>
              <w:ind w:firstLine="612"/>
              <w:rPr>
                <w:rFonts w:ascii="Times New Roman" w:eastAsia="Calibri" w:hAnsi="Times New Roman" w:cs="Times New Roman"/>
                <w:b/>
                <w:sz w:val="27"/>
                <w:szCs w:val="27"/>
              </w:rPr>
            </w:pPr>
            <w:r w:rsidRPr="00A21B66">
              <w:rPr>
                <w:rFonts w:ascii="Times New Roman" w:eastAsia="Calibri" w:hAnsi="Times New Roman" w:cs="Times New Roman"/>
                <w:b/>
                <w:sz w:val="27"/>
                <w:szCs w:val="27"/>
              </w:rPr>
              <w:t>6. Elementele novatorii ale proiectului și rezultatele scontate</w:t>
            </w:r>
          </w:p>
        </w:tc>
      </w:tr>
      <w:tr w:rsidR="00B51A70" w:rsidRPr="00A21B66" w:rsidTr="00B51A70">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B51A70" w:rsidRPr="00A21B66" w:rsidRDefault="00436F96" w:rsidP="00B51A70">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Amendamentele operate vor contribui la un control mai eficient la compartimentul ce vizează reducerea ofertei de droguri și prin urmare, va spori eficacitatea organelor de drept în combaterea circuitului ilicit de droguri pe teritoriul ţării, totodată vor împuternici Guvernul cu stabilirea cantităţilor mici, mari şi deosebit de mari ale substanţelor narcotice, psihotrope (stupefiante), precursorilor, etnobotanicelor, analogilor, omologilor, derivatelor și a plantelor care conţin astfel de substanţe.</w:t>
            </w:r>
          </w:p>
          <w:p w:rsidR="00742DE0" w:rsidRPr="00A21B66" w:rsidRDefault="00742DE0" w:rsidP="00742DE0">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Proiectul </w:t>
            </w:r>
            <w:r w:rsidR="00B76DE9" w:rsidRPr="00A21B66">
              <w:rPr>
                <w:rFonts w:ascii="Times New Roman" w:eastAsia="Calibri" w:hAnsi="Times New Roman" w:cs="Times New Roman"/>
                <w:sz w:val="27"/>
                <w:szCs w:val="27"/>
              </w:rPr>
              <w:t>va avea</w:t>
            </w:r>
            <w:r w:rsidRPr="00A21B66">
              <w:rPr>
                <w:rFonts w:ascii="Times New Roman" w:eastAsia="Calibri" w:hAnsi="Times New Roman" w:cs="Times New Roman"/>
                <w:sz w:val="27"/>
                <w:szCs w:val="27"/>
              </w:rPr>
              <w:t xml:space="preserve"> impact asupra prevenirii şi combaterii criminalităţii în domeniul substanţelor narcotice, psihotrope (stupefiante), precursorilor, etnobotanicelor, analogilor, omologilor, derivatelor și a plantelor care conţin astfel de substanţe, precum şi tragerea la răspundere a celor vinovaţi. Această răspundere se determină în dependenţă de cantitatea substanţelor, care urmează a fi stabilită de Guvern ca fiind mică, mare sau deosebit de mare, în dependenţă de pericolul ce îl prezintă cantitatea specificată asupra sănătăţii persoanelor.</w:t>
            </w:r>
          </w:p>
          <w:p w:rsidR="00742DE0" w:rsidRPr="00A21B66" w:rsidRDefault="00742DE0" w:rsidP="00742DE0">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Totodată, proiectul în cauză are impact asupra prevenirii apariției noilor substanțe pe teritoriul țării, precum şi stabilirea cu atragerea la răspundere a persoanelor implicate în astfel de activități.  </w:t>
            </w:r>
          </w:p>
          <w:p w:rsidR="00742DE0" w:rsidRPr="00A21B66" w:rsidRDefault="00742DE0" w:rsidP="00742DE0">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Mai mult, </w:t>
            </w:r>
            <w:r w:rsidR="00B76DE9" w:rsidRPr="00A21B66">
              <w:rPr>
                <w:rFonts w:ascii="Times New Roman" w:eastAsia="Calibri" w:hAnsi="Times New Roman" w:cs="Times New Roman"/>
                <w:sz w:val="27"/>
                <w:szCs w:val="27"/>
              </w:rPr>
              <w:t>amendamentele propuse vor</w:t>
            </w:r>
            <w:r w:rsidRPr="00A21B66">
              <w:rPr>
                <w:rFonts w:ascii="Times New Roman" w:eastAsia="Calibri" w:hAnsi="Times New Roman" w:cs="Times New Roman"/>
                <w:sz w:val="27"/>
                <w:szCs w:val="27"/>
              </w:rPr>
              <w:t xml:space="preserve"> contribui la efectuarea unui control eficient </w:t>
            </w:r>
            <w:r w:rsidRPr="00A21B66">
              <w:rPr>
                <w:rFonts w:ascii="Times New Roman" w:eastAsia="Calibri" w:hAnsi="Times New Roman" w:cs="Times New Roman"/>
                <w:sz w:val="27"/>
                <w:szCs w:val="27"/>
              </w:rPr>
              <w:lastRenderedPageBreak/>
              <w:t>al statului asupra reducerii consumului de droguri și neadmiterii ilegalităților ce vizează realizarea ilegală către consumatorii de droguri a substanţelor a căror circulaţie pe teritoriul ţării este restricţionată.</w:t>
            </w:r>
          </w:p>
          <w:p w:rsidR="00436F96" w:rsidRPr="00A21B66" w:rsidRDefault="00436F96" w:rsidP="00B51A70">
            <w:pPr>
              <w:tabs>
                <w:tab w:val="left" w:pos="1410"/>
                <w:tab w:val="center" w:pos="5166"/>
              </w:tabs>
              <w:autoSpaceDE w:val="0"/>
              <w:autoSpaceDN w:val="0"/>
              <w:adjustRightInd w:val="0"/>
              <w:spacing w:after="0" w:line="240" w:lineRule="auto"/>
              <w:ind w:firstLine="612"/>
              <w:jc w:val="both"/>
              <w:rPr>
                <w:rFonts w:ascii="Times New Roman" w:eastAsia="Calibri" w:hAnsi="Times New Roman" w:cs="Times New Roman"/>
                <w:sz w:val="27"/>
                <w:szCs w:val="27"/>
              </w:rPr>
            </w:pP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F019EB" w:rsidRPr="00A21B66" w:rsidRDefault="00F019EB" w:rsidP="00254485">
            <w:pPr>
              <w:autoSpaceDE w:val="0"/>
              <w:autoSpaceDN w:val="0"/>
              <w:adjustRightInd w:val="0"/>
              <w:spacing w:after="0" w:line="240" w:lineRule="auto"/>
              <w:ind w:firstLine="539"/>
              <w:rPr>
                <w:rFonts w:ascii="Times New Roman" w:eastAsia="Calibri" w:hAnsi="Times New Roman" w:cs="Times New Roman"/>
                <w:sz w:val="27"/>
                <w:szCs w:val="27"/>
              </w:rPr>
            </w:pPr>
            <w:r w:rsidRPr="00A21B66">
              <w:rPr>
                <w:rFonts w:ascii="Times New Roman" w:eastAsia="Calibri" w:hAnsi="Times New Roman" w:cs="Times New Roman"/>
                <w:b/>
                <w:bCs/>
                <w:sz w:val="27"/>
                <w:szCs w:val="27"/>
              </w:rPr>
              <w:lastRenderedPageBreak/>
              <w:t>5. Descrierea constatărilor expertizei anticorupţie</w:t>
            </w:r>
          </w:p>
        </w:tc>
      </w:tr>
      <w:tr w:rsidR="00F019EB" w:rsidRPr="00A21B66" w:rsidTr="00254485">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9EB" w:rsidRPr="00A21B66" w:rsidRDefault="00F019EB" w:rsidP="00254485">
            <w:pPr>
              <w:autoSpaceDE w:val="0"/>
              <w:autoSpaceDN w:val="0"/>
              <w:adjustRightInd w:val="0"/>
              <w:spacing w:after="0" w:line="240" w:lineRule="auto"/>
              <w:ind w:firstLine="539"/>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Se va completa după efectuarea expertizei anticorupție de către Centrul Național Anticorupție.</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F019EB" w:rsidRPr="00A21B66" w:rsidRDefault="00F019EB" w:rsidP="00254485">
            <w:pPr>
              <w:autoSpaceDE w:val="0"/>
              <w:autoSpaceDN w:val="0"/>
              <w:adjustRightInd w:val="0"/>
              <w:spacing w:after="0" w:line="240" w:lineRule="auto"/>
              <w:ind w:firstLine="539"/>
              <w:rPr>
                <w:rFonts w:ascii="Times New Roman" w:eastAsia="Calibri" w:hAnsi="Times New Roman" w:cs="Times New Roman"/>
                <w:sz w:val="27"/>
                <w:szCs w:val="27"/>
              </w:rPr>
            </w:pPr>
            <w:r w:rsidRPr="00A21B66">
              <w:rPr>
                <w:rFonts w:ascii="Times New Roman" w:eastAsia="Calibri" w:hAnsi="Times New Roman" w:cs="Times New Roman"/>
                <w:b/>
                <w:bCs/>
                <w:sz w:val="27"/>
                <w:szCs w:val="27"/>
              </w:rPr>
              <w:t>6. Rezultatele expertizei juridice</w:t>
            </w:r>
          </w:p>
        </w:tc>
      </w:tr>
      <w:tr w:rsidR="00F019EB" w:rsidRPr="00A21B66" w:rsidTr="00254485">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19EB" w:rsidRPr="00A21B66" w:rsidRDefault="00F019EB" w:rsidP="00254485">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 xml:space="preserve">Se va completa după efectuarea expertizei juridice de către Ministerul Justiției. </w:t>
            </w:r>
          </w:p>
        </w:tc>
      </w:tr>
      <w:tr w:rsidR="00F019EB" w:rsidRPr="00A21B66" w:rsidTr="0025448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F019EB" w:rsidRPr="00A21B66" w:rsidRDefault="00F019EB" w:rsidP="00254485">
            <w:pPr>
              <w:autoSpaceDE w:val="0"/>
              <w:autoSpaceDN w:val="0"/>
              <w:adjustRightInd w:val="0"/>
              <w:spacing w:after="0" w:line="240" w:lineRule="auto"/>
              <w:ind w:firstLine="539"/>
              <w:rPr>
                <w:rFonts w:ascii="Times New Roman" w:eastAsia="Calibri" w:hAnsi="Times New Roman" w:cs="Times New Roman"/>
                <w:sz w:val="27"/>
                <w:szCs w:val="27"/>
              </w:rPr>
            </w:pPr>
            <w:r w:rsidRPr="00A21B66">
              <w:rPr>
                <w:rFonts w:ascii="Times New Roman" w:eastAsia="Calibri" w:hAnsi="Times New Roman" w:cs="Times New Roman"/>
                <w:b/>
                <w:bCs/>
                <w:sz w:val="27"/>
                <w:szCs w:val="27"/>
              </w:rPr>
              <w:t xml:space="preserve">7. Respectarea transparenţei în procesul decizional </w:t>
            </w:r>
          </w:p>
        </w:tc>
      </w:tr>
      <w:tr w:rsidR="00F019EB" w:rsidRPr="00A21B66" w:rsidTr="00254485">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F019EB" w:rsidRPr="00A21B66" w:rsidRDefault="00EF7559" w:rsidP="00EF7559">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Proiectul de lege privind modificarea și completarea unor acte legislative (Legea nr. 382-XIV din 6 mai 1999 cu privire la circulaţia substanţelor narcotice şi psihotrope şi a precursorilor, Codul penal și Codul contravențional)</w:t>
            </w:r>
            <w:r w:rsidR="0073609F" w:rsidRPr="00A21B66">
              <w:rPr>
                <w:rFonts w:ascii="Times New Roman" w:eastAsia="Calibri" w:hAnsi="Times New Roman" w:cs="Times New Roman"/>
                <w:sz w:val="27"/>
                <w:szCs w:val="27"/>
              </w:rPr>
              <w:t xml:space="preserve"> </w:t>
            </w:r>
            <w:r w:rsidR="00F019EB" w:rsidRPr="00A21B66">
              <w:rPr>
                <w:rFonts w:ascii="Times New Roman" w:eastAsia="Calibri" w:hAnsi="Times New Roman" w:cs="Times New Roman"/>
                <w:sz w:val="27"/>
                <w:szCs w:val="27"/>
              </w:rPr>
              <w:t xml:space="preserve">este plasat pe pagina oficială a Ministerului Afacerilor Interne </w:t>
            </w:r>
            <w:hyperlink r:id="rId5" w:history="1">
              <w:r w:rsidR="00F019EB" w:rsidRPr="00A21B66">
                <w:rPr>
                  <w:rStyle w:val="Hyperlink"/>
                  <w:rFonts w:ascii="Times New Roman" w:eastAsia="Calibri" w:hAnsi="Times New Roman" w:cs="Times New Roman"/>
                  <w:sz w:val="27"/>
                  <w:szCs w:val="27"/>
                </w:rPr>
                <w:t>www.mai.gov.md</w:t>
              </w:r>
            </w:hyperlink>
            <w:r w:rsidR="00F019EB" w:rsidRPr="00A21B66">
              <w:rPr>
                <w:rFonts w:ascii="Times New Roman" w:eastAsia="Calibri" w:hAnsi="Times New Roman" w:cs="Times New Roman"/>
                <w:sz w:val="27"/>
                <w:szCs w:val="27"/>
              </w:rPr>
              <w:t xml:space="preserve">, la directoriul Transparenţa, secţiunea Consultări publice și implicit pe portalul </w:t>
            </w:r>
            <w:hyperlink r:id="rId6" w:history="1">
              <w:r w:rsidR="00F019EB" w:rsidRPr="00A21B66">
                <w:rPr>
                  <w:rStyle w:val="Hyperlink"/>
                  <w:rFonts w:ascii="Times New Roman" w:eastAsia="Calibri" w:hAnsi="Times New Roman" w:cs="Times New Roman"/>
                  <w:sz w:val="27"/>
                  <w:szCs w:val="27"/>
                </w:rPr>
                <w:t>www.particip.gov.md</w:t>
              </w:r>
            </w:hyperlink>
            <w:r w:rsidR="00F019EB" w:rsidRPr="00A21B66">
              <w:rPr>
                <w:rFonts w:ascii="Times New Roman" w:eastAsia="Calibri" w:hAnsi="Times New Roman" w:cs="Times New Roman"/>
                <w:sz w:val="27"/>
                <w:szCs w:val="27"/>
              </w:rPr>
              <w:t xml:space="preserve">. </w:t>
            </w:r>
          </w:p>
        </w:tc>
      </w:tr>
      <w:tr w:rsidR="00F019EB" w:rsidRPr="00A21B66" w:rsidTr="00254485">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F019EB" w:rsidRPr="00A21B66" w:rsidRDefault="00F019EB" w:rsidP="00254485">
            <w:pPr>
              <w:autoSpaceDE w:val="0"/>
              <w:autoSpaceDN w:val="0"/>
              <w:adjustRightInd w:val="0"/>
              <w:spacing w:after="0" w:line="240" w:lineRule="auto"/>
              <w:ind w:firstLine="539"/>
              <w:rPr>
                <w:rFonts w:ascii="Times New Roman" w:eastAsia="Calibri" w:hAnsi="Times New Roman" w:cs="Times New Roman"/>
                <w:sz w:val="27"/>
                <w:szCs w:val="27"/>
              </w:rPr>
            </w:pPr>
            <w:r w:rsidRPr="00A21B66">
              <w:rPr>
                <w:rFonts w:ascii="Times New Roman" w:eastAsia="Calibri" w:hAnsi="Times New Roman" w:cs="Times New Roman"/>
                <w:b/>
                <w:bCs/>
                <w:sz w:val="27"/>
                <w:szCs w:val="27"/>
              </w:rPr>
              <w:t>9. Fundamentarea economico-financiară</w:t>
            </w:r>
          </w:p>
        </w:tc>
      </w:tr>
      <w:tr w:rsidR="00F019EB" w:rsidRPr="00A21B66" w:rsidTr="00254485">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F019EB" w:rsidRPr="00A21B66" w:rsidRDefault="00F019EB" w:rsidP="00254485">
            <w:pPr>
              <w:autoSpaceDE w:val="0"/>
              <w:autoSpaceDN w:val="0"/>
              <w:adjustRightInd w:val="0"/>
              <w:spacing w:after="0" w:line="240" w:lineRule="auto"/>
              <w:ind w:firstLine="612"/>
              <w:jc w:val="both"/>
              <w:rPr>
                <w:rFonts w:ascii="Times New Roman" w:eastAsia="Calibri" w:hAnsi="Times New Roman" w:cs="Times New Roman"/>
                <w:sz w:val="27"/>
                <w:szCs w:val="27"/>
              </w:rPr>
            </w:pPr>
            <w:r w:rsidRPr="00A21B66">
              <w:rPr>
                <w:rFonts w:ascii="Times New Roman" w:eastAsia="Calibri" w:hAnsi="Times New Roman" w:cs="Times New Roman"/>
                <w:sz w:val="27"/>
                <w:szCs w:val="27"/>
              </w:rPr>
              <w:t>Implementarea prevederilor prezentului proiect nu necesită alocarea de mijloace suplimentare de la bugetul de stat.</w:t>
            </w:r>
          </w:p>
        </w:tc>
      </w:tr>
    </w:tbl>
    <w:p w:rsidR="00F019EB" w:rsidRPr="00A21B66" w:rsidRDefault="00F019EB" w:rsidP="00F019EB">
      <w:pPr>
        <w:pStyle w:val="NormalWeb"/>
        <w:ind w:firstLine="0"/>
        <w:jc w:val="center"/>
        <w:rPr>
          <w:b/>
          <w:sz w:val="27"/>
          <w:szCs w:val="27"/>
          <w:lang w:val="ro-RO"/>
        </w:rPr>
      </w:pPr>
    </w:p>
    <w:p w:rsidR="00F019EB" w:rsidRPr="00A21B66" w:rsidRDefault="00F019EB" w:rsidP="00F019EB">
      <w:pPr>
        <w:pStyle w:val="NormalWeb"/>
        <w:ind w:firstLine="0"/>
        <w:jc w:val="center"/>
        <w:rPr>
          <w:b/>
          <w:sz w:val="27"/>
          <w:szCs w:val="27"/>
          <w:lang w:val="ro-RO"/>
        </w:rPr>
      </w:pPr>
    </w:p>
    <w:p w:rsidR="00F019EB" w:rsidRPr="00A21B66" w:rsidRDefault="00F019EB" w:rsidP="00F019EB">
      <w:pPr>
        <w:pStyle w:val="NormalWeb"/>
        <w:ind w:firstLine="0"/>
        <w:jc w:val="center"/>
        <w:rPr>
          <w:b/>
          <w:sz w:val="27"/>
          <w:szCs w:val="27"/>
          <w:lang w:val="ro-RO"/>
        </w:rPr>
      </w:pPr>
    </w:p>
    <w:p w:rsidR="00F019EB" w:rsidRPr="00A21B66" w:rsidRDefault="00500715" w:rsidP="00F019EB">
      <w:pPr>
        <w:pStyle w:val="NormalWeb"/>
        <w:ind w:firstLine="0"/>
        <w:jc w:val="center"/>
        <w:rPr>
          <w:sz w:val="27"/>
          <w:szCs w:val="27"/>
          <w:lang w:val="ro-RO"/>
        </w:rPr>
      </w:pPr>
      <w:proofErr w:type="spellStart"/>
      <w:r>
        <w:rPr>
          <w:b/>
          <w:sz w:val="27"/>
          <w:szCs w:val="27"/>
          <w:lang w:val="ro-RO"/>
        </w:rPr>
        <w:t>Vicem</w:t>
      </w:r>
      <w:r w:rsidR="00F019EB" w:rsidRPr="00A21B66">
        <w:rPr>
          <w:b/>
          <w:sz w:val="27"/>
          <w:szCs w:val="27"/>
          <w:lang w:val="ro-RO"/>
        </w:rPr>
        <w:t>inistru</w:t>
      </w:r>
      <w:proofErr w:type="spellEnd"/>
      <w:r w:rsidR="00F019EB" w:rsidRPr="00A21B66">
        <w:rPr>
          <w:b/>
          <w:bCs/>
          <w:sz w:val="27"/>
          <w:szCs w:val="27"/>
          <w:lang w:val="ro-RO"/>
        </w:rPr>
        <w:t xml:space="preserve">                                                                     </w:t>
      </w:r>
      <w:r>
        <w:rPr>
          <w:b/>
          <w:bCs/>
          <w:sz w:val="27"/>
          <w:szCs w:val="27"/>
          <w:lang w:val="ro-RO"/>
        </w:rPr>
        <w:t>Oleg BABIN</w:t>
      </w:r>
    </w:p>
    <w:p w:rsidR="00597904" w:rsidRPr="00A21B66" w:rsidRDefault="00597904">
      <w:pPr>
        <w:rPr>
          <w:sz w:val="27"/>
          <w:szCs w:val="27"/>
        </w:rPr>
      </w:pPr>
    </w:p>
    <w:sectPr w:rsidR="00597904" w:rsidRPr="00A21B66" w:rsidSect="00E40F50">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19EB"/>
    <w:rsid w:val="0003527B"/>
    <w:rsid w:val="00047499"/>
    <w:rsid w:val="0005548F"/>
    <w:rsid w:val="00066C4E"/>
    <w:rsid w:val="000E682B"/>
    <w:rsid w:val="0017445E"/>
    <w:rsid w:val="001A2DEB"/>
    <w:rsid w:val="001B5391"/>
    <w:rsid w:val="00270188"/>
    <w:rsid w:val="002701DA"/>
    <w:rsid w:val="00274D39"/>
    <w:rsid w:val="002920C7"/>
    <w:rsid w:val="003117C5"/>
    <w:rsid w:val="00320EFE"/>
    <w:rsid w:val="00322AC0"/>
    <w:rsid w:val="003C31E6"/>
    <w:rsid w:val="00436F96"/>
    <w:rsid w:val="00451952"/>
    <w:rsid w:val="004E4FE3"/>
    <w:rsid w:val="00500715"/>
    <w:rsid w:val="005062C5"/>
    <w:rsid w:val="00535A26"/>
    <w:rsid w:val="00597904"/>
    <w:rsid w:val="005A7A43"/>
    <w:rsid w:val="005B10D3"/>
    <w:rsid w:val="006262FE"/>
    <w:rsid w:val="0067566F"/>
    <w:rsid w:val="0073609F"/>
    <w:rsid w:val="00741A46"/>
    <w:rsid w:val="00742DE0"/>
    <w:rsid w:val="0075483F"/>
    <w:rsid w:val="007A18AF"/>
    <w:rsid w:val="007B4010"/>
    <w:rsid w:val="007C40EE"/>
    <w:rsid w:val="00813BDC"/>
    <w:rsid w:val="00866F94"/>
    <w:rsid w:val="0089299A"/>
    <w:rsid w:val="008B0936"/>
    <w:rsid w:val="00912BED"/>
    <w:rsid w:val="00944146"/>
    <w:rsid w:val="009449C4"/>
    <w:rsid w:val="0095374F"/>
    <w:rsid w:val="00A03E23"/>
    <w:rsid w:val="00A0517D"/>
    <w:rsid w:val="00A10C7E"/>
    <w:rsid w:val="00A21B66"/>
    <w:rsid w:val="00AA0D0B"/>
    <w:rsid w:val="00AA40EF"/>
    <w:rsid w:val="00AD69EC"/>
    <w:rsid w:val="00B42B3B"/>
    <w:rsid w:val="00B51A70"/>
    <w:rsid w:val="00B76DE9"/>
    <w:rsid w:val="00BB6F91"/>
    <w:rsid w:val="00C71687"/>
    <w:rsid w:val="00CA2811"/>
    <w:rsid w:val="00CF1E4A"/>
    <w:rsid w:val="00CF4340"/>
    <w:rsid w:val="00D276DE"/>
    <w:rsid w:val="00D41CF1"/>
    <w:rsid w:val="00DD4A21"/>
    <w:rsid w:val="00DE3052"/>
    <w:rsid w:val="00DE445D"/>
    <w:rsid w:val="00E230D9"/>
    <w:rsid w:val="00E40F50"/>
    <w:rsid w:val="00E45E7C"/>
    <w:rsid w:val="00EA79A9"/>
    <w:rsid w:val="00EF7559"/>
    <w:rsid w:val="00F019EB"/>
    <w:rsid w:val="00F920FE"/>
    <w:rsid w:val="00FD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EB"/>
    <w:pPr>
      <w:spacing w:after="200" w:line="276" w:lineRule="auto"/>
      <w:jc w:val="center"/>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F019EB"/>
    <w:pPr>
      <w:spacing w:after="0" w:line="240" w:lineRule="auto"/>
      <w:ind w:firstLine="567"/>
      <w:jc w:val="both"/>
    </w:pPr>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unhideWhenUsed/>
    <w:rsid w:val="00F019EB"/>
    <w:rPr>
      <w:color w:val="0563C1" w:themeColor="hyperlink"/>
      <w:u w:val="single"/>
    </w:rPr>
  </w:style>
  <w:style w:type="character" w:customStyle="1" w:styleId="docheader1">
    <w:name w:val="doc_header1"/>
    <w:rsid w:val="0075483F"/>
    <w:rPr>
      <w:rFonts w:ascii="Times New Roman" w:hAnsi="Times New Roman"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6E20-671F-4B96-ADA2-EC892F06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3060</Words>
  <Characters>17444</Characters>
  <Application>Microsoft Office Word</Application>
  <DocSecurity>0</DocSecurity>
  <Lines>145</Lines>
  <Paragraphs>40</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20464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Vasile Grejdieru</cp:lastModifiedBy>
  <cp:revision>5</cp:revision>
  <dcterms:created xsi:type="dcterms:W3CDTF">2016-02-24T06:31:00Z</dcterms:created>
  <dcterms:modified xsi:type="dcterms:W3CDTF">2016-03-14T06:52:00Z</dcterms:modified>
</cp:coreProperties>
</file>