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33" w:rsidRDefault="00F17733" w:rsidP="00F17733">
      <w:pPr>
        <w:jc w:val="center"/>
        <w:rPr>
          <w:b/>
          <w:sz w:val="28"/>
          <w:szCs w:val="28"/>
        </w:rPr>
      </w:pPr>
    </w:p>
    <w:p w:rsidR="00EB4815" w:rsidRDefault="00EB4815" w:rsidP="00F17733">
      <w:pPr>
        <w:jc w:val="center"/>
        <w:rPr>
          <w:b/>
          <w:sz w:val="28"/>
          <w:szCs w:val="28"/>
        </w:rPr>
      </w:pPr>
    </w:p>
    <w:p w:rsidR="00F17733" w:rsidRPr="00F92D7F" w:rsidRDefault="00F17733" w:rsidP="00F17733">
      <w:pPr>
        <w:jc w:val="center"/>
        <w:rPr>
          <w:b/>
          <w:sz w:val="28"/>
          <w:szCs w:val="28"/>
        </w:rPr>
      </w:pPr>
      <w:r w:rsidRPr="00F92D7F">
        <w:rPr>
          <w:b/>
          <w:sz w:val="28"/>
          <w:szCs w:val="28"/>
        </w:rPr>
        <w:t>Notă informativă</w:t>
      </w:r>
    </w:p>
    <w:p w:rsidR="00F17733" w:rsidRPr="00F92D7F" w:rsidRDefault="00F17733" w:rsidP="00F17733">
      <w:pPr>
        <w:jc w:val="center"/>
        <w:rPr>
          <w:sz w:val="28"/>
          <w:szCs w:val="28"/>
        </w:rPr>
      </w:pPr>
      <w:r w:rsidRPr="00F92D7F">
        <w:rPr>
          <w:b/>
          <w:sz w:val="28"/>
          <w:szCs w:val="28"/>
        </w:rPr>
        <w:t xml:space="preserve">la proiectul hotărârii de Guvern cu privire la aprobarea modificărilor şi completărilor ce se operează în unele </w:t>
      </w:r>
      <w:proofErr w:type="spellStart"/>
      <w:r w:rsidRPr="00F92D7F">
        <w:rPr>
          <w:b/>
          <w:sz w:val="28"/>
          <w:szCs w:val="28"/>
        </w:rPr>
        <w:t>hotărîri</w:t>
      </w:r>
      <w:proofErr w:type="spellEnd"/>
      <w:r w:rsidRPr="00F92D7F">
        <w:rPr>
          <w:b/>
          <w:sz w:val="28"/>
          <w:szCs w:val="28"/>
        </w:rPr>
        <w:t xml:space="preserve"> ale Guvernului</w:t>
      </w:r>
    </w:p>
    <w:p w:rsidR="00F17733" w:rsidRPr="00F92D7F" w:rsidRDefault="00F17733" w:rsidP="00F17733">
      <w:pPr>
        <w:jc w:val="center"/>
        <w:rPr>
          <w:sz w:val="28"/>
          <w:szCs w:val="28"/>
        </w:rPr>
      </w:pPr>
    </w:p>
    <w:p w:rsidR="00F17733" w:rsidRDefault="00F17733" w:rsidP="00F17733">
      <w:pPr>
        <w:ind w:firstLine="567"/>
        <w:jc w:val="both"/>
        <w:rPr>
          <w:i/>
          <w:sz w:val="25"/>
          <w:szCs w:val="25"/>
        </w:rPr>
      </w:pPr>
    </w:p>
    <w:p w:rsidR="00F17733" w:rsidRPr="00EB4815" w:rsidRDefault="00F17733" w:rsidP="00F17733">
      <w:pPr>
        <w:ind w:firstLine="567"/>
        <w:jc w:val="both"/>
        <w:rPr>
          <w:rStyle w:val="docbody"/>
          <w:sz w:val="28"/>
          <w:szCs w:val="28"/>
        </w:rPr>
      </w:pPr>
      <w:r w:rsidRPr="005D619E">
        <w:rPr>
          <w:sz w:val="28"/>
          <w:szCs w:val="28"/>
        </w:rPr>
        <w:t xml:space="preserve">Proiectul </w:t>
      </w:r>
      <w:proofErr w:type="spellStart"/>
      <w:r w:rsidRPr="005D619E">
        <w:rPr>
          <w:sz w:val="28"/>
          <w:szCs w:val="28"/>
        </w:rPr>
        <w:t>hotărîrii</w:t>
      </w:r>
      <w:proofErr w:type="spellEnd"/>
      <w:r w:rsidRPr="005D619E">
        <w:rPr>
          <w:sz w:val="28"/>
          <w:szCs w:val="28"/>
        </w:rPr>
        <w:t xml:space="preserve"> de Guvern „Cu privire la aprobarea modificărilor şi completărilor ce se operează în unele </w:t>
      </w:r>
      <w:proofErr w:type="spellStart"/>
      <w:r w:rsidRPr="005D619E">
        <w:rPr>
          <w:sz w:val="28"/>
          <w:szCs w:val="28"/>
        </w:rPr>
        <w:t>hotărîri</w:t>
      </w:r>
      <w:proofErr w:type="spellEnd"/>
      <w:r w:rsidRPr="005D619E">
        <w:rPr>
          <w:sz w:val="28"/>
          <w:szCs w:val="28"/>
        </w:rPr>
        <w:t xml:space="preserve">  ale Guvernului”</w:t>
      </w:r>
      <w:r w:rsidRPr="00F92D7F">
        <w:rPr>
          <w:i/>
          <w:sz w:val="28"/>
          <w:szCs w:val="28"/>
        </w:rPr>
        <w:t xml:space="preserve"> </w:t>
      </w:r>
      <w:r w:rsidRPr="00F92D7F">
        <w:rPr>
          <w:bCs/>
          <w:sz w:val="28"/>
          <w:szCs w:val="28"/>
        </w:rPr>
        <w:t xml:space="preserve">a fost elaborat </w:t>
      </w:r>
      <w:r w:rsidRPr="00EB4815">
        <w:rPr>
          <w:sz w:val="28"/>
          <w:szCs w:val="28"/>
        </w:rPr>
        <w:t xml:space="preserve">în temeiul </w:t>
      </w:r>
      <w:r w:rsidR="00417CF7" w:rsidRPr="00EB4815">
        <w:rPr>
          <w:sz w:val="28"/>
          <w:szCs w:val="28"/>
          <w:lang w:val="ro-MO"/>
        </w:rPr>
        <w:t>art.7 alin.(3) lit.</w:t>
      </w:r>
      <w:r w:rsidR="00EB4815">
        <w:rPr>
          <w:sz w:val="28"/>
          <w:szCs w:val="28"/>
          <w:lang w:val="ro-MO"/>
        </w:rPr>
        <w:t xml:space="preserve"> </w:t>
      </w:r>
      <w:r w:rsidR="00417CF7" w:rsidRPr="00EB4815">
        <w:rPr>
          <w:sz w:val="28"/>
          <w:szCs w:val="28"/>
          <w:lang w:val="ro-MO"/>
        </w:rPr>
        <w:t>g</w:t>
      </w:r>
      <w:r w:rsidR="000206C6" w:rsidRPr="00EB4815">
        <w:rPr>
          <w:sz w:val="28"/>
          <w:szCs w:val="28"/>
          <w:lang w:val="ro-MO"/>
        </w:rPr>
        <w:t>)</w:t>
      </w:r>
      <w:r w:rsidR="00417CF7" w:rsidRPr="00EB4815">
        <w:rPr>
          <w:sz w:val="28"/>
          <w:szCs w:val="28"/>
          <w:lang w:val="ro-MO"/>
        </w:rPr>
        <w:t xml:space="preserve">,  lit. h) şi art.8 alin.(1) lit. i) din Legea nr.121-XVI din </w:t>
      </w:r>
      <w:r w:rsidR="000642D5">
        <w:rPr>
          <w:sz w:val="28"/>
          <w:szCs w:val="28"/>
          <w:lang w:val="ro-MO"/>
        </w:rPr>
        <w:t xml:space="preserve">       </w:t>
      </w:r>
      <w:r w:rsidR="00417CF7" w:rsidRPr="00EB4815">
        <w:rPr>
          <w:sz w:val="28"/>
          <w:szCs w:val="28"/>
          <w:lang w:val="ro-MO"/>
        </w:rPr>
        <w:t>4 mai 2007 privind administrarea şi deetatizarea proprietăţii publice</w:t>
      </w:r>
      <w:r w:rsidR="002425A4">
        <w:rPr>
          <w:sz w:val="28"/>
          <w:szCs w:val="28"/>
          <w:lang w:val="ro-MO"/>
        </w:rPr>
        <w:t xml:space="preserve"> şi are drept scop modificarea şi completarea unor </w:t>
      </w:r>
      <w:proofErr w:type="spellStart"/>
      <w:r w:rsidR="002425A4">
        <w:rPr>
          <w:sz w:val="28"/>
          <w:szCs w:val="28"/>
          <w:lang w:val="ro-MO"/>
        </w:rPr>
        <w:t>hotărîri</w:t>
      </w:r>
      <w:proofErr w:type="spellEnd"/>
      <w:r w:rsidR="002425A4">
        <w:rPr>
          <w:sz w:val="28"/>
          <w:szCs w:val="28"/>
          <w:lang w:val="ro-MO"/>
        </w:rPr>
        <w:t xml:space="preserve"> ale Guvernului aferente domeniului evidenţei proprietăţii publice şi</w:t>
      </w:r>
      <w:r w:rsidR="0097702A">
        <w:rPr>
          <w:sz w:val="28"/>
          <w:szCs w:val="28"/>
          <w:lang w:val="ro-MO"/>
        </w:rPr>
        <w:t>,</w:t>
      </w:r>
      <w:r w:rsidR="002425A4">
        <w:rPr>
          <w:sz w:val="28"/>
          <w:szCs w:val="28"/>
          <w:lang w:val="ro-MO"/>
        </w:rPr>
        <w:t xml:space="preserve"> anume</w:t>
      </w:r>
      <w:r w:rsidR="001C36A6">
        <w:rPr>
          <w:sz w:val="28"/>
          <w:szCs w:val="28"/>
          <w:lang w:val="ro-MO"/>
        </w:rPr>
        <w:t>:</w:t>
      </w:r>
    </w:p>
    <w:p w:rsidR="006A0BA1" w:rsidRPr="001C36A6" w:rsidRDefault="000642D5" w:rsidP="001C36A6">
      <w:pPr>
        <w:pStyle w:val="ab"/>
        <w:numPr>
          <w:ilvl w:val="0"/>
          <w:numId w:val="6"/>
        </w:numPr>
        <w:tabs>
          <w:tab w:val="left" w:pos="851"/>
        </w:tabs>
        <w:ind w:left="0" w:firstLine="567"/>
        <w:jc w:val="both"/>
        <w:rPr>
          <w:rStyle w:val="docbody"/>
          <w:sz w:val="28"/>
          <w:szCs w:val="28"/>
        </w:rPr>
      </w:pPr>
      <w:r w:rsidRPr="001C36A6">
        <w:rPr>
          <w:sz w:val="28"/>
          <w:szCs w:val="28"/>
        </w:rPr>
        <w:t xml:space="preserve">La </w:t>
      </w:r>
      <w:r w:rsidR="002425A4" w:rsidRPr="001C36A6">
        <w:rPr>
          <w:sz w:val="28"/>
          <w:szCs w:val="28"/>
        </w:rPr>
        <w:t>Regulamentul cu privire la Registrul patrimoniului public</w:t>
      </w:r>
      <w:r w:rsidR="002425A4" w:rsidRPr="001C36A6">
        <w:rPr>
          <w:rStyle w:val="docbody"/>
          <w:sz w:val="28"/>
          <w:szCs w:val="28"/>
        </w:rPr>
        <w:t xml:space="preserve"> aprobat prin</w:t>
      </w:r>
      <w:r w:rsidR="00F17733" w:rsidRPr="001C36A6">
        <w:rPr>
          <w:rStyle w:val="docbody"/>
          <w:sz w:val="28"/>
          <w:szCs w:val="28"/>
        </w:rPr>
        <w:t xml:space="preserve"> </w:t>
      </w:r>
      <w:r w:rsidR="00F17733" w:rsidRPr="001C36A6">
        <w:rPr>
          <w:bCs/>
          <w:sz w:val="28"/>
          <w:szCs w:val="28"/>
        </w:rPr>
        <w:t>Hotărîrea Guvernului nr.675 din 06 iunie 2008 „Cu privire la Registrul patrimoniului public”</w:t>
      </w:r>
      <w:r w:rsidRPr="001C36A6">
        <w:rPr>
          <w:bCs/>
          <w:sz w:val="28"/>
          <w:szCs w:val="28"/>
        </w:rPr>
        <w:t>, se propun</w:t>
      </w:r>
      <w:r w:rsidR="006A0BA1" w:rsidRPr="001C36A6">
        <w:rPr>
          <w:rStyle w:val="docbody"/>
          <w:sz w:val="28"/>
          <w:szCs w:val="28"/>
        </w:rPr>
        <w:t xml:space="preserve">: </w:t>
      </w:r>
    </w:p>
    <w:p w:rsidR="006A0BA1" w:rsidRDefault="000B1F46" w:rsidP="006A0BA1">
      <w:pPr>
        <w:pStyle w:val="ab"/>
        <w:numPr>
          <w:ilvl w:val="0"/>
          <w:numId w:val="5"/>
        </w:numPr>
        <w:jc w:val="both"/>
        <w:rPr>
          <w:sz w:val="28"/>
          <w:szCs w:val="28"/>
        </w:rPr>
      </w:pPr>
      <w:r>
        <w:rPr>
          <w:sz w:val="28"/>
          <w:szCs w:val="28"/>
        </w:rPr>
        <w:t>m</w:t>
      </w:r>
      <w:r w:rsidR="00F374C6">
        <w:rPr>
          <w:sz w:val="28"/>
          <w:szCs w:val="28"/>
        </w:rPr>
        <w:t xml:space="preserve">odificări </w:t>
      </w:r>
      <w:r w:rsidR="000642D5">
        <w:rPr>
          <w:sz w:val="28"/>
          <w:szCs w:val="28"/>
        </w:rPr>
        <w:t>la</w:t>
      </w:r>
      <w:r w:rsidR="008C04BA">
        <w:rPr>
          <w:sz w:val="28"/>
          <w:szCs w:val="28"/>
        </w:rPr>
        <w:t xml:space="preserve"> </w:t>
      </w:r>
      <w:r w:rsidR="00F374C6">
        <w:rPr>
          <w:sz w:val="28"/>
          <w:szCs w:val="28"/>
        </w:rPr>
        <w:t>pct.</w:t>
      </w:r>
      <w:r>
        <w:rPr>
          <w:sz w:val="28"/>
          <w:szCs w:val="28"/>
        </w:rPr>
        <w:t xml:space="preserve">12, pct.32, </w:t>
      </w:r>
      <w:r w:rsidRPr="006A0BA1">
        <w:rPr>
          <w:sz w:val="28"/>
          <w:szCs w:val="28"/>
        </w:rPr>
        <w:t>anex</w:t>
      </w:r>
      <w:r>
        <w:rPr>
          <w:sz w:val="28"/>
          <w:szCs w:val="28"/>
        </w:rPr>
        <w:t xml:space="preserve">ele </w:t>
      </w:r>
      <w:r w:rsidRPr="006A0BA1">
        <w:rPr>
          <w:sz w:val="28"/>
          <w:szCs w:val="28"/>
        </w:rPr>
        <w:t>nr.</w:t>
      </w:r>
      <w:r>
        <w:rPr>
          <w:sz w:val="28"/>
          <w:szCs w:val="28"/>
        </w:rPr>
        <w:t>9 şi nr.</w:t>
      </w:r>
      <w:r w:rsidRPr="006A0BA1">
        <w:rPr>
          <w:sz w:val="28"/>
          <w:szCs w:val="28"/>
        </w:rPr>
        <w:t>1</w:t>
      </w:r>
      <w:r>
        <w:rPr>
          <w:sz w:val="28"/>
          <w:szCs w:val="28"/>
        </w:rPr>
        <w:t>0</w:t>
      </w:r>
      <w:r w:rsidR="007227B3">
        <w:rPr>
          <w:sz w:val="28"/>
          <w:szCs w:val="28"/>
        </w:rPr>
        <w:t>,</w:t>
      </w:r>
      <w:r w:rsidR="00F374C6">
        <w:rPr>
          <w:sz w:val="28"/>
          <w:szCs w:val="28"/>
        </w:rPr>
        <w:t xml:space="preserve"> </w:t>
      </w:r>
      <w:r w:rsidR="006A0BA1">
        <w:rPr>
          <w:sz w:val="28"/>
          <w:szCs w:val="28"/>
        </w:rPr>
        <w:t>în scopul excluderii prezentării extraselor din Registrul de stat a</w:t>
      </w:r>
      <w:r w:rsidR="007227B3">
        <w:rPr>
          <w:sz w:val="28"/>
          <w:szCs w:val="28"/>
        </w:rPr>
        <w:t>l</w:t>
      </w:r>
      <w:r w:rsidR="006A0BA1">
        <w:rPr>
          <w:sz w:val="28"/>
          <w:szCs w:val="28"/>
        </w:rPr>
        <w:t xml:space="preserve"> persoanelor juridice şi întreprinzătorilor individuali</w:t>
      </w:r>
      <w:r w:rsidR="00F374C6">
        <w:rPr>
          <w:sz w:val="28"/>
          <w:szCs w:val="28"/>
        </w:rPr>
        <w:t>, dat fiind că informaţia ce se conţine în extrase este definită de legislaţia în vigoare</w:t>
      </w:r>
      <w:r>
        <w:rPr>
          <w:sz w:val="28"/>
          <w:szCs w:val="28"/>
        </w:rPr>
        <w:t xml:space="preserve"> ca fiind publică şi accesibilă tuturor (demersul Guvernului Republicii Moldova nr.3704-18 din 21 august 2015);</w:t>
      </w:r>
    </w:p>
    <w:p w:rsidR="006A0BA1" w:rsidRPr="00EB4815" w:rsidRDefault="000B1F46" w:rsidP="006A0BA1">
      <w:pPr>
        <w:pStyle w:val="ab"/>
        <w:numPr>
          <w:ilvl w:val="0"/>
          <w:numId w:val="5"/>
        </w:numPr>
        <w:jc w:val="both"/>
        <w:rPr>
          <w:sz w:val="28"/>
          <w:szCs w:val="28"/>
        </w:rPr>
      </w:pPr>
      <w:r>
        <w:rPr>
          <w:sz w:val="28"/>
          <w:szCs w:val="28"/>
        </w:rPr>
        <w:t>c</w:t>
      </w:r>
      <w:r w:rsidR="00F374C6">
        <w:rPr>
          <w:sz w:val="28"/>
          <w:szCs w:val="28"/>
        </w:rPr>
        <w:t xml:space="preserve">ompletări în </w:t>
      </w:r>
      <w:r w:rsidR="00F374C6" w:rsidRPr="006A0BA1">
        <w:rPr>
          <w:sz w:val="28"/>
          <w:szCs w:val="28"/>
        </w:rPr>
        <w:t>anex</w:t>
      </w:r>
      <w:r w:rsidR="00F374C6">
        <w:rPr>
          <w:sz w:val="28"/>
          <w:szCs w:val="28"/>
        </w:rPr>
        <w:t xml:space="preserve">ele </w:t>
      </w:r>
      <w:r w:rsidR="00F374C6" w:rsidRPr="006A0BA1">
        <w:rPr>
          <w:sz w:val="28"/>
          <w:szCs w:val="28"/>
        </w:rPr>
        <w:t>nr.</w:t>
      </w:r>
      <w:r w:rsidR="00F374C6">
        <w:rPr>
          <w:sz w:val="28"/>
          <w:szCs w:val="28"/>
        </w:rPr>
        <w:t>7 şi nr.</w:t>
      </w:r>
      <w:r w:rsidR="00F374C6" w:rsidRPr="006A0BA1">
        <w:rPr>
          <w:sz w:val="28"/>
          <w:szCs w:val="28"/>
        </w:rPr>
        <w:t>14</w:t>
      </w:r>
      <w:r w:rsidR="00F374C6">
        <w:rPr>
          <w:sz w:val="28"/>
          <w:szCs w:val="28"/>
        </w:rPr>
        <w:t xml:space="preserve"> </w:t>
      </w:r>
      <w:r w:rsidR="006A0BA1">
        <w:rPr>
          <w:sz w:val="28"/>
          <w:szCs w:val="28"/>
        </w:rPr>
        <w:t xml:space="preserve">ce ţin de </w:t>
      </w:r>
      <w:r w:rsidR="00F374C6">
        <w:rPr>
          <w:sz w:val="28"/>
          <w:szCs w:val="28"/>
        </w:rPr>
        <w:t xml:space="preserve">indicarea </w:t>
      </w:r>
      <w:r w:rsidR="00F374C6" w:rsidRPr="00EB4815">
        <w:rPr>
          <w:sz w:val="28"/>
          <w:szCs w:val="28"/>
          <w:lang w:val="it-IT"/>
        </w:rPr>
        <w:t xml:space="preserve">Hotărîrii Guvernului </w:t>
      </w:r>
      <w:r w:rsidR="00F374C6" w:rsidRPr="00EB4815">
        <w:rPr>
          <w:sz w:val="28"/>
          <w:szCs w:val="28"/>
          <w:lang w:val="ro-MO"/>
        </w:rPr>
        <w:t>prin care a fost atribuit domeniul public</w:t>
      </w:r>
      <w:r w:rsidR="00DF37DB" w:rsidRPr="00EB4815">
        <w:rPr>
          <w:sz w:val="28"/>
          <w:szCs w:val="28"/>
          <w:lang w:val="ro-MO"/>
        </w:rPr>
        <w:t xml:space="preserve"> sau domeniul </w:t>
      </w:r>
      <w:r w:rsidR="00F374C6" w:rsidRPr="00EB4815">
        <w:rPr>
          <w:sz w:val="28"/>
          <w:szCs w:val="28"/>
          <w:lang w:val="ro-MO"/>
        </w:rPr>
        <w:t>privat</w:t>
      </w:r>
      <w:r w:rsidR="00F374C6" w:rsidRPr="00EB4815">
        <w:rPr>
          <w:sz w:val="28"/>
          <w:szCs w:val="28"/>
        </w:rPr>
        <w:t xml:space="preserve"> </w:t>
      </w:r>
      <w:r w:rsidR="00DF37DB" w:rsidRPr="00EB4815">
        <w:rPr>
          <w:sz w:val="28"/>
          <w:szCs w:val="28"/>
        </w:rPr>
        <w:t xml:space="preserve">al statului </w:t>
      </w:r>
      <w:r w:rsidR="00F374C6" w:rsidRPr="00EB4815">
        <w:rPr>
          <w:sz w:val="28"/>
          <w:szCs w:val="28"/>
          <w:lang w:val="ro-MO"/>
        </w:rPr>
        <w:t>bunului imobil respectiv</w:t>
      </w:r>
      <w:r w:rsidR="00DF37DB" w:rsidRPr="00EB4815">
        <w:rPr>
          <w:sz w:val="28"/>
          <w:szCs w:val="28"/>
          <w:lang w:val="ro-MO"/>
        </w:rPr>
        <w:t xml:space="preserve">, </w:t>
      </w:r>
      <w:r w:rsidR="006A0BA1" w:rsidRPr="00EB4815">
        <w:rPr>
          <w:sz w:val="28"/>
          <w:szCs w:val="28"/>
        </w:rPr>
        <w:t>în conformitate cu prevederile art.</w:t>
      </w:r>
      <w:r w:rsidR="00DF37DB" w:rsidRPr="00EB4815">
        <w:rPr>
          <w:sz w:val="28"/>
          <w:szCs w:val="28"/>
        </w:rPr>
        <w:t>6</w:t>
      </w:r>
      <w:r w:rsidR="006A0BA1" w:rsidRPr="00EB4815">
        <w:rPr>
          <w:sz w:val="28"/>
          <w:szCs w:val="28"/>
        </w:rPr>
        <w:t xml:space="preserve"> din Legea </w:t>
      </w:r>
      <w:r w:rsidR="00EB4815" w:rsidRPr="00EB4815">
        <w:rPr>
          <w:sz w:val="28"/>
          <w:szCs w:val="28"/>
        </w:rPr>
        <w:t xml:space="preserve">nr. </w:t>
      </w:r>
      <w:r w:rsidR="00EB4815" w:rsidRPr="00EB4815">
        <w:rPr>
          <w:sz w:val="28"/>
          <w:szCs w:val="28"/>
          <w:lang w:val="ro-MO"/>
        </w:rPr>
        <w:t>121-XVI din 4 mai 2007</w:t>
      </w:r>
      <w:r w:rsidR="00EB4815" w:rsidRPr="00EB4815">
        <w:rPr>
          <w:i/>
          <w:sz w:val="28"/>
          <w:szCs w:val="28"/>
          <w:lang w:val="ro-MO"/>
        </w:rPr>
        <w:t xml:space="preserve"> </w:t>
      </w:r>
      <w:r w:rsidR="006A0BA1" w:rsidRPr="00EB4815">
        <w:rPr>
          <w:sz w:val="28"/>
          <w:szCs w:val="28"/>
        </w:rPr>
        <w:t>privind administrarea şi deetatizarea proprietăţii publice;</w:t>
      </w:r>
    </w:p>
    <w:p w:rsidR="00E1257E" w:rsidRPr="00E1257E" w:rsidRDefault="00E1257E" w:rsidP="00E1257E">
      <w:pPr>
        <w:pStyle w:val="ab"/>
        <w:numPr>
          <w:ilvl w:val="0"/>
          <w:numId w:val="5"/>
        </w:numPr>
        <w:ind w:left="993" w:hanging="426"/>
        <w:jc w:val="both"/>
        <w:rPr>
          <w:i/>
          <w:sz w:val="28"/>
          <w:szCs w:val="28"/>
        </w:rPr>
      </w:pPr>
      <w:r w:rsidRPr="00E1257E">
        <w:rPr>
          <w:sz w:val="28"/>
          <w:szCs w:val="28"/>
        </w:rPr>
        <w:t>a</w:t>
      </w:r>
      <w:r w:rsidR="00F374C6" w:rsidRPr="00E1257E">
        <w:rPr>
          <w:sz w:val="28"/>
          <w:szCs w:val="28"/>
        </w:rPr>
        <w:t xml:space="preserve">justarea </w:t>
      </w:r>
      <w:r w:rsidR="006A0BA1" w:rsidRPr="00E1257E">
        <w:rPr>
          <w:sz w:val="28"/>
          <w:szCs w:val="28"/>
        </w:rPr>
        <w:t>terminologiei utilizate în anexele nr.9</w:t>
      </w:r>
      <w:r w:rsidR="00F4562B">
        <w:rPr>
          <w:sz w:val="28"/>
          <w:szCs w:val="28"/>
        </w:rPr>
        <w:t>, nr.10</w:t>
      </w:r>
      <w:r w:rsidR="009B209F" w:rsidRPr="00E1257E">
        <w:rPr>
          <w:sz w:val="28"/>
          <w:szCs w:val="28"/>
        </w:rPr>
        <w:t xml:space="preserve"> şi</w:t>
      </w:r>
      <w:r w:rsidR="006A0BA1" w:rsidRPr="00E1257E">
        <w:rPr>
          <w:sz w:val="28"/>
          <w:szCs w:val="28"/>
        </w:rPr>
        <w:t xml:space="preserve"> nr.1</w:t>
      </w:r>
      <w:r w:rsidR="00F4562B">
        <w:rPr>
          <w:sz w:val="28"/>
          <w:szCs w:val="28"/>
        </w:rPr>
        <w:t>3</w:t>
      </w:r>
      <w:r w:rsidR="00D74554" w:rsidRPr="00E1257E">
        <w:rPr>
          <w:sz w:val="28"/>
          <w:szCs w:val="28"/>
        </w:rPr>
        <w:t xml:space="preserve"> </w:t>
      </w:r>
      <w:r w:rsidR="006A0BA1" w:rsidRPr="00E1257E">
        <w:rPr>
          <w:sz w:val="28"/>
          <w:szCs w:val="28"/>
          <w:lang w:val="ro-MO"/>
        </w:rPr>
        <w:t xml:space="preserve">la Standardele </w:t>
      </w:r>
      <w:r w:rsidR="002425A4" w:rsidRPr="006F3E1D">
        <w:rPr>
          <w:sz w:val="28"/>
          <w:szCs w:val="28"/>
        </w:rPr>
        <w:t>Naţionale de Contabilitate</w:t>
      </w:r>
      <w:r w:rsidR="001C36A6">
        <w:rPr>
          <w:sz w:val="28"/>
          <w:szCs w:val="28"/>
        </w:rPr>
        <w:t xml:space="preserve">, </w:t>
      </w:r>
      <w:r w:rsidR="001C36A6" w:rsidRPr="00B95655">
        <w:rPr>
          <w:sz w:val="28"/>
          <w:szCs w:val="28"/>
          <w:lang w:val="ro-MO"/>
        </w:rPr>
        <w:t>aprobat</w:t>
      </w:r>
      <w:r w:rsidR="001C36A6">
        <w:rPr>
          <w:sz w:val="28"/>
          <w:szCs w:val="28"/>
          <w:lang w:val="ro-MO"/>
        </w:rPr>
        <w:t>e</w:t>
      </w:r>
      <w:r w:rsidR="001C36A6" w:rsidRPr="00B95655">
        <w:rPr>
          <w:sz w:val="28"/>
          <w:szCs w:val="28"/>
          <w:lang w:val="ro-MO"/>
        </w:rPr>
        <w:t xml:space="preserve"> </w:t>
      </w:r>
      <w:r w:rsidR="001C36A6" w:rsidRPr="00F92D7F">
        <w:rPr>
          <w:sz w:val="28"/>
          <w:szCs w:val="28"/>
        </w:rPr>
        <w:t>prin</w:t>
      </w:r>
      <w:r w:rsidR="001C36A6" w:rsidRPr="00F92D7F">
        <w:rPr>
          <w:b/>
          <w:sz w:val="28"/>
          <w:szCs w:val="28"/>
        </w:rPr>
        <w:t xml:space="preserve"> </w:t>
      </w:r>
      <w:r w:rsidR="001C36A6" w:rsidRPr="00F92D7F">
        <w:rPr>
          <w:sz w:val="28"/>
          <w:szCs w:val="28"/>
          <w:lang w:val="ro-MO"/>
        </w:rPr>
        <w:t xml:space="preserve">Ordinul Ministerului </w:t>
      </w:r>
      <w:r w:rsidR="001C36A6" w:rsidRPr="006F3E1D">
        <w:rPr>
          <w:sz w:val="28"/>
          <w:szCs w:val="28"/>
          <w:lang w:val="ro-MO"/>
        </w:rPr>
        <w:t xml:space="preserve">Finanţelor </w:t>
      </w:r>
      <w:r w:rsidR="001C36A6">
        <w:rPr>
          <w:sz w:val="28"/>
          <w:szCs w:val="28"/>
        </w:rPr>
        <w:t>nr.</w:t>
      </w:r>
      <w:r w:rsidR="001C36A6" w:rsidRPr="006F3E1D">
        <w:rPr>
          <w:sz w:val="28"/>
          <w:szCs w:val="28"/>
        </w:rPr>
        <w:t>118  din  06.08.2013</w:t>
      </w:r>
      <w:r w:rsidRPr="00E1257E">
        <w:rPr>
          <w:sz w:val="28"/>
          <w:szCs w:val="28"/>
          <w:lang w:val="ro-MO"/>
        </w:rPr>
        <w:t>;</w:t>
      </w:r>
    </w:p>
    <w:p w:rsidR="00E1257E" w:rsidRPr="00E1257E" w:rsidRDefault="00E1257E" w:rsidP="00E1257E">
      <w:pPr>
        <w:pStyle w:val="ab"/>
        <w:numPr>
          <w:ilvl w:val="0"/>
          <w:numId w:val="5"/>
        </w:numPr>
        <w:ind w:left="993" w:hanging="426"/>
        <w:jc w:val="both"/>
        <w:rPr>
          <w:i/>
          <w:sz w:val="28"/>
          <w:szCs w:val="28"/>
        </w:rPr>
      </w:pPr>
      <w:r w:rsidRPr="00E1257E">
        <w:rPr>
          <w:sz w:val="28"/>
          <w:szCs w:val="28"/>
          <w:lang w:val="ro-MO"/>
        </w:rPr>
        <w:t xml:space="preserve">completarea pct.1 la </w:t>
      </w:r>
      <w:r w:rsidRPr="00E1257E">
        <w:rPr>
          <w:sz w:val="28"/>
          <w:szCs w:val="28"/>
        </w:rPr>
        <w:t xml:space="preserve">Indicaţii pentru completarea dării de seamă privind bunurile imobile proprietate publică a statului (anexa  nr.14) cu specificarea </w:t>
      </w:r>
      <w:r w:rsidRPr="00E1257E">
        <w:rPr>
          <w:sz w:val="28"/>
          <w:szCs w:val="28"/>
          <w:lang w:val="ro-MO"/>
        </w:rPr>
        <w:t>tipurilor de bunuri ce se supun înregistrării în registrul bunurilor imobile conform criteriilor stabilite în art.4 alin.(3) al Legii cadastrului bunurilor imobile nr.1543 din 25.02.1998</w:t>
      </w:r>
      <w:r w:rsidR="008C04BA">
        <w:rPr>
          <w:sz w:val="28"/>
          <w:szCs w:val="28"/>
          <w:lang w:val="ro-MO"/>
        </w:rPr>
        <w:t xml:space="preserve"> şi </w:t>
      </w:r>
      <w:r w:rsidR="003B4CEF">
        <w:rPr>
          <w:sz w:val="28"/>
          <w:szCs w:val="28"/>
          <w:lang w:val="ro-MO"/>
        </w:rPr>
        <w:t xml:space="preserve">în pct.6 al </w:t>
      </w:r>
      <w:r w:rsidR="0097702A">
        <w:rPr>
          <w:sz w:val="28"/>
          <w:szCs w:val="28"/>
          <w:lang w:val="ro-MO"/>
        </w:rPr>
        <w:t>Instrucţiunii cu privire la înregistrarea bunurilor imobile şi a drepturilor asupra lor, aprobat prin Ordinul Agenţiei Relaţii Funciare şi Cadastru nr.112 din 22 iunie 2005</w:t>
      </w:r>
      <w:r w:rsidRPr="00E1257E">
        <w:rPr>
          <w:sz w:val="28"/>
          <w:szCs w:val="28"/>
        </w:rPr>
        <w:t>.</w:t>
      </w:r>
      <w:r w:rsidRPr="00E1257E">
        <w:rPr>
          <w:i/>
          <w:sz w:val="28"/>
          <w:szCs w:val="28"/>
        </w:rPr>
        <w:t xml:space="preserve"> </w:t>
      </w:r>
    </w:p>
    <w:p w:rsidR="00DF37DB" w:rsidRPr="00E1257E" w:rsidRDefault="00DF37DB" w:rsidP="00DC602A">
      <w:pPr>
        <w:ind w:firstLine="720"/>
        <w:rPr>
          <w:sz w:val="28"/>
          <w:szCs w:val="28"/>
        </w:rPr>
      </w:pPr>
    </w:p>
    <w:p w:rsidR="001C36A6" w:rsidRPr="001C36A6" w:rsidRDefault="00EF5842" w:rsidP="001C36A6">
      <w:pPr>
        <w:pStyle w:val="ab"/>
        <w:numPr>
          <w:ilvl w:val="0"/>
          <w:numId w:val="6"/>
        </w:numPr>
        <w:tabs>
          <w:tab w:val="left" w:pos="0"/>
          <w:tab w:val="left" w:pos="993"/>
        </w:tabs>
        <w:ind w:left="0" w:firstLine="567"/>
        <w:jc w:val="both"/>
        <w:rPr>
          <w:sz w:val="28"/>
          <w:szCs w:val="28"/>
          <w:lang w:val="it-IT"/>
        </w:rPr>
      </w:pPr>
      <w:r>
        <w:rPr>
          <w:sz w:val="28"/>
          <w:szCs w:val="28"/>
        </w:rPr>
        <w:t>L</w:t>
      </w:r>
      <w:r w:rsidR="001C36A6" w:rsidRPr="001C36A6">
        <w:rPr>
          <w:sz w:val="28"/>
          <w:szCs w:val="28"/>
        </w:rPr>
        <w:t>a Hotărîrea Guvernului nr.568 din 06 mai 2008 „C</w:t>
      </w:r>
      <w:r w:rsidR="001C36A6" w:rsidRPr="001C36A6">
        <w:rPr>
          <w:sz w:val="28"/>
          <w:szCs w:val="28"/>
          <w:lang w:val="ro-MO"/>
        </w:rPr>
        <w:t>u privire la organizarea evidenţei proprietăţii publice, circulaţia acesteia şi exercitarea funcţiilor de către persoanele împuternicite să reprezinte interesele statului/unităţilor administrativ-teritoriale” s</w:t>
      </w:r>
      <w:r w:rsidR="001C36A6" w:rsidRPr="001C36A6">
        <w:rPr>
          <w:sz w:val="28"/>
          <w:szCs w:val="28"/>
        </w:rPr>
        <w:t>e propun modificări în anexa nr.1</w:t>
      </w:r>
      <w:r w:rsidR="001C36A6" w:rsidRPr="001C36A6">
        <w:rPr>
          <w:sz w:val="28"/>
          <w:szCs w:val="28"/>
          <w:lang w:val="ro-MO"/>
        </w:rPr>
        <w:t xml:space="preserve">, </w:t>
      </w:r>
      <w:r w:rsidR="001C36A6" w:rsidRPr="001C36A6">
        <w:rPr>
          <w:sz w:val="28"/>
          <w:szCs w:val="28"/>
        </w:rPr>
        <w:t xml:space="preserve">în </w:t>
      </w:r>
      <w:r w:rsidR="001C36A6" w:rsidRPr="001C36A6">
        <w:rPr>
          <w:rStyle w:val="docheader"/>
          <w:bCs/>
          <w:sz w:val="28"/>
          <w:szCs w:val="28"/>
        </w:rPr>
        <w:t>scopul</w:t>
      </w:r>
      <w:r w:rsidR="001C36A6" w:rsidRPr="001C36A6">
        <w:rPr>
          <w:sz w:val="28"/>
          <w:szCs w:val="28"/>
        </w:rPr>
        <w:t xml:space="preserve"> </w:t>
      </w:r>
      <w:r w:rsidR="001C36A6" w:rsidRPr="001C36A6">
        <w:rPr>
          <w:sz w:val="28"/>
          <w:szCs w:val="28"/>
          <w:lang w:val="ro-MO"/>
        </w:rPr>
        <w:t xml:space="preserve">ajustării terminologiei utilizate la </w:t>
      </w:r>
      <w:r w:rsidR="001C36A6" w:rsidRPr="001C36A6">
        <w:rPr>
          <w:sz w:val="28"/>
          <w:szCs w:val="28"/>
        </w:rPr>
        <w:t>Standar</w:t>
      </w:r>
      <w:bookmarkStart w:id="0" w:name="_GoBack"/>
      <w:bookmarkEnd w:id="0"/>
      <w:r w:rsidR="001C36A6" w:rsidRPr="001C36A6">
        <w:rPr>
          <w:sz w:val="28"/>
          <w:szCs w:val="28"/>
        </w:rPr>
        <w:t xml:space="preserve">dele Naţionale de Contabilitate </w:t>
      </w:r>
      <w:r w:rsidR="001C36A6" w:rsidRPr="001C36A6">
        <w:rPr>
          <w:sz w:val="28"/>
          <w:szCs w:val="28"/>
          <w:lang w:val="ro-MO"/>
        </w:rPr>
        <w:t xml:space="preserve">şi </w:t>
      </w:r>
      <w:r w:rsidR="001C36A6" w:rsidRPr="001C36A6">
        <w:rPr>
          <w:sz w:val="28"/>
          <w:szCs w:val="28"/>
          <w:lang w:val="it-IT"/>
        </w:rPr>
        <w:t xml:space="preserve">raportării sumelor distribuite pentru efectuarea acţiunilor de sponsorizări şi binefacere, în scopul verificării respectării cerinţelor  pct.6) din Hotărîrea Guvernului nr.110 din 23.02.2011 cu privire la unele aspecte ce ţin de repartizarea profitului net anual al societăţilor pe acţiuni cu cotă de participare a statului şi al întreprinderilor de stat. </w:t>
      </w:r>
    </w:p>
    <w:p w:rsidR="00E22558" w:rsidRPr="00E22558" w:rsidRDefault="00E22558" w:rsidP="000E78E1">
      <w:pPr>
        <w:ind w:firstLine="720"/>
        <w:jc w:val="both"/>
        <w:rPr>
          <w:sz w:val="28"/>
          <w:szCs w:val="28"/>
        </w:rPr>
      </w:pPr>
      <w:r w:rsidRPr="00E22558">
        <w:rPr>
          <w:sz w:val="28"/>
          <w:szCs w:val="28"/>
        </w:rPr>
        <w:lastRenderedPageBreak/>
        <w:t>Realizarea proiectului dat nu implică cheltuieli financiare publice şi nu conţine prevederi de reglementare a activităţii de întreprinzător în contextul Legii cu privire la principiile de bază de reglementare a activităţii de întreprinzător nr. 235-XVI din 20.07.2006, astfel decăzând necesitatea examinării acestuia de către Grupul de lucru pentru reglementarea activităţii de întreprinzător.</w:t>
      </w:r>
    </w:p>
    <w:p w:rsidR="00E22558" w:rsidRPr="00E22558" w:rsidRDefault="00E22558" w:rsidP="000E78E1">
      <w:pPr>
        <w:ind w:firstLine="720"/>
        <w:jc w:val="both"/>
        <w:rPr>
          <w:sz w:val="28"/>
          <w:szCs w:val="28"/>
        </w:rPr>
      </w:pPr>
      <w:r w:rsidRPr="00E22558">
        <w:rPr>
          <w:sz w:val="28"/>
          <w:szCs w:val="28"/>
        </w:rPr>
        <w:t xml:space="preserve">Proiectul dat este supus dezbaterilor publice, fiind plasat pe pagina web a ministerului </w:t>
      </w:r>
      <w:hyperlink r:id="rId6" w:history="1">
        <w:r w:rsidRPr="00E22558">
          <w:rPr>
            <w:sz w:val="28"/>
            <w:szCs w:val="28"/>
          </w:rPr>
          <w:t>www.mec.gov.md</w:t>
        </w:r>
      </w:hyperlink>
      <w:r w:rsidRPr="00E22558">
        <w:rPr>
          <w:sz w:val="28"/>
          <w:szCs w:val="28"/>
        </w:rPr>
        <w:t xml:space="preserve"> </w:t>
      </w:r>
      <w:r w:rsidR="00E1257E">
        <w:rPr>
          <w:sz w:val="28"/>
          <w:szCs w:val="28"/>
        </w:rPr>
        <w:t xml:space="preserve"> </w:t>
      </w:r>
      <w:r w:rsidRPr="00E22558">
        <w:rPr>
          <w:sz w:val="28"/>
          <w:szCs w:val="28"/>
        </w:rPr>
        <w:t>la compartimentul Transparenţa/ Anunţuri de proiecte şi consultări publice.</w:t>
      </w:r>
    </w:p>
    <w:p w:rsidR="00E22558" w:rsidRPr="00E22558" w:rsidRDefault="00E22558" w:rsidP="000E78E1">
      <w:pPr>
        <w:ind w:firstLine="720"/>
        <w:jc w:val="both"/>
        <w:rPr>
          <w:sz w:val="28"/>
          <w:szCs w:val="28"/>
        </w:rPr>
      </w:pPr>
      <w:r w:rsidRPr="00E22558">
        <w:rPr>
          <w:sz w:val="28"/>
          <w:szCs w:val="28"/>
        </w:rPr>
        <w:t xml:space="preserve">În contextul celor expuse, Ministerul Economiei înaintează spre examinare </w:t>
      </w:r>
      <w:r w:rsidR="00E1257E">
        <w:rPr>
          <w:sz w:val="28"/>
          <w:szCs w:val="28"/>
        </w:rPr>
        <w:t>ş</w:t>
      </w:r>
      <w:r w:rsidRPr="00E22558">
        <w:rPr>
          <w:sz w:val="28"/>
          <w:szCs w:val="28"/>
        </w:rPr>
        <w:t xml:space="preserve">i aviz proiectul hotărârii de Guvern </w:t>
      </w:r>
      <w:r w:rsidR="00E1257E">
        <w:rPr>
          <w:sz w:val="28"/>
          <w:szCs w:val="28"/>
        </w:rPr>
        <w:t>„</w:t>
      </w:r>
      <w:r w:rsidR="00E1257E" w:rsidRPr="005D619E">
        <w:rPr>
          <w:sz w:val="28"/>
          <w:szCs w:val="28"/>
        </w:rPr>
        <w:t xml:space="preserve">Cu privire la aprobarea modificărilor şi completărilor ce se operează în unele </w:t>
      </w:r>
      <w:proofErr w:type="spellStart"/>
      <w:r w:rsidR="00E1257E" w:rsidRPr="005D619E">
        <w:rPr>
          <w:sz w:val="28"/>
          <w:szCs w:val="28"/>
        </w:rPr>
        <w:t>hotărîri</w:t>
      </w:r>
      <w:proofErr w:type="spellEnd"/>
      <w:r w:rsidR="00E1257E" w:rsidRPr="005D619E">
        <w:rPr>
          <w:sz w:val="28"/>
          <w:szCs w:val="28"/>
        </w:rPr>
        <w:t xml:space="preserve"> ale Guvernului</w:t>
      </w:r>
      <w:r w:rsidR="00E1257E">
        <w:rPr>
          <w:sz w:val="28"/>
          <w:szCs w:val="28"/>
        </w:rPr>
        <w:t>”.</w:t>
      </w:r>
    </w:p>
    <w:p w:rsidR="00E22558" w:rsidRDefault="00E22558" w:rsidP="00E22558">
      <w:pPr>
        <w:ind w:firstLine="567"/>
        <w:jc w:val="both"/>
        <w:rPr>
          <w:sz w:val="28"/>
          <w:szCs w:val="28"/>
        </w:rPr>
      </w:pPr>
    </w:p>
    <w:p w:rsidR="009833F8" w:rsidRPr="00E22558" w:rsidRDefault="009833F8" w:rsidP="00E22558">
      <w:pPr>
        <w:ind w:firstLine="567"/>
        <w:jc w:val="both"/>
        <w:rPr>
          <w:sz w:val="28"/>
          <w:szCs w:val="28"/>
        </w:rPr>
      </w:pPr>
    </w:p>
    <w:p w:rsidR="00E22558" w:rsidRPr="009A77AA" w:rsidRDefault="00171644" w:rsidP="00E22558">
      <w:pPr>
        <w:ind w:firstLine="567"/>
        <w:jc w:val="both"/>
        <w:rPr>
          <w:sz w:val="26"/>
          <w:szCs w:val="26"/>
        </w:rPr>
      </w:pPr>
      <w:r>
        <w:rPr>
          <w:sz w:val="26"/>
          <w:szCs w:val="26"/>
        </w:rPr>
        <w:t xml:space="preserve">   </w:t>
      </w:r>
    </w:p>
    <w:p w:rsidR="00E22558" w:rsidRPr="009A77AA" w:rsidRDefault="00E22558" w:rsidP="00E22558">
      <w:pPr>
        <w:ind w:firstLine="425"/>
        <w:jc w:val="both"/>
        <w:rPr>
          <w:b/>
          <w:sz w:val="28"/>
          <w:szCs w:val="28"/>
        </w:rPr>
      </w:pPr>
      <w:r>
        <w:rPr>
          <w:b/>
          <w:sz w:val="28"/>
          <w:szCs w:val="28"/>
        </w:rPr>
        <w:t xml:space="preserve"> </w:t>
      </w:r>
      <w:r w:rsidR="00171644">
        <w:rPr>
          <w:b/>
          <w:sz w:val="28"/>
          <w:szCs w:val="28"/>
        </w:rPr>
        <w:tab/>
      </w:r>
      <w:proofErr w:type="spellStart"/>
      <w:r>
        <w:rPr>
          <w:b/>
          <w:sz w:val="28"/>
          <w:szCs w:val="28"/>
        </w:rPr>
        <w:t>Viceministru</w:t>
      </w:r>
      <w:proofErr w:type="spellEnd"/>
      <w:r>
        <w:rPr>
          <w:b/>
          <w:sz w:val="28"/>
          <w:szCs w:val="28"/>
        </w:rPr>
        <w:t xml:space="preserve"> </w:t>
      </w:r>
      <w:r w:rsidRPr="009A77AA">
        <w:rPr>
          <w:b/>
          <w:sz w:val="28"/>
          <w:szCs w:val="28"/>
        </w:rPr>
        <w:t xml:space="preserve"> </w:t>
      </w:r>
      <w:r>
        <w:rPr>
          <w:b/>
          <w:sz w:val="28"/>
          <w:szCs w:val="28"/>
        </w:rPr>
        <w:t xml:space="preserve">                                                          </w:t>
      </w:r>
      <w:r w:rsidR="00171644">
        <w:rPr>
          <w:b/>
          <w:sz w:val="28"/>
          <w:szCs w:val="28"/>
        </w:rPr>
        <w:t xml:space="preserve">       </w:t>
      </w:r>
      <w:r>
        <w:rPr>
          <w:b/>
          <w:sz w:val="28"/>
          <w:szCs w:val="28"/>
        </w:rPr>
        <w:t xml:space="preserve">Valeriu </w:t>
      </w:r>
      <w:proofErr w:type="spellStart"/>
      <w:r>
        <w:rPr>
          <w:b/>
          <w:sz w:val="28"/>
          <w:szCs w:val="28"/>
        </w:rPr>
        <w:t>Triboi</w:t>
      </w:r>
      <w:proofErr w:type="spellEnd"/>
    </w:p>
    <w:p w:rsidR="00E22558" w:rsidRDefault="00E22558" w:rsidP="00805941">
      <w:pPr>
        <w:spacing w:line="360" w:lineRule="auto"/>
        <w:ind w:firstLine="851"/>
        <w:jc w:val="both"/>
        <w:rPr>
          <w:sz w:val="28"/>
          <w:szCs w:val="28"/>
        </w:rPr>
      </w:pPr>
    </w:p>
    <w:p w:rsidR="00186EAC" w:rsidRDefault="00186EAC"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E1257E" w:rsidRDefault="00E1257E" w:rsidP="0049315E">
      <w:pPr>
        <w:ind w:firstLine="990"/>
        <w:jc w:val="both"/>
        <w:rPr>
          <w:lang w:val="ro-MO"/>
        </w:rPr>
      </w:pPr>
    </w:p>
    <w:p w:rsidR="008C15E9" w:rsidRDefault="008C15E9" w:rsidP="0049315E">
      <w:pPr>
        <w:ind w:firstLine="990"/>
        <w:jc w:val="both"/>
        <w:rPr>
          <w:lang w:val="ro-MO"/>
        </w:rPr>
      </w:pPr>
    </w:p>
    <w:p w:rsidR="008C15E9" w:rsidRDefault="008C15E9" w:rsidP="0049315E">
      <w:pPr>
        <w:ind w:firstLine="990"/>
        <w:jc w:val="both"/>
        <w:rPr>
          <w:lang w:val="ro-MO"/>
        </w:rPr>
      </w:pPr>
    </w:p>
    <w:p w:rsidR="00E1257E" w:rsidRDefault="00E1257E" w:rsidP="0049315E">
      <w:pPr>
        <w:ind w:firstLine="990"/>
        <w:jc w:val="both"/>
        <w:rPr>
          <w:lang w:val="ro-MO"/>
        </w:rPr>
      </w:pPr>
    </w:p>
    <w:p w:rsidR="001D08F5" w:rsidRDefault="001D08F5" w:rsidP="0049315E">
      <w:pPr>
        <w:ind w:firstLine="990"/>
        <w:jc w:val="both"/>
        <w:rPr>
          <w:lang w:val="ro-MO"/>
        </w:rPr>
      </w:pPr>
    </w:p>
    <w:sectPr w:rsidR="001D08F5" w:rsidSect="001C36A6">
      <w:pgSz w:w="11906" w:h="16838"/>
      <w:pgMar w:top="1134" w:right="709"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Kudriashov">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76E"/>
    <w:multiLevelType w:val="hybridMultilevel"/>
    <w:tmpl w:val="4596DA6A"/>
    <w:lvl w:ilvl="0" w:tplc="7BF25A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4642B4"/>
    <w:multiLevelType w:val="hybridMultilevel"/>
    <w:tmpl w:val="DABA8B20"/>
    <w:lvl w:ilvl="0" w:tplc="EFECC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2EF5F1D"/>
    <w:multiLevelType w:val="singleLevel"/>
    <w:tmpl w:val="4628F580"/>
    <w:lvl w:ilvl="0">
      <w:start w:val="1"/>
      <w:numFmt w:val="lowerLetter"/>
      <w:lvlText w:val="%1)"/>
      <w:lvlJc w:val="left"/>
      <w:pPr>
        <w:tabs>
          <w:tab w:val="num" w:pos="360"/>
        </w:tabs>
        <w:ind w:left="360" w:hanging="360"/>
      </w:pPr>
      <w:rPr>
        <w:rFonts w:hint="default"/>
      </w:rPr>
    </w:lvl>
  </w:abstractNum>
  <w:abstractNum w:abstractNumId="3">
    <w:nsid w:val="42D53A3D"/>
    <w:multiLevelType w:val="hybridMultilevel"/>
    <w:tmpl w:val="78664E8A"/>
    <w:lvl w:ilvl="0" w:tplc="6E507B1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E204054"/>
    <w:multiLevelType w:val="hybridMultilevel"/>
    <w:tmpl w:val="6F3EF9B4"/>
    <w:lvl w:ilvl="0" w:tplc="FDF67722">
      <w:start w:val="1"/>
      <w:numFmt w:val="lowerLetter"/>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6662C80"/>
    <w:multiLevelType w:val="hybridMultilevel"/>
    <w:tmpl w:val="3B720E54"/>
    <w:lvl w:ilvl="0" w:tplc="39B8DAB6">
      <w:numFmt w:val="bullet"/>
      <w:lvlText w:val="-"/>
      <w:lvlJc w:val="left"/>
      <w:pPr>
        <w:tabs>
          <w:tab w:val="num" w:pos="1995"/>
        </w:tabs>
        <w:ind w:left="1995" w:hanging="1155"/>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7C232173"/>
    <w:multiLevelType w:val="singleLevel"/>
    <w:tmpl w:val="FB6880E0"/>
    <w:lvl w:ilvl="0">
      <w:start w:val="11"/>
      <w:numFmt w:val="bullet"/>
      <w:lvlText w:val="–"/>
      <w:lvlJc w:val="left"/>
      <w:pPr>
        <w:tabs>
          <w:tab w:val="num" w:pos="1800"/>
        </w:tabs>
        <w:ind w:left="1800" w:hanging="360"/>
      </w:pPr>
      <w:rPr>
        <w:rFonts w:hint="default"/>
      </w:r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6B"/>
    <w:rsid w:val="000026EB"/>
    <w:rsid w:val="000206C6"/>
    <w:rsid w:val="0004642F"/>
    <w:rsid w:val="00053D39"/>
    <w:rsid w:val="00063C02"/>
    <w:rsid w:val="000642D5"/>
    <w:rsid w:val="000B1F46"/>
    <w:rsid w:val="000C6198"/>
    <w:rsid w:val="000E78E1"/>
    <w:rsid w:val="000F3895"/>
    <w:rsid w:val="001217F2"/>
    <w:rsid w:val="00124219"/>
    <w:rsid w:val="00150D69"/>
    <w:rsid w:val="00171644"/>
    <w:rsid w:val="00185C59"/>
    <w:rsid w:val="00186EAC"/>
    <w:rsid w:val="00197A4F"/>
    <w:rsid w:val="001A20C8"/>
    <w:rsid w:val="001B03BA"/>
    <w:rsid w:val="001C36A6"/>
    <w:rsid w:val="001C7A82"/>
    <w:rsid w:val="001D08F5"/>
    <w:rsid w:val="00220D89"/>
    <w:rsid w:val="002341CD"/>
    <w:rsid w:val="00235DF2"/>
    <w:rsid w:val="002425A4"/>
    <w:rsid w:val="00246C2B"/>
    <w:rsid w:val="002556D1"/>
    <w:rsid w:val="00283E36"/>
    <w:rsid w:val="002867B4"/>
    <w:rsid w:val="00290398"/>
    <w:rsid w:val="002C0372"/>
    <w:rsid w:val="00354868"/>
    <w:rsid w:val="0036486B"/>
    <w:rsid w:val="003A528C"/>
    <w:rsid w:val="003B4CEF"/>
    <w:rsid w:val="003D2DC6"/>
    <w:rsid w:val="00417CF7"/>
    <w:rsid w:val="00441A21"/>
    <w:rsid w:val="0049315E"/>
    <w:rsid w:val="00495A08"/>
    <w:rsid w:val="004A798A"/>
    <w:rsid w:val="004B7F60"/>
    <w:rsid w:val="004C03B5"/>
    <w:rsid w:val="004E7761"/>
    <w:rsid w:val="004F5B50"/>
    <w:rsid w:val="00507140"/>
    <w:rsid w:val="00577F5E"/>
    <w:rsid w:val="005C6113"/>
    <w:rsid w:val="005C6210"/>
    <w:rsid w:val="00650BA3"/>
    <w:rsid w:val="006A0BA1"/>
    <w:rsid w:val="006C4CA5"/>
    <w:rsid w:val="006F3E1D"/>
    <w:rsid w:val="007227B3"/>
    <w:rsid w:val="00733A2B"/>
    <w:rsid w:val="00750A6F"/>
    <w:rsid w:val="00776EEE"/>
    <w:rsid w:val="00787A54"/>
    <w:rsid w:val="00791255"/>
    <w:rsid w:val="007951D1"/>
    <w:rsid w:val="00805941"/>
    <w:rsid w:val="00864218"/>
    <w:rsid w:val="008759A4"/>
    <w:rsid w:val="00877DA7"/>
    <w:rsid w:val="00886118"/>
    <w:rsid w:val="00892E07"/>
    <w:rsid w:val="008A15F0"/>
    <w:rsid w:val="008C04BA"/>
    <w:rsid w:val="008C15E9"/>
    <w:rsid w:val="008F7FE0"/>
    <w:rsid w:val="00922443"/>
    <w:rsid w:val="009270EA"/>
    <w:rsid w:val="0097702A"/>
    <w:rsid w:val="009833F8"/>
    <w:rsid w:val="009920BF"/>
    <w:rsid w:val="009B209F"/>
    <w:rsid w:val="009C7760"/>
    <w:rsid w:val="009D0137"/>
    <w:rsid w:val="009E7CC9"/>
    <w:rsid w:val="00A05836"/>
    <w:rsid w:val="00A06682"/>
    <w:rsid w:val="00A43563"/>
    <w:rsid w:val="00A55A48"/>
    <w:rsid w:val="00A75027"/>
    <w:rsid w:val="00A86966"/>
    <w:rsid w:val="00AA30EF"/>
    <w:rsid w:val="00AA3663"/>
    <w:rsid w:val="00AA3D81"/>
    <w:rsid w:val="00AD20AA"/>
    <w:rsid w:val="00AE4402"/>
    <w:rsid w:val="00B65007"/>
    <w:rsid w:val="00B77759"/>
    <w:rsid w:val="00BA5BED"/>
    <w:rsid w:val="00BF79FD"/>
    <w:rsid w:val="00C50D64"/>
    <w:rsid w:val="00C60DFC"/>
    <w:rsid w:val="00C725CB"/>
    <w:rsid w:val="00CB05E1"/>
    <w:rsid w:val="00CF1544"/>
    <w:rsid w:val="00CF5595"/>
    <w:rsid w:val="00D056B7"/>
    <w:rsid w:val="00D30FA6"/>
    <w:rsid w:val="00D6176B"/>
    <w:rsid w:val="00D72A88"/>
    <w:rsid w:val="00D7392E"/>
    <w:rsid w:val="00D74554"/>
    <w:rsid w:val="00DC602A"/>
    <w:rsid w:val="00DD309E"/>
    <w:rsid w:val="00DF37DB"/>
    <w:rsid w:val="00E1257E"/>
    <w:rsid w:val="00E22558"/>
    <w:rsid w:val="00E30A8F"/>
    <w:rsid w:val="00E520F6"/>
    <w:rsid w:val="00EB4815"/>
    <w:rsid w:val="00EC4F77"/>
    <w:rsid w:val="00EF5842"/>
    <w:rsid w:val="00F14155"/>
    <w:rsid w:val="00F17733"/>
    <w:rsid w:val="00F374C6"/>
    <w:rsid w:val="00F4562B"/>
    <w:rsid w:val="00F85344"/>
    <w:rsid w:val="00F939A1"/>
    <w:rsid w:val="00F9555F"/>
    <w:rsid w:val="00FA76CC"/>
    <w:rsid w:val="00FC2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ro-RO"/>
    </w:rPr>
  </w:style>
  <w:style w:type="paragraph" w:styleId="2">
    <w:name w:val="heading 2"/>
    <w:basedOn w:val="a"/>
    <w:next w:val="a"/>
    <w:qFormat/>
    <w:pPr>
      <w:keepNext/>
      <w:spacing w:line="360" w:lineRule="auto"/>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12" w:lineRule="auto"/>
      <w:ind w:firstLine="720"/>
      <w:jc w:val="center"/>
    </w:pPr>
    <w:rPr>
      <w:b/>
      <w:sz w:val="26"/>
      <w:lang w:val="en-US"/>
    </w:rPr>
  </w:style>
  <w:style w:type="paragraph" w:styleId="a4">
    <w:name w:val="Body Text Indent"/>
    <w:basedOn w:val="a"/>
    <w:pPr>
      <w:spacing w:line="312" w:lineRule="auto"/>
      <w:ind w:firstLine="426"/>
      <w:jc w:val="both"/>
    </w:pPr>
    <w:rPr>
      <w:sz w:val="26"/>
    </w:rPr>
  </w:style>
  <w:style w:type="paragraph" w:styleId="20">
    <w:name w:val="Body Text Indent 2"/>
    <w:basedOn w:val="a"/>
    <w:pPr>
      <w:spacing w:line="288" w:lineRule="auto"/>
      <w:ind w:firstLine="720"/>
      <w:jc w:val="both"/>
    </w:pPr>
    <w:rPr>
      <w:sz w:val="26"/>
    </w:rPr>
  </w:style>
  <w:style w:type="paragraph" w:styleId="a5">
    <w:name w:val="Balloon Text"/>
    <w:basedOn w:val="a"/>
    <w:semiHidden/>
    <w:rPr>
      <w:rFonts w:ascii="Tahoma" w:hAnsi="Tahoma" w:cs="Tahoma"/>
      <w:sz w:val="16"/>
      <w:szCs w:val="16"/>
    </w:rPr>
  </w:style>
  <w:style w:type="paragraph" w:styleId="a6">
    <w:name w:val="Block Text"/>
    <w:basedOn w:val="a"/>
    <w:pPr>
      <w:ind w:left="567" w:right="-710" w:firstLine="567"/>
      <w:jc w:val="center"/>
    </w:pPr>
    <w:rPr>
      <w:sz w:val="28"/>
      <w:lang w:eastAsia="ro-RO"/>
    </w:rPr>
  </w:style>
  <w:style w:type="paragraph" w:styleId="3">
    <w:name w:val="Body Text Indent 3"/>
    <w:basedOn w:val="a"/>
    <w:pPr>
      <w:spacing w:after="120"/>
      <w:ind w:left="283"/>
    </w:pPr>
    <w:rPr>
      <w:sz w:val="16"/>
      <w:szCs w:val="16"/>
      <w:lang w:eastAsia="ro-RO"/>
    </w:rPr>
  </w:style>
  <w:style w:type="character" w:customStyle="1" w:styleId="docheader">
    <w:name w:val="doc_header"/>
    <w:basedOn w:val="a0"/>
  </w:style>
  <w:style w:type="paragraph" w:customStyle="1" w:styleId="a7">
    <w:name w:val="Îáû÷íûé"/>
    <w:pPr>
      <w:autoSpaceDE w:val="0"/>
      <w:autoSpaceDN w:val="0"/>
      <w:adjustRightInd w:val="0"/>
    </w:pPr>
    <w:rPr>
      <w:rFonts w:ascii="$Kudriashov" w:hAnsi="$Kudriashov"/>
      <w:noProof/>
      <w:sz w:val="28"/>
      <w:szCs w:val="28"/>
      <w:lang w:val="en-US" w:eastAsia="en-US"/>
    </w:rPr>
  </w:style>
  <w:style w:type="paragraph" w:styleId="a8">
    <w:name w:val="Normal (Web)"/>
    <w:basedOn w:val="a"/>
    <w:link w:val="a9"/>
    <w:uiPriority w:val="99"/>
    <w:rsid w:val="009270EA"/>
    <w:pPr>
      <w:ind w:firstLine="567"/>
      <w:jc w:val="both"/>
    </w:pPr>
    <w:rPr>
      <w:sz w:val="24"/>
      <w:szCs w:val="24"/>
      <w:lang w:val="ru-RU"/>
    </w:rPr>
  </w:style>
  <w:style w:type="character" w:styleId="aa">
    <w:name w:val="Hyperlink"/>
    <w:basedOn w:val="a0"/>
    <w:rsid w:val="009920BF"/>
    <w:rPr>
      <w:color w:val="0000FF"/>
      <w:u w:val="single"/>
    </w:rPr>
  </w:style>
  <w:style w:type="character" w:customStyle="1" w:styleId="docbody">
    <w:name w:val="doc_body"/>
    <w:rsid w:val="004A798A"/>
    <w:rPr>
      <w:rFonts w:cs="Times New Roman"/>
    </w:rPr>
  </w:style>
  <w:style w:type="paragraph" w:customStyle="1" w:styleId="tt">
    <w:name w:val="tt"/>
    <w:basedOn w:val="a"/>
    <w:rsid w:val="00B65007"/>
    <w:pPr>
      <w:jc w:val="center"/>
    </w:pPr>
    <w:rPr>
      <w:b/>
      <w:bCs/>
      <w:sz w:val="24"/>
      <w:szCs w:val="24"/>
      <w:lang w:val="ru-RU"/>
    </w:rPr>
  </w:style>
  <w:style w:type="paragraph" w:customStyle="1" w:styleId="cn">
    <w:name w:val="cn"/>
    <w:basedOn w:val="a"/>
    <w:rsid w:val="00B65007"/>
    <w:pPr>
      <w:jc w:val="center"/>
    </w:pPr>
    <w:rPr>
      <w:sz w:val="24"/>
      <w:szCs w:val="24"/>
      <w:lang w:val="ru-RU"/>
    </w:rPr>
  </w:style>
  <w:style w:type="character" w:customStyle="1" w:styleId="a9">
    <w:name w:val="Обычный (веб) Знак"/>
    <w:basedOn w:val="a0"/>
    <w:link w:val="a8"/>
    <w:rsid w:val="004B7F60"/>
    <w:rPr>
      <w:sz w:val="24"/>
      <w:szCs w:val="24"/>
      <w:lang w:val="ru-RU" w:eastAsia="ru-RU" w:bidi="ar-SA"/>
    </w:rPr>
  </w:style>
  <w:style w:type="paragraph" w:styleId="ab">
    <w:name w:val="List Paragraph"/>
    <w:basedOn w:val="a"/>
    <w:uiPriority w:val="34"/>
    <w:qFormat/>
    <w:rsid w:val="006A0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ro-RO"/>
    </w:rPr>
  </w:style>
  <w:style w:type="paragraph" w:styleId="2">
    <w:name w:val="heading 2"/>
    <w:basedOn w:val="a"/>
    <w:next w:val="a"/>
    <w:qFormat/>
    <w:pPr>
      <w:keepNext/>
      <w:spacing w:line="360" w:lineRule="auto"/>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12" w:lineRule="auto"/>
      <w:ind w:firstLine="720"/>
      <w:jc w:val="center"/>
    </w:pPr>
    <w:rPr>
      <w:b/>
      <w:sz w:val="26"/>
      <w:lang w:val="en-US"/>
    </w:rPr>
  </w:style>
  <w:style w:type="paragraph" w:styleId="a4">
    <w:name w:val="Body Text Indent"/>
    <w:basedOn w:val="a"/>
    <w:pPr>
      <w:spacing w:line="312" w:lineRule="auto"/>
      <w:ind w:firstLine="426"/>
      <w:jc w:val="both"/>
    </w:pPr>
    <w:rPr>
      <w:sz w:val="26"/>
    </w:rPr>
  </w:style>
  <w:style w:type="paragraph" w:styleId="20">
    <w:name w:val="Body Text Indent 2"/>
    <w:basedOn w:val="a"/>
    <w:pPr>
      <w:spacing w:line="288" w:lineRule="auto"/>
      <w:ind w:firstLine="720"/>
      <w:jc w:val="both"/>
    </w:pPr>
    <w:rPr>
      <w:sz w:val="26"/>
    </w:rPr>
  </w:style>
  <w:style w:type="paragraph" w:styleId="a5">
    <w:name w:val="Balloon Text"/>
    <w:basedOn w:val="a"/>
    <w:semiHidden/>
    <w:rPr>
      <w:rFonts w:ascii="Tahoma" w:hAnsi="Tahoma" w:cs="Tahoma"/>
      <w:sz w:val="16"/>
      <w:szCs w:val="16"/>
    </w:rPr>
  </w:style>
  <w:style w:type="paragraph" w:styleId="a6">
    <w:name w:val="Block Text"/>
    <w:basedOn w:val="a"/>
    <w:pPr>
      <w:ind w:left="567" w:right="-710" w:firstLine="567"/>
      <w:jc w:val="center"/>
    </w:pPr>
    <w:rPr>
      <w:sz w:val="28"/>
      <w:lang w:eastAsia="ro-RO"/>
    </w:rPr>
  </w:style>
  <w:style w:type="paragraph" w:styleId="3">
    <w:name w:val="Body Text Indent 3"/>
    <w:basedOn w:val="a"/>
    <w:pPr>
      <w:spacing w:after="120"/>
      <w:ind w:left="283"/>
    </w:pPr>
    <w:rPr>
      <w:sz w:val="16"/>
      <w:szCs w:val="16"/>
      <w:lang w:eastAsia="ro-RO"/>
    </w:rPr>
  </w:style>
  <w:style w:type="character" w:customStyle="1" w:styleId="docheader">
    <w:name w:val="doc_header"/>
    <w:basedOn w:val="a0"/>
  </w:style>
  <w:style w:type="paragraph" w:customStyle="1" w:styleId="a7">
    <w:name w:val="Îáû÷íûé"/>
    <w:pPr>
      <w:autoSpaceDE w:val="0"/>
      <w:autoSpaceDN w:val="0"/>
      <w:adjustRightInd w:val="0"/>
    </w:pPr>
    <w:rPr>
      <w:rFonts w:ascii="$Kudriashov" w:hAnsi="$Kudriashov"/>
      <w:noProof/>
      <w:sz w:val="28"/>
      <w:szCs w:val="28"/>
      <w:lang w:val="en-US" w:eastAsia="en-US"/>
    </w:rPr>
  </w:style>
  <w:style w:type="paragraph" w:styleId="a8">
    <w:name w:val="Normal (Web)"/>
    <w:basedOn w:val="a"/>
    <w:link w:val="a9"/>
    <w:uiPriority w:val="99"/>
    <w:rsid w:val="009270EA"/>
    <w:pPr>
      <w:ind w:firstLine="567"/>
      <w:jc w:val="both"/>
    </w:pPr>
    <w:rPr>
      <w:sz w:val="24"/>
      <w:szCs w:val="24"/>
      <w:lang w:val="ru-RU"/>
    </w:rPr>
  </w:style>
  <w:style w:type="character" w:styleId="aa">
    <w:name w:val="Hyperlink"/>
    <w:basedOn w:val="a0"/>
    <w:rsid w:val="009920BF"/>
    <w:rPr>
      <w:color w:val="0000FF"/>
      <w:u w:val="single"/>
    </w:rPr>
  </w:style>
  <w:style w:type="character" w:customStyle="1" w:styleId="docbody">
    <w:name w:val="doc_body"/>
    <w:rsid w:val="004A798A"/>
    <w:rPr>
      <w:rFonts w:cs="Times New Roman"/>
    </w:rPr>
  </w:style>
  <w:style w:type="paragraph" w:customStyle="1" w:styleId="tt">
    <w:name w:val="tt"/>
    <w:basedOn w:val="a"/>
    <w:rsid w:val="00B65007"/>
    <w:pPr>
      <w:jc w:val="center"/>
    </w:pPr>
    <w:rPr>
      <w:b/>
      <w:bCs/>
      <w:sz w:val="24"/>
      <w:szCs w:val="24"/>
      <w:lang w:val="ru-RU"/>
    </w:rPr>
  </w:style>
  <w:style w:type="paragraph" w:customStyle="1" w:styleId="cn">
    <w:name w:val="cn"/>
    <w:basedOn w:val="a"/>
    <w:rsid w:val="00B65007"/>
    <w:pPr>
      <w:jc w:val="center"/>
    </w:pPr>
    <w:rPr>
      <w:sz w:val="24"/>
      <w:szCs w:val="24"/>
      <w:lang w:val="ru-RU"/>
    </w:rPr>
  </w:style>
  <w:style w:type="character" w:customStyle="1" w:styleId="a9">
    <w:name w:val="Обычный (веб) Знак"/>
    <w:basedOn w:val="a0"/>
    <w:link w:val="a8"/>
    <w:rsid w:val="004B7F60"/>
    <w:rPr>
      <w:sz w:val="24"/>
      <w:szCs w:val="24"/>
      <w:lang w:val="ru-RU" w:eastAsia="ru-RU" w:bidi="ar-SA"/>
    </w:rPr>
  </w:style>
  <w:style w:type="paragraph" w:styleId="ab">
    <w:name w:val="List Paragraph"/>
    <w:basedOn w:val="a"/>
    <w:uiPriority w:val="34"/>
    <w:qFormat/>
    <w:rsid w:val="006A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117">
      <w:bodyDiv w:val="1"/>
      <w:marLeft w:val="0"/>
      <w:marRight w:val="0"/>
      <w:marTop w:val="0"/>
      <w:marBottom w:val="0"/>
      <w:divBdr>
        <w:top w:val="none" w:sz="0" w:space="0" w:color="auto"/>
        <w:left w:val="none" w:sz="0" w:space="0" w:color="auto"/>
        <w:bottom w:val="none" w:sz="0" w:space="0" w:color="auto"/>
        <w:right w:val="none" w:sz="0" w:space="0" w:color="auto"/>
      </w:divBdr>
    </w:div>
    <w:div w:id="333382149">
      <w:bodyDiv w:val="1"/>
      <w:marLeft w:val="0"/>
      <w:marRight w:val="0"/>
      <w:marTop w:val="0"/>
      <w:marBottom w:val="0"/>
      <w:divBdr>
        <w:top w:val="none" w:sz="0" w:space="0" w:color="auto"/>
        <w:left w:val="none" w:sz="0" w:space="0" w:color="auto"/>
        <w:bottom w:val="none" w:sz="0" w:space="0" w:color="auto"/>
        <w:right w:val="none" w:sz="0" w:space="0" w:color="auto"/>
      </w:divBdr>
    </w:div>
    <w:div w:id="367336175">
      <w:bodyDiv w:val="1"/>
      <w:marLeft w:val="0"/>
      <w:marRight w:val="0"/>
      <w:marTop w:val="0"/>
      <w:marBottom w:val="0"/>
      <w:divBdr>
        <w:top w:val="none" w:sz="0" w:space="0" w:color="auto"/>
        <w:left w:val="none" w:sz="0" w:space="0" w:color="auto"/>
        <w:bottom w:val="none" w:sz="0" w:space="0" w:color="auto"/>
        <w:right w:val="none" w:sz="0" w:space="0" w:color="auto"/>
      </w:divBdr>
    </w:div>
    <w:div w:id="619142363">
      <w:bodyDiv w:val="1"/>
      <w:marLeft w:val="0"/>
      <w:marRight w:val="0"/>
      <w:marTop w:val="0"/>
      <w:marBottom w:val="0"/>
      <w:divBdr>
        <w:top w:val="none" w:sz="0" w:space="0" w:color="auto"/>
        <w:left w:val="none" w:sz="0" w:space="0" w:color="auto"/>
        <w:bottom w:val="none" w:sz="0" w:space="0" w:color="auto"/>
        <w:right w:val="none" w:sz="0" w:space="0" w:color="auto"/>
      </w:divBdr>
    </w:div>
    <w:div w:id="901985554">
      <w:bodyDiv w:val="1"/>
      <w:marLeft w:val="0"/>
      <w:marRight w:val="0"/>
      <w:marTop w:val="0"/>
      <w:marBottom w:val="0"/>
      <w:divBdr>
        <w:top w:val="none" w:sz="0" w:space="0" w:color="auto"/>
        <w:left w:val="none" w:sz="0" w:space="0" w:color="auto"/>
        <w:bottom w:val="none" w:sz="0" w:space="0" w:color="auto"/>
        <w:right w:val="none" w:sz="0" w:space="0" w:color="auto"/>
      </w:divBdr>
    </w:div>
    <w:div w:id="1156530982">
      <w:bodyDiv w:val="1"/>
      <w:marLeft w:val="0"/>
      <w:marRight w:val="0"/>
      <w:marTop w:val="0"/>
      <w:marBottom w:val="0"/>
      <w:divBdr>
        <w:top w:val="none" w:sz="0" w:space="0" w:color="auto"/>
        <w:left w:val="none" w:sz="0" w:space="0" w:color="auto"/>
        <w:bottom w:val="none" w:sz="0" w:space="0" w:color="auto"/>
        <w:right w:val="none" w:sz="0" w:space="0" w:color="auto"/>
      </w:divBdr>
    </w:div>
    <w:div w:id="1533301143">
      <w:bodyDiv w:val="1"/>
      <w:marLeft w:val="0"/>
      <w:marRight w:val="0"/>
      <w:marTop w:val="0"/>
      <w:marBottom w:val="0"/>
      <w:divBdr>
        <w:top w:val="none" w:sz="0" w:space="0" w:color="auto"/>
        <w:left w:val="none" w:sz="0" w:space="0" w:color="auto"/>
        <w:bottom w:val="none" w:sz="0" w:space="0" w:color="auto"/>
        <w:right w:val="none" w:sz="0" w:space="0" w:color="auto"/>
      </w:divBdr>
    </w:div>
    <w:div w:id="1727070656">
      <w:bodyDiv w:val="1"/>
      <w:marLeft w:val="0"/>
      <w:marRight w:val="0"/>
      <w:marTop w:val="0"/>
      <w:marBottom w:val="0"/>
      <w:divBdr>
        <w:top w:val="none" w:sz="0" w:space="0" w:color="auto"/>
        <w:left w:val="none" w:sz="0" w:space="0" w:color="auto"/>
        <w:bottom w:val="none" w:sz="0" w:space="0" w:color="auto"/>
        <w:right w:val="none" w:sz="0" w:space="0" w:color="auto"/>
      </w:divBdr>
    </w:div>
    <w:div w:id="2105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Notă explicativă </vt:lpstr>
    </vt:vector>
  </TitlesOfParts>
  <Company>CEI</Company>
  <LinksUpToDate>false</LinksUpToDate>
  <CharactersWithSpaces>3897</CharactersWithSpaces>
  <SharedDoc>false</SharedDoc>
  <HLinks>
    <vt:vector size="6" baseType="variant">
      <vt:variant>
        <vt:i4>7733310</vt:i4>
      </vt:variant>
      <vt:variant>
        <vt:i4>0</vt:i4>
      </vt:variant>
      <vt:variant>
        <vt:i4>0</vt:i4>
      </vt:variant>
      <vt:variant>
        <vt:i4>5</vt:i4>
      </vt:variant>
      <vt:variant>
        <vt:lpwstr>http://www.mec.gov.md/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explicativă </dc:title>
  <dc:subject/>
  <dc:creator>Rodica</dc:creator>
  <cp:keywords/>
  <cp:lastModifiedBy>Admin</cp:lastModifiedBy>
  <cp:revision>9</cp:revision>
  <cp:lastPrinted>2015-12-01T12:57:00Z</cp:lastPrinted>
  <dcterms:created xsi:type="dcterms:W3CDTF">2015-12-01T12:21:00Z</dcterms:created>
  <dcterms:modified xsi:type="dcterms:W3CDTF">2015-12-04T08:54:00Z</dcterms:modified>
</cp:coreProperties>
</file>