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9A" w:rsidRPr="0015779A" w:rsidRDefault="0015779A" w:rsidP="001577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5779A">
        <w:rPr>
          <w:rFonts w:ascii="Times New Roman" w:eastAsia="Calibri" w:hAnsi="Times New Roman" w:cs="Times New Roman"/>
          <w:b/>
          <w:sz w:val="24"/>
          <w:szCs w:val="24"/>
          <w:lang w:val="en-US"/>
        </w:rPr>
        <w:t>NOTĂ INFORMATIVĂ</w:t>
      </w:r>
    </w:p>
    <w:p w:rsidR="0015779A" w:rsidRPr="0015779A" w:rsidRDefault="0015779A" w:rsidP="001577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15779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15779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la proiectul </w:t>
      </w:r>
      <w:proofErr w:type="spellStart"/>
      <w:r w:rsidRPr="0015779A">
        <w:rPr>
          <w:rFonts w:ascii="Times New Roman" w:eastAsia="Calibri" w:hAnsi="Times New Roman" w:cs="Times New Roman"/>
          <w:b/>
          <w:sz w:val="24"/>
          <w:szCs w:val="24"/>
          <w:lang w:val="ro-RO"/>
        </w:rPr>
        <w:t>hotărîrii</w:t>
      </w:r>
      <w:proofErr w:type="spellEnd"/>
      <w:r w:rsidRPr="0015779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Guvernului pentru aprobarea P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lanului de acţiuni</w:t>
      </w:r>
      <w:r w:rsidRPr="0015779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de stabilizare şi relansare economică a Republicii Moldova pe anii 20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15-2017</w:t>
      </w:r>
    </w:p>
    <w:p w:rsidR="00347B72" w:rsidRPr="0015779A" w:rsidRDefault="00347B72">
      <w:pPr>
        <w:rPr>
          <w:lang w:val="ro-RO"/>
        </w:rPr>
      </w:pPr>
    </w:p>
    <w:p w:rsidR="0015779A" w:rsidRDefault="000D4A50" w:rsidP="00D763F4">
      <w:pPr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Proiectul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o-RO"/>
        </w:rPr>
        <w:t>hotărîrii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Guvernului pentru aprobarea Planului de acţiuni de stabilizare şi economică a Republicii Moldova pe anii 2015-2017 </w:t>
      </w:r>
      <w:r w:rsidR="00D763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(în continuare – Plan de acţiuni)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fost elaborat </w:t>
      </w:r>
      <w:r w:rsidR="00D763F4">
        <w:rPr>
          <w:rFonts w:ascii="Times New Roman" w:eastAsia="Calibri" w:hAnsi="Times New Roman" w:cs="Times New Roman"/>
          <w:sz w:val="24"/>
          <w:szCs w:val="24"/>
          <w:lang w:val="ro-RO"/>
        </w:rPr>
        <w:t>în scopul identificării şi aprobării</w:t>
      </w:r>
      <w:r w:rsidR="00F751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unei agende </w:t>
      </w:r>
      <w:r w:rsidR="00D763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comune </w:t>
      </w:r>
      <w:r w:rsidR="00F751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 </w:t>
      </w:r>
      <w:r w:rsidR="00893D96">
        <w:rPr>
          <w:rFonts w:ascii="Times New Roman" w:eastAsia="Calibri" w:hAnsi="Times New Roman" w:cs="Times New Roman"/>
          <w:sz w:val="24"/>
          <w:szCs w:val="24"/>
          <w:lang w:val="ro-RO"/>
        </w:rPr>
        <w:t>măsuri</w:t>
      </w:r>
      <w:r w:rsidR="00F751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orientate spre </w:t>
      </w:r>
      <w:r w:rsidR="00D763F4">
        <w:rPr>
          <w:rFonts w:ascii="Times New Roman" w:eastAsia="Calibri" w:hAnsi="Times New Roman" w:cs="Times New Roman"/>
          <w:sz w:val="24"/>
          <w:szCs w:val="24"/>
          <w:lang w:val="ro-RO"/>
        </w:rPr>
        <w:t>gestionarea</w:t>
      </w:r>
      <w:r w:rsidR="00F751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D763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şi minimizarea </w:t>
      </w:r>
      <w:r w:rsidR="00F751F2">
        <w:rPr>
          <w:rFonts w:ascii="Times New Roman" w:eastAsia="Calibri" w:hAnsi="Times New Roman" w:cs="Times New Roman"/>
          <w:sz w:val="24"/>
          <w:szCs w:val="24"/>
          <w:lang w:val="ro-RO"/>
        </w:rPr>
        <w:t>riscurilor de ordin intern şi extern</w:t>
      </w:r>
      <w:r w:rsidR="00D763F4">
        <w:rPr>
          <w:rFonts w:ascii="Times New Roman" w:eastAsia="Calibri" w:hAnsi="Times New Roman" w:cs="Times New Roman"/>
          <w:sz w:val="24"/>
          <w:szCs w:val="24"/>
          <w:lang w:val="ro-RO"/>
        </w:rPr>
        <w:t>, care au generat distorsiuni de ordin economic şi financiar, şi anume: m</w:t>
      </w:r>
      <w:r w:rsidR="0015779A" w:rsidRPr="00D763F4">
        <w:rPr>
          <w:rFonts w:ascii="Times New Roman" w:eastAsia="Calibri" w:hAnsi="Times New Roman" w:cs="Times New Roman"/>
          <w:sz w:val="24"/>
          <w:szCs w:val="24"/>
          <w:lang w:val="ro-RO"/>
        </w:rPr>
        <w:t>ajorarea deficitului bugetar;</w:t>
      </w:r>
      <w:r w:rsidR="00D763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</w:t>
      </w:r>
      <w:r w:rsidR="0015779A" w:rsidRPr="00D763F4">
        <w:rPr>
          <w:rFonts w:ascii="Times New Roman" w:eastAsia="Calibri" w:hAnsi="Times New Roman" w:cs="Times New Roman"/>
          <w:sz w:val="24"/>
          <w:szCs w:val="24"/>
          <w:lang w:val="ro-RO"/>
        </w:rPr>
        <w:t>ontractarea cererii agregate de consum;</w:t>
      </w:r>
      <w:r w:rsidR="00D763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</w:t>
      </w:r>
      <w:r w:rsidR="0015779A" w:rsidRPr="00D763F4">
        <w:rPr>
          <w:rFonts w:ascii="Times New Roman" w:eastAsia="Calibri" w:hAnsi="Times New Roman" w:cs="Times New Roman"/>
          <w:sz w:val="24"/>
          <w:szCs w:val="24"/>
          <w:lang w:val="ro-RO"/>
        </w:rPr>
        <w:t>educerea importurilor şi exporturilor;</w:t>
      </w:r>
      <w:r w:rsidR="00D763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</w:t>
      </w:r>
      <w:r w:rsidR="0015779A" w:rsidRPr="00D763F4">
        <w:rPr>
          <w:rFonts w:ascii="Times New Roman" w:eastAsia="Calibri" w:hAnsi="Times New Roman" w:cs="Times New Roman"/>
          <w:sz w:val="24"/>
          <w:szCs w:val="24"/>
          <w:lang w:val="ro-RO"/>
        </w:rPr>
        <w:t>educerea remitenţelor;</w:t>
      </w:r>
      <w:r w:rsidR="00D763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</w:t>
      </w:r>
      <w:r w:rsidR="0015779A" w:rsidRPr="00D763F4">
        <w:rPr>
          <w:rFonts w:ascii="Times New Roman" w:eastAsia="Calibri" w:hAnsi="Times New Roman" w:cs="Times New Roman"/>
          <w:sz w:val="24"/>
          <w:szCs w:val="24"/>
          <w:lang w:val="ro-RO"/>
        </w:rPr>
        <w:t>icşorarea ritmului de creştere a fluxului investiţiilor străine directe;</w:t>
      </w:r>
      <w:r w:rsidR="00D763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</w:t>
      </w:r>
      <w:r w:rsidR="0015779A" w:rsidRPr="00D763F4">
        <w:rPr>
          <w:rFonts w:ascii="Times New Roman" w:eastAsia="Calibri" w:hAnsi="Times New Roman" w:cs="Times New Roman"/>
          <w:sz w:val="24"/>
          <w:szCs w:val="24"/>
          <w:lang w:val="ro-RO"/>
        </w:rPr>
        <w:t>ncetinirea dezvoltării tuturor sectoarelor economiei;</w:t>
      </w:r>
      <w:r w:rsidR="00D763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</w:t>
      </w:r>
      <w:r w:rsidR="0015779A" w:rsidRPr="00D763F4">
        <w:rPr>
          <w:rFonts w:ascii="Times New Roman" w:eastAsia="Calibri" w:hAnsi="Times New Roman" w:cs="Times New Roman"/>
          <w:sz w:val="24"/>
          <w:szCs w:val="24"/>
          <w:lang w:val="ro-RO"/>
        </w:rPr>
        <w:t>reşterea numărului de şomeri, inclusiv din contu</w:t>
      </w:r>
      <w:r w:rsidR="00893D96">
        <w:rPr>
          <w:rFonts w:ascii="Times New Roman" w:eastAsia="Calibri" w:hAnsi="Times New Roman" w:cs="Times New Roman"/>
          <w:sz w:val="24"/>
          <w:szCs w:val="24"/>
          <w:lang w:val="ro-RO"/>
        </w:rPr>
        <w:t>l emigranţilor reveniţi în ţară, etc.</w:t>
      </w:r>
    </w:p>
    <w:p w:rsidR="00301AE1" w:rsidRPr="00301AE1" w:rsidRDefault="00301AE1" w:rsidP="00301AE1">
      <w:pPr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>În vederea asigurării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unei abordări coordonate în identificarea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setului de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acţiuni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necesare a fi întreprinse şi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>integrarea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eforturilor 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vederea înlăturării efectelor crizei şi demarării proceselor de recuperare economică, la elaborarea Planului de acţiuni au fost implicate </w:t>
      </w:r>
      <w:proofErr w:type="spellStart"/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>atît</w:t>
      </w:r>
      <w:proofErr w:type="spellEnd"/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autorităţile administrative centrale, </w:t>
      </w:r>
      <w:proofErr w:type="spellStart"/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>cît</w:t>
      </w:r>
      <w:proofErr w:type="spellEnd"/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şi instituţiile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stat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relevante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>: B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anca 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>N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aţională a 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>M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oldovei, 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omisia 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>N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aţională a 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ieţei 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>F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>inanciare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>, C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entrul 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>N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aţional 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>nticorupţie,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Consiliul Concurenței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301AE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etc.</w:t>
      </w:r>
      <w:r w:rsidR="005530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874CAA">
        <w:rPr>
          <w:rFonts w:ascii="Times New Roman" w:hAnsi="Times New Roman"/>
          <w:sz w:val="24"/>
          <w:szCs w:val="24"/>
          <w:lang w:val="ro-RO"/>
        </w:rPr>
        <w:t>Î</w:t>
      </w:r>
      <w:r w:rsidR="00874CAA" w:rsidRPr="006831A6">
        <w:rPr>
          <w:rFonts w:ascii="Times New Roman" w:hAnsi="Times New Roman"/>
          <w:sz w:val="24"/>
          <w:szCs w:val="24"/>
          <w:lang w:val="ro-RO"/>
        </w:rPr>
        <w:t xml:space="preserve">n </w:t>
      </w:r>
      <w:r w:rsidR="00874CAA">
        <w:rPr>
          <w:rFonts w:ascii="Times New Roman" w:hAnsi="Times New Roman"/>
          <w:sz w:val="24"/>
          <w:szCs w:val="24"/>
          <w:lang w:val="ro-RO"/>
        </w:rPr>
        <w:t xml:space="preserve">vederea asigurării transparenţei în procesul decizional, a fost asigurată consultarea documentului cu mediul academic şi de afaceri, fiind recepţionate propunerile şi recomandările acestora, care au fost luate în consideraţie în procesul definitivării documentului. </w:t>
      </w:r>
    </w:p>
    <w:p w:rsidR="00893D96" w:rsidRPr="00893D96" w:rsidRDefault="00893D96" w:rsidP="00893D96">
      <w:pPr>
        <w:spacing w:before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Planul de acţiuni p</w:t>
      </w:r>
      <w:r w:rsidRPr="00893D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revede acțiuni imediate și pe termen mediu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care ţintesc neadmiterea aprofundării în continuare a crizei economice, readucerea economiei naţionale pe o traiectorie ascendentă şi asigurarea premiselor pentru dezvoltarea economică echilibrată.</w:t>
      </w:r>
      <w:r w:rsidR="00301AE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Astfel, documentul este axat pe următoarele priorităţi de bază</w:t>
      </w:r>
      <w:r w:rsidRPr="00893D96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:rsidR="000D01A2" w:rsidRPr="00301AE1" w:rsidRDefault="000D01A2" w:rsidP="00301AE1">
      <w:pPr>
        <w:pStyle w:val="a3"/>
        <w:numPr>
          <w:ilvl w:val="0"/>
          <w:numId w:val="6"/>
        </w:numPr>
        <w:spacing w:before="120" w:line="360" w:lineRule="auto"/>
        <w:jc w:val="both"/>
        <w:rPr>
          <w:rFonts w:eastAsia="Calibri"/>
          <w:lang w:val="ro-RO"/>
        </w:rPr>
      </w:pPr>
      <w:r w:rsidRPr="00301AE1">
        <w:rPr>
          <w:rFonts w:eastAsia="Calibri"/>
          <w:lang w:val="ro-RO"/>
        </w:rPr>
        <w:t>Asigurarea stabilității sectorului financiar-bancar;</w:t>
      </w:r>
    </w:p>
    <w:p w:rsidR="000D01A2" w:rsidRPr="00301AE1" w:rsidRDefault="000D01A2" w:rsidP="00301AE1">
      <w:pPr>
        <w:pStyle w:val="a3"/>
        <w:numPr>
          <w:ilvl w:val="0"/>
          <w:numId w:val="6"/>
        </w:numPr>
        <w:spacing w:before="120" w:line="360" w:lineRule="auto"/>
        <w:jc w:val="both"/>
        <w:rPr>
          <w:rFonts w:eastAsia="Calibri"/>
          <w:lang w:val="ro-RO"/>
        </w:rPr>
      </w:pPr>
      <w:r w:rsidRPr="00301AE1">
        <w:rPr>
          <w:rFonts w:eastAsia="Calibri"/>
          <w:lang w:val="ro-RO"/>
        </w:rPr>
        <w:t>Stabilizarea și eficientizarea finanțelor publice;</w:t>
      </w:r>
    </w:p>
    <w:p w:rsidR="000D01A2" w:rsidRPr="00301AE1" w:rsidRDefault="000D01A2" w:rsidP="00301AE1">
      <w:pPr>
        <w:pStyle w:val="a3"/>
        <w:numPr>
          <w:ilvl w:val="0"/>
          <w:numId w:val="6"/>
        </w:numPr>
        <w:spacing w:before="120" w:line="360" w:lineRule="auto"/>
        <w:jc w:val="both"/>
        <w:rPr>
          <w:rFonts w:eastAsia="Calibri"/>
          <w:lang w:val="ro-RO"/>
        </w:rPr>
      </w:pPr>
      <w:r w:rsidRPr="00301AE1">
        <w:rPr>
          <w:rFonts w:eastAsia="Calibri"/>
          <w:lang w:val="ro-RO"/>
        </w:rPr>
        <w:t>Dezvoltarea mediului de afacere;</w:t>
      </w:r>
    </w:p>
    <w:p w:rsidR="000D01A2" w:rsidRPr="00301AE1" w:rsidRDefault="000D01A2" w:rsidP="00301AE1">
      <w:pPr>
        <w:pStyle w:val="a3"/>
        <w:numPr>
          <w:ilvl w:val="0"/>
          <w:numId w:val="6"/>
        </w:numPr>
        <w:spacing w:before="120" w:line="360" w:lineRule="auto"/>
        <w:jc w:val="both"/>
        <w:rPr>
          <w:rFonts w:eastAsia="Calibri"/>
          <w:lang w:val="ro-RO"/>
        </w:rPr>
      </w:pPr>
      <w:r w:rsidRPr="00301AE1">
        <w:rPr>
          <w:rFonts w:eastAsia="Calibri"/>
          <w:lang w:val="ro-RO"/>
        </w:rPr>
        <w:t>Atragerea investițiilor și promovarea exporturilor;</w:t>
      </w:r>
    </w:p>
    <w:p w:rsidR="000D01A2" w:rsidRPr="00301AE1" w:rsidRDefault="000D01A2" w:rsidP="00301AE1">
      <w:pPr>
        <w:pStyle w:val="a3"/>
        <w:numPr>
          <w:ilvl w:val="0"/>
          <w:numId w:val="6"/>
        </w:numPr>
        <w:spacing w:before="120" w:line="360" w:lineRule="auto"/>
        <w:jc w:val="both"/>
        <w:rPr>
          <w:rFonts w:eastAsia="Calibri"/>
          <w:lang w:val="ro-RO"/>
        </w:rPr>
      </w:pPr>
      <w:r w:rsidRPr="00301AE1">
        <w:rPr>
          <w:rFonts w:eastAsia="Calibri"/>
          <w:lang w:val="ro-RO"/>
        </w:rPr>
        <w:t>Susținerea sectorului privat din domeniul agriculturii;</w:t>
      </w:r>
    </w:p>
    <w:p w:rsidR="000D01A2" w:rsidRPr="00301AE1" w:rsidRDefault="000D01A2" w:rsidP="00301AE1">
      <w:pPr>
        <w:pStyle w:val="a3"/>
        <w:numPr>
          <w:ilvl w:val="0"/>
          <w:numId w:val="6"/>
        </w:numPr>
        <w:spacing w:before="120" w:line="360" w:lineRule="auto"/>
        <w:jc w:val="both"/>
        <w:rPr>
          <w:rFonts w:eastAsia="Calibri"/>
          <w:lang w:val="ro-RO"/>
        </w:rPr>
      </w:pPr>
      <w:r w:rsidRPr="00301AE1">
        <w:rPr>
          <w:rFonts w:eastAsia="Calibri"/>
          <w:lang w:val="ro-RO"/>
        </w:rPr>
        <w:t>Susținerea păturilor vulnerabile ale populației</w:t>
      </w:r>
      <w:r w:rsidR="00301AE1">
        <w:rPr>
          <w:rFonts w:eastAsia="Calibri"/>
          <w:lang w:val="ro-RO"/>
        </w:rPr>
        <w:t>;</w:t>
      </w:r>
      <w:r w:rsidRPr="00301AE1">
        <w:rPr>
          <w:rFonts w:eastAsia="Calibri"/>
          <w:lang w:val="ro-RO"/>
        </w:rPr>
        <w:t xml:space="preserve"> </w:t>
      </w:r>
    </w:p>
    <w:p w:rsidR="001F70D4" w:rsidRDefault="000D01A2" w:rsidP="001F70D4">
      <w:pPr>
        <w:pStyle w:val="a3"/>
        <w:numPr>
          <w:ilvl w:val="0"/>
          <w:numId w:val="6"/>
        </w:numPr>
        <w:spacing w:before="120" w:line="360" w:lineRule="auto"/>
        <w:jc w:val="both"/>
        <w:rPr>
          <w:rFonts w:eastAsia="Calibri"/>
          <w:lang w:val="ro-RO"/>
        </w:rPr>
      </w:pPr>
      <w:r w:rsidRPr="00301AE1">
        <w:rPr>
          <w:rFonts w:eastAsia="Calibri"/>
          <w:lang w:val="ro-RO"/>
        </w:rPr>
        <w:t>Eficientizarea activității instituțiilor statului.</w:t>
      </w:r>
    </w:p>
    <w:p w:rsidR="0015779A" w:rsidRDefault="001F70D4" w:rsidP="001F70D4">
      <w:pPr>
        <w:spacing w:before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F70D4">
        <w:rPr>
          <w:rFonts w:ascii="Times New Roman" w:eastAsia="Calibri" w:hAnsi="Times New Roman" w:cs="Times New Roman"/>
          <w:sz w:val="24"/>
          <w:szCs w:val="24"/>
          <w:lang w:val="ro-RO"/>
        </w:rPr>
        <w:t>Menţionăm că Planul de acţiuni asigură c</w:t>
      </w:r>
      <w:r w:rsidR="0015779A" w:rsidRPr="001F70D4">
        <w:rPr>
          <w:rFonts w:ascii="Times New Roman" w:eastAsia="Calibri" w:hAnsi="Times New Roman" w:cs="Times New Roman"/>
          <w:sz w:val="24"/>
          <w:szCs w:val="24"/>
          <w:lang w:val="ro-RO"/>
        </w:rPr>
        <w:t>omplementaritate</w:t>
      </w:r>
      <w:r w:rsidRPr="001F70D4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15779A" w:rsidRPr="001F70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alte documente de viziune strategică 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le</w:t>
      </w:r>
      <w:r w:rsidR="0015779A" w:rsidRPr="001F70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Guvernului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0D01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01A2">
        <w:rPr>
          <w:rFonts w:ascii="Times New Roman" w:eastAsia="Calibri" w:hAnsi="Times New Roman" w:cs="Times New Roman"/>
          <w:sz w:val="24"/>
          <w:szCs w:val="24"/>
          <w:lang w:val="ro-RO"/>
        </w:rPr>
        <w:t>avînd</w:t>
      </w:r>
      <w:proofErr w:type="spellEnd"/>
      <w:r w:rsidR="000D01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menirea prin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D01A2" w:rsidRPr="000D01A2">
        <w:rPr>
          <w:rFonts w:ascii="Times New Roman" w:eastAsia="Calibri" w:hAnsi="Times New Roman" w:cs="Times New Roman"/>
          <w:sz w:val="24"/>
          <w:szCs w:val="24"/>
          <w:lang w:val="ro-RO"/>
        </w:rPr>
        <w:t>acţiuni concrete şi specifice</w:t>
      </w:r>
      <w:r w:rsidR="000D01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contextul actual al </w:t>
      </w:r>
      <w:r w:rsidR="000D01A2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>crizei</w:t>
      </w:r>
      <w:r w:rsidR="000D01A2" w:rsidRPr="000D01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să creeze o platformă sigură de revenire la o situaţie economică stabilă, necesară pentru implementarea cu succes a P</w:t>
      </w:r>
      <w:r w:rsidR="0015779A" w:rsidRPr="001F70D4">
        <w:rPr>
          <w:rFonts w:ascii="Times New Roman" w:eastAsia="Calibri" w:hAnsi="Times New Roman" w:cs="Times New Roman"/>
          <w:sz w:val="24"/>
          <w:szCs w:val="24"/>
          <w:lang w:val="ro-RO"/>
        </w:rPr>
        <w:t>rogramul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ui</w:t>
      </w:r>
      <w:r w:rsidR="0015779A" w:rsidRPr="001F70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activitate al G</w:t>
      </w:r>
      <w:r w:rsidR="0015779A" w:rsidRPr="001F70D4">
        <w:rPr>
          <w:rFonts w:ascii="Times New Roman" w:eastAsia="Calibri" w:hAnsi="Times New Roman" w:cs="Times New Roman"/>
          <w:sz w:val="24"/>
          <w:szCs w:val="24"/>
          <w:lang w:val="ro-RO"/>
        </w:rPr>
        <w:t>uvern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ului și altor documente sectoriale de planificare.</w:t>
      </w:r>
    </w:p>
    <w:p w:rsidR="000D01A2" w:rsidRPr="000D01A2" w:rsidRDefault="00927A1E" w:rsidP="000D01A2">
      <w:pPr>
        <w:spacing w:before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Conform estimărilor efectuate în procesul elaborării documentului, se preconizează ca a</w:t>
      </w:r>
      <w:r w:rsidR="000D01A2">
        <w:rPr>
          <w:rFonts w:ascii="Times New Roman" w:eastAsia="Calibri" w:hAnsi="Times New Roman" w:cs="Times New Roman"/>
          <w:sz w:val="24"/>
          <w:szCs w:val="24"/>
          <w:lang w:val="ro-RO"/>
        </w:rPr>
        <w:t>cţiunile</w:t>
      </w:r>
      <w:r w:rsidR="000D01A2" w:rsidRPr="000D01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implementate în cadrul P</w:t>
      </w:r>
      <w:r w:rsidR="000D01A2">
        <w:rPr>
          <w:rFonts w:ascii="Times New Roman" w:eastAsia="Calibri" w:hAnsi="Times New Roman" w:cs="Times New Roman"/>
          <w:sz w:val="24"/>
          <w:szCs w:val="24"/>
          <w:lang w:val="ro-RO"/>
        </w:rPr>
        <w:t>lanului</w:t>
      </w:r>
      <w:r w:rsidR="000D01A2" w:rsidRPr="000D01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să contribuie la</w:t>
      </w:r>
      <w:r w:rsidR="000D01A2" w:rsidRPr="000D01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readuce economi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ei</w:t>
      </w:r>
      <w:r w:rsidR="000D01A2" w:rsidRPr="000D01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ţării pe o traiectorie de creştere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deja </w:t>
      </w:r>
      <w:proofErr w:type="spellStart"/>
      <w:r w:rsidR="000D01A2" w:rsidRPr="000D01A2">
        <w:rPr>
          <w:rFonts w:ascii="Times New Roman" w:eastAsia="Calibri" w:hAnsi="Times New Roman" w:cs="Times New Roman"/>
          <w:sz w:val="24"/>
          <w:szCs w:val="24"/>
          <w:lang w:val="ro-RO"/>
        </w:rPr>
        <w:t>începînd</w:t>
      </w:r>
      <w:proofErr w:type="spellEnd"/>
      <w:r w:rsidR="000D01A2" w:rsidRPr="000D01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anul 201</w:t>
      </w:r>
      <w:r w:rsidR="000D01A2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 procesul respectiv fiind</w:t>
      </w:r>
      <w:r w:rsidR="000D01A2" w:rsidRPr="000D01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însoţit de d</w:t>
      </w:r>
      <w:r w:rsidR="000D01A2">
        <w:rPr>
          <w:rFonts w:ascii="Times New Roman" w:eastAsia="Calibri" w:hAnsi="Times New Roman" w:cs="Times New Roman"/>
          <w:sz w:val="24"/>
          <w:szCs w:val="24"/>
          <w:lang w:val="ro-RO"/>
        </w:rPr>
        <w:t>iminuarea deficitului bugetar şi</w:t>
      </w:r>
      <w:r w:rsidR="000D01A2" w:rsidRPr="000D01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D01A2">
        <w:rPr>
          <w:rFonts w:ascii="Times New Roman" w:eastAsia="Calibri" w:hAnsi="Times New Roman" w:cs="Times New Roman"/>
          <w:sz w:val="24"/>
          <w:szCs w:val="24"/>
          <w:lang w:val="ro-RO"/>
        </w:rPr>
        <w:t>stabilizarea inflaţiei,</w:t>
      </w:r>
      <w:r w:rsidR="000D01A2" w:rsidRPr="000D01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D01A2">
        <w:rPr>
          <w:rFonts w:ascii="Times New Roman" w:eastAsia="Calibri" w:hAnsi="Times New Roman" w:cs="Times New Roman"/>
          <w:sz w:val="24"/>
          <w:szCs w:val="24"/>
          <w:lang w:val="ro-RO"/>
        </w:rPr>
        <w:t>înviorarea procesului investiţional şi</w:t>
      </w:r>
      <w:r w:rsidR="000D01A2" w:rsidRPr="000D01A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D01A2">
        <w:rPr>
          <w:rFonts w:ascii="Times New Roman" w:eastAsia="Calibri" w:hAnsi="Times New Roman" w:cs="Times New Roman"/>
          <w:sz w:val="24"/>
          <w:szCs w:val="24"/>
          <w:lang w:val="ro-RO"/>
        </w:rPr>
        <w:t>revigorarea comerţului exterior.</w:t>
      </w:r>
    </w:p>
    <w:p w:rsidR="000D01A2" w:rsidRDefault="00FF038F" w:rsidP="001F70D4">
      <w:pPr>
        <w:spacing w:before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O bună parte din acţiunile imediate şi pe termen scurt nu necesită resurse financiare</w:t>
      </w:r>
      <w:r w:rsidR="00CC3D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adiţionale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DF65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altele </w:t>
      </w:r>
      <w:proofErr w:type="spellStart"/>
      <w:r w:rsidR="00DF6557">
        <w:rPr>
          <w:rFonts w:ascii="Times New Roman" w:eastAsia="Calibri" w:hAnsi="Times New Roman" w:cs="Times New Roman"/>
          <w:sz w:val="24"/>
          <w:szCs w:val="24"/>
          <w:lang w:val="ro-RO"/>
        </w:rPr>
        <w:t>decît</w:t>
      </w:r>
      <w:proofErr w:type="spellEnd"/>
      <w:r w:rsidR="00DF65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cele bugetate şi cele finanţate prin programele sectoriale ale partenerilor de dezvoltare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 Astfel, p</w:t>
      </w:r>
      <w:r w:rsidR="00927A1E">
        <w:rPr>
          <w:rFonts w:ascii="Times New Roman" w:eastAsia="Calibri" w:hAnsi="Times New Roman" w:cs="Times New Roman"/>
          <w:sz w:val="24"/>
          <w:szCs w:val="24"/>
          <w:lang w:val="ro-RO"/>
        </w:rPr>
        <w:t>revederil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="00927A1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Planului de acţiuni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vor fi realizate în limita resurselor financiare disponibile pentru primul an de implementare. Totodată, pentru acţiunile care implică costuri suplimentare şi sunt proiectate pentru al doilea an de implementare,</w:t>
      </w:r>
      <w:r w:rsidR="00927A1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autorităţile administrative centrale ş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i instituţiile responsabile urmează să proiecteze mijloacele necesare în cadrul următorului ciclu de planificare bugetară pe termen mediu. De asemenea, vor fi realizate acţiunile necesare pentru atragerea asistenţei externe a partenerilor de dezvoltare în vederea</w:t>
      </w:r>
      <w:r w:rsidR="00927A1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asigurării implementării integrale </w:t>
      </w:r>
      <w:r w:rsidR="00CC3DF2">
        <w:rPr>
          <w:rFonts w:ascii="Times New Roman" w:eastAsia="Calibri" w:hAnsi="Times New Roman" w:cs="Times New Roman"/>
          <w:sz w:val="24"/>
          <w:szCs w:val="24"/>
          <w:lang w:val="ro-RO"/>
        </w:rPr>
        <w:t>a prevederilor Planului de acţiuni.</w:t>
      </w:r>
    </w:p>
    <w:p w:rsidR="00CC3DF2" w:rsidRDefault="00B15679" w:rsidP="00CC3DF2">
      <w:pPr>
        <w:spacing w:before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 w:rsidR="00CC3DF2">
        <w:rPr>
          <w:rFonts w:ascii="Times New Roman" w:eastAsia="Calibri" w:hAnsi="Times New Roman" w:cs="Times New Roman"/>
          <w:sz w:val="24"/>
          <w:szCs w:val="24"/>
          <w:lang w:val="ro-RO"/>
        </w:rPr>
        <w:t>oordon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CC3DF2">
        <w:rPr>
          <w:rFonts w:ascii="Times New Roman" w:eastAsia="Calibri" w:hAnsi="Times New Roman" w:cs="Times New Roman"/>
          <w:sz w:val="24"/>
          <w:szCs w:val="24"/>
          <w:lang w:val="ro-RO"/>
        </w:rPr>
        <w:t>r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ea</w:t>
      </w:r>
      <w:r w:rsidR="00CC3D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şi monitoriz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CC3DF2">
        <w:rPr>
          <w:rFonts w:ascii="Times New Roman" w:eastAsia="Calibri" w:hAnsi="Times New Roman" w:cs="Times New Roman"/>
          <w:sz w:val="24"/>
          <w:szCs w:val="24"/>
          <w:lang w:val="ro-RO"/>
        </w:rPr>
        <w:t>r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ea</w:t>
      </w:r>
      <w:r w:rsidR="00CC3D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procesului de implementare a Planului de acţiuni va fi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asigurată de</w:t>
      </w:r>
      <w:r w:rsidR="00CC3DF2" w:rsidRPr="00CC3D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către </w:t>
      </w:r>
      <w:r w:rsidR="00CC3DF2" w:rsidRPr="00CC3DF2">
        <w:rPr>
          <w:rFonts w:ascii="Times New Roman" w:eastAsia="Calibri" w:hAnsi="Times New Roman" w:cs="Times New Roman"/>
          <w:sz w:val="24"/>
          <w:szCs w:val="24"/>
          <w:lang w:val="ro-RO"/>
        </w:rPr>
        <w:t>Grup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ul</w:t>
      </w:r>
      <w:r w:rsidR="00CC3DF2" w:rsidRPr="00CC3D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coordonare</w:t>
      </w:r>
      <w:r w:rsidR="00CC3DF2" w:rsidRPr="00CC3D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nivel înalt, condus de Viceprim-ministru,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m</w:t>
      </w:r>
      <w:r w:rsidR="00CC3DF2" w:rsidRPr="00CC3DF2">
        <w:rPr>
          <w:rFonts w:ascii="Times New Roman" w:eastAsia="Calibri" w:hAnsi="Times New Roman" w:cs="Times New Roman"/>
          <w:sz w:val="24"/>
          <w:szCs w:val="24"/>
          <w:lang w:val="ro-RO"/>
        </w:rPr>
        <w:t>inistru al economiei,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</w:t>
      </w:r>
      <w:r w:rsidR="00CC3DF2" w:rsidRPr="00CC3D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 componenţa căruia vor fi incluşi conducătorii </w:t>
      </w:r>
      <w:r w:rsidR="00CC3D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autorităţilor administrative centrale, instituţiilor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relevante şi reprezentanţii societăţii civile. Instituirea mecanismului respectiv a fost generată de necesitatea asigurării unei cooperări eficiente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o-RO"/>
        </w:rPr>
        <w:t>atît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între instituţiile guvernamentale şi cele extraguvernamentale (BNM, CC, CNPF, etc.),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o-RO"/>
        </w:rPr>
        <w:t>cît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şi de necesitatea asigurării unei platforme permanente de conlucrare şi comunicare cu mediul de afaceri şi societatea civilă.</w:t>
      </w:r>
    </w:p>
    <w:p w:rsidR="00B15679" w:rsidRDefault="00B15679" w:rsidP="00CC3DF2">
      <w:pPr>
        <w:spacing w:before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F6557" w:rsidRPr="00DF6557" w:rsidRDefault="00DF6557" w:rsidP="00DF6557">
      <w:pPr>
        <w:spacing w:before="12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proofErr w:type="spellStart"/>
      <w:r w:rsidRPr="00DF6557">
        <w:rPr>
          <w:rFonts w:ascii="Times New Roman" w:eastAsia="Calibri" w:hAnsi="Times New Roman" w:cs="Times New Roman"/>
          <w:b/>
          <w:sz w:val="24"/>
          <w:szCs w:val="24"/>
          <w:lang w:val="ro-RO"/>
        </w:rPr>
        <w:t>Viceministru</w:t>
      </w:r>
      <w:bookmarkStart w:id="0" w:name="_GoBack"/>
      <w:bookmarkEnd w:id="0"/>
      <w:proofErr w:type="spellEnd"/>
      <w:r w:rsidRPr="00DF6557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DF6557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DF6557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DF6557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DF6557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DF6557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Octavian CALMÎC</w:t>
      </w:r>
    </w:p>
    <w:p w:rsidR="00DF6557" w:rsidRPr="00DF6557" w:rsidRDefault="00DF6557" w:rsidP="00DF6557">
      <w:pPr>
        <w:spacing w:before="12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15679" w:rsidRPr="00CC3DF2" w:rsidRDefault="00B15679" w:rsidP="00CC3DF2">
      <w:pPr>
        <w:spacing w:before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CC3DF2" w:rsidRPr="001F70D4" w:rsidRDefault="00CC3DF2" w:rsidP="001F70D4">
      <w:pPr>
        <w:spacing w:before="12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CC3DF2" w:rsidRPr="001F70D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71B6"/>
    <w:multiLevelType w:val="hybridMultilevel"/>
    <w:tmpl w:val="5E766B94"/>
    <w:lvl w:ilvl="0" w:tplc="86E0C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E46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A8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9C0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566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5E6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62E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746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769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CC07D9"/>
    <w:multiLevelType w:val="hybridMultilevel"/>
    <w:tmpl w:val="8E92FA2C"/>
    <w:lvl w:ilvl="0" w:tplc="F0187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52F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CC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A4D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BA3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76E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44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AC9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5EE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4F20C6E"/>
    <w:multiLevelType w:val="hybridMultilevel"/>
    <w:tmpl w:val="F91AF3E6"/>
    <w:lvl w:ilvl="0" w:tplc="6784C2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4BA0FB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4B0579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16EC87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F3CD65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E5600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33C2DE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EB4DBD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CE60E7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BCD6D27"/>
    <w:multiLevelType w:val="hybridMultilevel"/>
    <w:tmpl w:val="688EB0FA"/>
    <w:lvl w:ilvl="0" w:tplc="19041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E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945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00D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E86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63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323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06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DE9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71B245C"/>
    <w:multiLevelType w:val="hybridMultilevel"/>
    <w:tmpl w:val="24F64238"/>
    <w:lvl w:ilvl="0" w:tplc="0419001B">
      <w:start w:val="1"/>
      <w:numFmt w:val="low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C6E54CC"/>
    <w:multiLevelType w:val="hybridMultilevel"/>
    <w:tmpl w:val="AA9C8CAE"/>
    <w:lvl w:ilvl="0" w:tplc="637C2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EE3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20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6E5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C5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60F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34E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149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1E8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9A"/>
    <w:rsid w:val="00007DB1"/>
    <w:rsid w:val="000115ED"/>
    <w:rsid w:val="00042104"/>
    <w:rsid w:val="00060D54"/>
    <w:rsid w:val="000D01A2"/>
    <w:rsid w:val="000D4A50"/>
    <w:rsid w:val="0015779A"/>
    <w:rsid w:val="001727BC"/>
    <w:rsid w:val="001B72EC"/>
    <w:rsid w:val="001C24E1"/>
    <w:rsid w:val="001F70D4"/>
    <w:rsid w:val="00222A9D"/>
    <w:rsid w:val="002A79FB"/>
    <w:rsid w:val="002D0D6C"/>
    <w:rsid w:val="00301AE1"/>
    <w:rsid w:val="00341AB3"/>
    <w:rsid w:val="00347B72"/>
    <w:rsid w:val="00363191"/>
    <w:rsid w:val="00370515"/>
    <w:rsid w:val="00434EB7"/>
    <w:rsid w:val="00462C63"/>
    <w:rsid w:val="004C0DB4"/>
    <w:rsid w:val="004E0A2A"/>
    <w:rsid w:val="005038E4"/>
    <w:rsid w:val="005530B5"/>
    <w:rsid w:val="00590140"/>
    <w:rsid w:val="00617BC2"/>
    <w:rsid w:val="007301FB"/>
    <w:rsid w:val="00737224"/>
    <w:rsid w:val="007655F2"/>
    <w:rsid w:val="007858A3"/>
    <w:rsid w:val="007A6C7E"/>
    <w:rsid w:val="007C3B39"/>
    <w:rsid w:val="008149C5"/>
    <w:rsid w:val="00837A4F"/>
    <w:rsid w:val="0086592B"/>
    <w:rsid w:val="008726DE"/>
    <w:rsid w:val="00874CAA"/>
    <w:rsid w:val="00893D96"/>
    <w:rsid w:val="008D201A"/>
    <w:rsid w:val="00927A1E"/>
    <w:rsid w:val="00981CF0"/>
    <w:rsid w:val="009A012C"/>
    <w:rsid w:val="009F5463"/>
    <w:rsid w:val="00A17DBD"/>
    <w:rsid w:val="00A23CCB"/>
    <w:rsid w:val="00AC532E"/>
    <w:rsid w:val="00B15679"/>
    <w:rsid w:val="00B4142E"/>
    <w:rsid w:val="00B82352"/>
    <w:rsid w:val="00BB318B"/>
    <w:rsid w:val="00BE2589"/>
    <w:rsid w:val="00BE2BD0"/>
    <w:rsid w:val="00C03F8C"/>
    <w:rsid w:val="00C3170E"/>
    <w:rsid w:val="00C47D10"/>
    <w:rsid w:val="00C50C86"/>
    <w:rsid w:val="00C51E2F"/>
    <w:rsid w:val="00C84E89"/>
    <w:rsid w:val="00CC3DF2"/>
    <w:rsid w:val="00CD5D0A"/>
    <w:rsid w:val="00D6427A"/>
    <w:rsid w:val="00D763F4"/>
    <w:rsid w:val="00DD5C14"/>
    <w:rsid w:val="00DF6557"/>
    <w:rsid w:val="00E123FF"/>
    <w:rsid w:val="00E2152D"/>
    <w:rsid w:val="00E23527"/>
    <w:rsid w:val="00E40C02"/>
    <w:rsid w:val="00E67FF9"/>
    <w:rsid w:val="00E83197"/>
    <w:rsid w:val="00E86F80"/>
    <w:rsid w:val="00EB6E3C"/>
    <w:rsid w:val="00F3533B"/>
    <w:rsid w:val="00F70AD7"/>
    <w:rsid w:val="00F751F2"/>
    <w:rsid w:val="00F86204"/>
    <w:rsid w:val="00FB1E7C"/>
    <w:rsid w:val="00FC50AE"/>
    <w:rsid w:val="00FE6322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7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5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Знак Char Char Знак Знак"/>
    <w:basedOn w:val="a"/>
    <w:rsid w:val="0015779A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6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7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5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Знак Char Char Знак Знак"/>
    <w:basedOn w:val="a"/>
    <w:rsid w:val="0015779A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6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3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2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3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4865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011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934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78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745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144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144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9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1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8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2015-10-06T11:10:00Z</cp:lastPrinted>
  <dcterms:created xsi:type="dcterms:W3CDTF">2015-10-06T05:10:00Z</dcterms:created>
  <dcterms:modified xsi:type="dcterms:W3CDTF">2015-10-06T11:16:00Z</dcterms:modified>
</cp:coreProperties>
</file>