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A2767A" w14:textId="77777777" w:rsidR="00315874" w:rsidRDefault="00000000" w:rsidP="00334664">
      <w:pPr>
        <w:ind w:firstLine="56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SINTEZA</w:t>
      </w:r>
    </w:p>
    <w:p w14:paraId="4AA8076D" w14:textId="77777777" w:rsidR="00315874"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la proiectul de lege pentru modificarea unor acte normative </w:t>
      </w:r>
    </w:p>
    <w:p w14:paraId="2B31CA06" w14:textId="77777777" w:rsidR="00315874" w:rsidRDefault="00000000">
      <w:pPr>
        <w:jc w:val="center"/>
        <w:rPr>
          <w:rFonts w:ascii="Times New Roman" w:eastAsia="Times New Roman" w:hAnsi="Times New Roman" w:cs="Times New Roman"/>
          <w:b/>
          <w:bCs/>
          <w:i/>
          <w:iCs/>
          <w:sz w:val="24"/>
          <w:szCs w:val="24"/>
        </w:rPr>
      </w:pPr>
      <w:r>
        <w:rPr>
          <w:rFonts w:ascii="Times New Roman" w:eastAsia="Times New Roman" w:hAnsi="Times New Roman" w:cs="Times New Roman"/>
          <w:b/>
          <w:bCs/>
          <w:sz w:val="24"/>
          <w:szCs w:val="24"/>
        </w:rPr>
        <w:t>(</w:t>
      </w:r>
      <w:r>
        <w:rPr>
          <w:rFonts w:ascii="Times New Roman" w:eastAsia="Times New Roman" w:hAnsi="Times New Roman" w:cs="Times New Roman"/>
          <w:b/>
          <w:bCs/>
          <w:i/>
          <w:iCs/>
          <w:sz w:val="24"/>
          <w:szCs w:val="24"/>
        </w:rPr>
        <w:t>consolidarea cadrului normativ privind garanțiile sociale)</w:t>
      </w:r>
    </w:p>
    <w:p w14:paraId="30201176" w14:textId="77777777" w:rsidR="00315874" w:rsidRDefault="00000000">
      <w:pPr>
        <w:jc w:val="center"/>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635/MMPS/2026</w:t>
      </w:r>
    </w:p>
    <w:p w14:paraId="594AA811" w14:textId="77777777" w:rsidR="00315874"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 xml:space="preserve"> </w:t>
      </w:r>
    </w:p>
    <w:tbl>
      <w:tblPr>
        <w:tblStyle w:val="a"/>
        <w:tblW w:w="15480" w:type="dxa"/>
        <w:tblInd w:w="-375" w:type="dxa"/>
        <w:tblBorders>
          <w:top w:val="nil"/>
          <w:left w:val="nil"/>
          <w:bottom w:val="nil"/>
          <w:right w:val="nil"/>
          <w:insideH w:val="nil"/>
          <w:insideV w:val="nil"/>
        </w:tblBorders>
        <w:tblLayout w:type="fixed"/>
        <w:tblLook w:val="0600" w:firstRow="0" w:lastRow="0" w:firstColumn="0" w:lastColumn="0" w:noHBand="1" w:noVBand="1"/>
      </w:tblPr>
      <w:tblGrid>
        <w:gridCol w:w="735"/>
        <w:gridCol w:w="2835"/>
        <w:gridCol w:w="5700"/>
        <w:gridCol w:w="6210"/>
      </w:tblGrid>
      <w:tr w:rsidR="00315874" w14:paraId="62498899" w14:textId="77777777">
        <w:trPr>
          <w:trHeight w:val="615"/>
          <w:tblHeader/>
        </w:trPr>
        <w:tc>
          <w:tcPr>
            <w:tcW w:w="735" w:type="dxa"/>
            <w:tcBorders>
              <w:top w:val="single" w:sz="6" w:space="0" w:color="999999"/>
              <w:left w:val="single" w:sz="6" w:space="0" w:color="999999"/>
              <w:bottom w:val="single" w:sz="6" w:space="0" w:color="999999"/>
              <w:right w:val="single" w:sz="6" w:space="0" w:color="999999"/>
            </w:tcBorders>
            <w:tcMar>
              <w:top w:w="0" w:type="dxa"/>
              <w:left w:w="100" w:type="dxa"/>
              <w:bottom w:w="0" w:type="dxa"/>
              <w:right w:w="100" w:type="dxa"/>
            </w:tcMar>
          </w:tcPr>
          <w:p w14:paraId="201E89F7" w14:textId="77777777" w:rsidR="00315874" w:rsidRDefault="00000000">
            <w:pPr>
              <w:ind w:left="14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Nr. d/o</w:t>
            </w:r>
          </w:p>
        </w:tc>
        <w:tc>
          <w:tcPr>
            <w:tcW w:w="2835" w:type="dxa"/>
            <w:tcBorders>
              <w:top w:val="single" w:sz="6" w:space="0" w:color="999999"/>
              <w:left w:val="nil"/>
              <w:bottom w:val="single" w:sz="6" w:space="0" w:color="999999"/>
              <w:right w:val="single" w:sz="6" w:space="0" w:color="999999"/>
            </w:tcBorders>
            <w:tcMar>
              <w:top w:w="0" w:type="dxa"/>
              <w:left w:w="100" w:type="dxa"/>
              <w:bottom w:w="0" w:type="dxa"/>
              <w:right w:w="100" w:type="dxa"/>
            </w:tcMar>
          </w:tcPr>
          <w:p w14:paraId="4E9F90E3" w14:textId="77777777" w:rsidR="00315874" w:rsidRDefault="00000000">
            <w:pPr>
              <w:ind w:left="14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Autorul propunerilor şi obiecţiilor</w:t>
            </w:r>
          </w:p>
        </w:tc>
        <w:tc>
          <w:tcPr>
            <w:tcW w:w="5700" w:type="dxa"/>
            <w:tcBorders>
              <w:top w:val="single" w:sz="6" w:space="0" w:color="999999"/>
              <w:left w:val="nil"/>
              <w:bottom w:val="single" w:sz="6" w:space="0" w:color="999999"/>
              <w:right w:val="single" w:sz="6" w:space="0" w:color="999999"/>
            </w:tcBorders>
            <w:tcMar>
              <w:top w:w="0" w:type="dxa"/>
              <w:left w:w="100" w:type="dxa"/>
              <w:bottom w:w="0" w:type="dxa"/>
              <w:right w:w="100" w:type="dxa"/>
            </w:tcMar>
          </w:tcPr>
          <w:p w14:paraId="5A862B3B" w14:textId="77777777" w:rsidR="00315874" w:rsidRDefault="00000000">
            <w:pPr>
              <w:ind w:left="140" w:firstLine="56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Conținutul propunerilor, obiecțiilor</w:t>
            </w:r>
          </w:p>
        </w:tc>
        <w:tc>
          <w:tcPr>
            <w:tcW w:w="6210" w:type="dxa"/>
            <w:tcBorders>
              <w:top w:val="single" w:sz="6" w:space="0" w:color="999999"/>
              <w:left w:val="nil"/>
              <w:bottom w:val="single" w:sz="6" w:space="0" w:color="999999"/>
              <w:right w:val="single" w:sz="6" w:space="0" w:color="999999"/>
            </w:tcBorders>
            <w:tcMar>
              <w:top w:w="0" w:type="dxa"/>
              <w:left w:w="100" w:type="dxa"/>
              <w:bottom w:w="0" w:type="dxa"/>
              <w:right w:w="100" w:type="dxa"/>
            </w:tcMar>
          </w:tcPr>
          <w:p w14:paraId="68355D4F" w14:textId="77777777" w:rsidR="00315874" w:rsidRDefault="00000000">
            <w:pPr>
              <w:ind w:left="140" w:firstLine="56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Argumentare</w:t>
            </w:r>
          </w:p>
        </w:tc>
      </w:tr>
      <w:tr w:rsidR="00315874" w14:paraId="4EB959F5" w14:textId="77777777">
        <w:trPr>
          <w:trHeight w:val="270"/>
          <w:tblHeader/>
        </w:trPr>
        <w:tc>
          <w:tcPr>
            <w:tcW w:w="735" w:type="dxa"/>
            <w:tcBorders>
              <w:top w:val="nil"/>
              <w:left w:val="single" w:sz="6" w:space="0" w:color="999999"/>
              <w:bottom w:val="single" w:sz="6" w:space="0" w:color="999999"/>
              <w:right w:val="single" w:sz="6" w:space="0" w:color="999999"/>
            </w:tcBorders>
            <w:tcMar>
              <w:top w:w="0" w:type="dxa"/>
              <w:left w:w="100" w:type="dxa"/>
              <w:bottom w:w="0" w:type="dxa"/>
              <w:right w:w="100" w:type="dxa"/>
            </w:tcMar>
          </w:tcPr>
          <w:p w14:paraId="3A0A3AD0" w14:textId="77777777" w:rsidR="00315874" w:rsidRDefault="00000000">
            <w:pPr>
              <w:ind w:left="140"/>
              <w:jc w:val="center"/>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 xml:space="preserve">   1</w:t>
            </w:r>
          </w:p>
        </w:tc>
        <w:tc>
          <w:tcPr>
            <w:tcW w:w="2835" w:type="dxa"/>
            <w:tcBorders>
              <w:top w:val="nil"/>
              <w:left w:val="nil"/>
              <w:bottom w:val="single" w:sz="6" w:space="0" w:color="999999"/>
              <w:right w:val="single" w:sz="6" w:space="0" w:color="999999"/>
            </w:tcBorders>
            <w:tcMar>
              <w:top w:w="0" w:type="dxa"/>
              <w:left w:w="100" w:type="dxa"/>
              <w:bottom w:w="0" w:type="dxa"/>
              <w:right w:w="100" w:type="dxa"/>
            </w:tcMar>
          </w:tcPr>
          <w:p w14:paraId="357F0040" w14:textId="77777777" w:rsidR="00315874" w:rsidRDefault="00000000">
            <w:pPr>
              <w:ind w:left="140" w:firstLine="560"/>
              <w:jc w:val="center"/>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2</w:t>
            </w:r>
          </w:p>
        </w:tc>
        <w:tc>
          <w:tcPr>
            <w:tcW w:w="5700" w:type="dxa"/>
            <w:tcBorders>
              <w:top w:val="nil"/>
              <w:left w:val="nil"/>
              <w:bottom w:val="single" w:sz="6" w:space="0" w:color="999999"/>
              <w:right w:val="single" w:sz="6" w:space="0" w:color="999999"/>
            </w:tcBorders>
            <w:tcMar>
              <w:top w:w="0" w:type="dxa"/>
              <w:left w:w="100" w:type="dxa"/>
              <w:bottom w:w="0" w:type="dxa"/>
              <w:right w:w="100" w:type="dxa"/>
            </w:tcMar>
          </w:tcPr>
          <w:p w14:paraId="6439640D" w14:textId="77777777" w:rsidR="00315874" w:rsidRDefault="00000000">
            <w:pPr>
              <w:ind w:left="140" w:firstLine="560"/>
              <w:jc w:val="center"/>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3</w:t>
            </w:r>
          </w:p>
        </w:tc>
        <w:tc>
          <w:tcPr>
            <w:tcW w:w="6210" w:type="dxa"/>
            <w:tcBorders>
              <w:top w:val="nil"/>
              <w:left w:val="nil"/>
              <w:bottom w:val="single" w:sz="6" w:space="0" w:color="999999"/>
              <w:right w:val="single" w:sz="6" w:space="0" w:color="999999"/>
            </w:tcBorders>
            <w:tcMar>
              <w:top w:w="0" w:type="dxa"/>
              <w:left w:w="100" w:type="dxa"/>
              <w:bottom w:w="0" w:type="dxa"/>
              <w:right w:w="100" w:type="dxa"/>
            </w:tcMar>
          </w:tcPr>
          <w:p w14:paraId="08C02789" w14:textId="77777777" w:rsidR="00315874" w:rsidRDefault="00000000">
            <w:pPr>
              <w:ind w:left="140" w:firstLine="560"/>
              <w:jc w:val="center"/>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4</w:t>
            </w:r>
          </w:p>
        </w:tc>
      </w:tr>
      <w:tr w:rsidR="00315874" w14:paraId="64C78145" w14:textId="77777777">
        <w:trPr>
          <w:trHeight w:val="270"/>
        </w:trPr>
        <w:tc>
          <w:tcPr>
            <w:tcW w:w="15480" w:type="dxa"/>
            <w:gridSpan w:val="4"/>
            <w:tcBorders>
              <w:top w:val="nil"/>
              <w:left w:val="single" w:sz="6" w:space="0" w:color="999999"/>
              <w:bottom w:val="single" w:sz="6" w:space="0" w:color="999999"/>
              <w:right w:val="single" w:sz="6" w:space="0" w:color="999999"/>
            </w:tcBorders>
            <w:tcMar>
              <w:top w:w="0" w:type="dxa"/>
              <w:left w:w="100" w:type="dxa"/>
              <w:bottom w:w="0" w:type="dxa"/>
              <w:right w:w="100" w:type="dxa"/>
            </w:tcMar>
          </w:tcPr>
          <w:p w14:paraId="37BCE5C5" w14:textId="77777777" w:rsidR="00315874" w:rsidRDefault="00000000">
            <w:pPr>
              <w:ind w:left="140" w:firstLine="560"/>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Procedura de avizare</w:t>
            </w:r>
          </w:p>
        </w:tc>
      </w:tr>
      <w:tr w:rsidR="00315874" w14:paraId="58F603A3" w14:textId="77777777">
        <w:trPr>
          <w:trHeight w:val="675"/>
        </w:trPr>
        <w:tc>
          <w:tcPr>
            <w:tcW w:w="735" w:type="dxa"/>
            <w:tcBorders>
              <w:top w:val="single" w:sz="6" w:space="0" w:color="999999"/>
              <w:left w:val="single" w:sz="6" w:space="0" w:color="999999"/>
              <w:bottom w:val="single" w:sz="6" w:space="0" w:color="999999"/>
              <w:right w:val="single" w:sz="6" w:space="0" w:color="999999"/>
            </w:tcBorders>
            <w:tcMar>
              <w:top w:w="0" w:type="dxa"/>
              <w:bottom w:w="0" w:type="dxa"/>
            </w:tcMar>
          </w:tcPr>
          <w:p w14:paraId="54B71193" w14:textId="77777777" w:rsidR="00315874"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1.       </w:t>
            </w:r>
          </w:p>
          <w:p w14:paraId="0E2A289F" w14:textId="77777777" w:rsidR="00315874" w:rsidRDefault="00000000">
            <w:pPr>
              <w:ind w:left="480" w:hanging="34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tc>
        <w:tc>
          <w:tcPr>
            <w:tcW w:w="2835" w:type="dxa"/>
            <w:tcBorders>
              <w:top w:val="single" w:sz="6" w:space="0" w:color="999999"/>
              <w:left w:val="single" w:sz="6" w:space="0" w:color="999999"/>
              <w:bottom w:val="single" w:sz="6" w:space="0" w:color="999999"/>
              <w:right w:val="single" w:sz="6" w:space="0" w:color="999999"/>
            </w:tcBorders>
            <w:tcMar>
              <w:top w:w="0" w:type="dxa"/>
              <w:bottom w:w="0" w:type="dxa"/>
            </w:tcMar>
          </w:tcPr>
          <w:p w14:paraId="026504AD" w14:textId="77777777" w:rsidR="00315874" w:rsidRDefault="00000000">
            <w:pPr>
              <w:ind w:left="140"/>
              <w:rPr>
                <w:rFonts w:ascii="Times New Roman" w:eastAsia="Times New Roman" w:hAnsi="Times New Roman" w:cs="Times New Roman"/>
                <w:b/>
                <w:bCs/>
              </w:rPr>
            </w:pPr>
            <w:r>
              <w:rPr>
                <w:rFonts w:ascii="Times New Roman" w:eastAsia="Times New Roman" w:hAnsi="Times New Roman" w:cs="Times New Roman"/>
                <w:b/>
                <w:bCs/>
                <w:sz w:val="24"/>
                <w:szCs w:val="24"/>
              </w:rPr>
              <w:t>Aparatul Președintelui</w:t>
            </w: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78711B10" w14:textId="77777777" w:rsidR="00315874" w:rsidRDefault="00000000">
            <w:pPr>
              <w:ind w:left="140"/>
              <w:rPr>
                <w:rFonts w:ascii="Times New Roman" w:eastAsia="Times New Roman" w:hAnsi="Times New Roman" w:cs="Times New Roman"/>
                <w:sz w:val="26"/>
                <w:szCs w:val="26"/>
                <w:highlight w:val="white"/>
              </w:rPr>
            </w:pPr>
            <w:r>
              <w:rPr>
                <w:rFonts w:ascii="Times New Roman" w:eastAsia="Times New Roman" w:hAnsi="Times New Roman" w:cs="Times New Roman"/>
                <w:sz w:val="24"/>
                <w:szCs w:val="24"/>
              </w:rPr>
              <w:t>Nu a fost recepționat aviz</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26283A30"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Se ia act</w:t>
            </w:r>
          </w:p>
          <w:p w14:paraId="704D1A47" w14:textId="77777777" w:rsidR="00315874" w:rsidRDefault="00315874">
            <w:pPr>
              <w:shd w:val="clear" w:color="auto" w:fill="FFFFFF"/>
              <w:jc w:val="both"/>
              <w:rPr>
                <w:rFonts w:ascii="Times New Roman" w:eastAsia="Times New Roman" w:hAnsi="Times New Roman" w:cs="Times New Roman"/>
                <w:sz w:val="24"/>
                <w:szCs w:val="24"/>
                <w:highlight w:val="white"/>
              </w:rPr>
            </w:pPr>
          </w:p>
        </w:tc>
      </w:tr>
      <w:tr w:rsidR="00315874" w14:paraId="3C0A38C4" w14:textId="77777777">
        <w:trPr>
          <w:trHeight w:val="1140"/>
        </w:trPr>
        <w:tc>
          <w:tcPr>
            <w:tcW w:w="735" w:type="dxa"/>
            <w:vMerge w:val="restart"/>
            <w:tcBorders>
              <w:top w:val="single" w:sz="6" w:space="0" w:color="999999"/>
              <w:left w:val="single" w:sz="6" w:space="0" w:color="999999"/>
              <w:bottom w:val="single" w:sz="6" w:space="0" w:color="999999"/>
              <w:right w:val="single" w:sz="6" w:space="0" w:color="999999"/>
            </w:tcBorders>
            <w:tcMar>
              <w:top w:w="0" w:type="dxa"/>
              <w:bottom w:w="0" w:type="dxa"/>
            </w:tcMar>
          </w:tcPr>
          <w:p w14:paraId="70F66924" w14:textId="77777777" w:rsidR="00315874"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tc>
        <w:tc>
          <w:tcPr>
            <w:tcW w:w="2835" w:type="dxa"/>
            <w:vMerge w:val="restart"/>
            <w:tcBorders>
              <w:top w:val="single" w:sz="6" w:space="0" w:color="999999"/>
              <w:left w:val="single" w:sz="6" w:space="0" w:color="999999"/>
              <w:bottom w:val="single" w:sz="6" w:space="0" w:color="999999"/>
              <w:right w:val="single" w:sz="6" w:space="0" w:color="999999"/>
            </w:tcBorders>
            <w:tcMar>
              <w:top w:w="0" w:type="dxa"/>
              <w:bottom w:w="0" w:type="dxa"/>
            </w:tcMar>
          </w:tcPr>
          <w:p w14:paraId="382C7D9E" w14:textId="77777777" w:rsidR="00315874" w:rsidRDefault="00000000">
            <w:pPr>
              <w:spacing w:line="240" w:lineRule="auto"/>
              <w:ind w:left="14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Secretariatul Parlamentului</w:t>
            </w:r>
          </w:p>
          <w:p w14:paraId="1DDBF3D6" w14:textId="77777777" w:rsidR="00315874" w:rsidRDefault="00000000">
            <w:pPr>
              <w:spacing w:line="240" w:lineRule="auto"/>
              <w:ind w:left="140"/>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Nr. SGA-02 nr. 281 din 01.07.2026</w:t>
            </w: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1A261FA1"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Pentru persoanele cu o vechime în muncă/serviciu public de peste 10, 15 și, respectiv, 20 de ani, implementarea prevederilor propuse prin proiect va avea ca efect diminuarea duratei concediului anual de odihnă, în medie, cu aproximativ 2, 4 și, respectiv, 7 zile lucrătoare. Respectiv, eliminarea integrală a concediilor suplimentare acordate pentru vechime în muncă, fără instituirea unor mecanisme compensatorii adecvate, poate fi apreciată drept o diminuare a nivelului de protecție socială acordat anumitor categorii de personal.</w:t>
            </w:r>
          </w:p>
          <w:p w14:paraId="43981085"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Având în vedere obiectivul declarat al proiectului de uniformizare a regimului concediilor și de asigurare a sustenabilității financiare, recomandăm identificarea unei soluții de compromis care să permită realizarea reformei fără diminuarea excesivă a drepturilor persoanelor cu vechime în serviciu public.</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3BBE9E86"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Nu se acceptă.</w:t>
            </w:r>
          </w:p>
          <w:p w14:paraId="1AD45D37"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Autorul proiectului înțelege preocupările expuse în aviz însă în practică s-a constatat că acordarea concediilor suplimentare legate de vechimea în muncă nu soluționează problema respectării dreptului persoanei la odihnă.</w:t>
            </w:r>
          </w:p>
          <w:p w14:paraId="6008B4FC"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Mai mult, durata extinsă a concediilor de odihnă, a favorizat acumularea unor solduri considerabile de zile neutilizate de concediu care sunt transferate în timp și pune presiune atât pe procesul de administrarea a resurselor umane cât și pe bugetele instituțiilor și a statului. Aceste acumulări generează obligații de compensare financiară la încetarea raporturilor de muncă și transformă concediul, dintr-un instrument destinat asigurării perioadei efective de odihnă, într-o obligație financiară pentru angajatori. Potrivit informațiilor publice, în anul 2026 </w:t>
            </w:r>
            <w:hyperlink r:id="rId8">
              <w:r w:rsidR="00315874">
                <w:rPr>
                  <w:rFonts w:ascii="Times New Roman" w:eastAsia="Times New Roman" w:hAnsi="Times New Roman" w:cs="Times New Roman"/>
                  <w:color w:val="1155CC"/>
                  <w:sz w:val="24"/>
                  <w:szCs w:val="24"/>
                  <w:highlight w:val="white"/>
                  <w:u w:val="single"/>
                </w:rPr>
                <w:t xml:space="preserve">„Guvernul va aloca 192,4 milioane de lei pentru plata concediilor de odihnă nefolosite ale angajaților din sectorul </w:t>
              </w:r>
              <w:r w:rsidR="00315874">
                <w:rPr>
                  <w:rFonts w:ascii="Times New Roman" w:eastAsia="Times New Roman" w:hAnsi="Times New Roman" w:cs="Times New Roman"/>
                  <w:color w:val="1155CC"/>
                  <w:sz w:val="24"/>
                  <w:szCs w:val="24"/>
                  <w:highlight w:val="white"/>
                  <w:u w:val="single"/>
                </w:rPr>
                <w:lastRenderedPageBreak/>
                <w:t>bugetar.”</w:t>
              </w:r>
            </w:hyperlink>
            <w:r>
              <w:rPr>
                <w:rFonts w:ascii="Times New Roman" w:eastAsia="Times New Roman" w:hAnsi="Times New Roman" w:cs="Times New Roman"/>
                <w:sz w:val="24"/>
                <w:szCs w:val="24"/>
                <w:highlight w:val="white"/>
              </w:rPr>
              <w:t xml:space="preserve"> A se vedea suplimentar și HG 322/2026 privind repartizarea unor alocații aprobate în Legea bugetului de stat pentru anul 2026 nr. 322/2025</w:t>
            </w:r>
          </w:p>
          <w:p w14:paraId="4914159E" w14:textId="77777777" w:rsidR="00315874" w:rsidRDefault="00315874">
            <w:pPr>
              <w:shd w:val="clear" w:color="auto" w:fill="FFFFFF"/>
              <w:jc w:val="both"/>
              <w:rPr>
                <w:rFonts w:ascii="Times New Roman" w:eastAsia="Times New Roman" w:hAnsi="Times New Roman" w:cs="Times New Roman"/>
                <w:sz w:val="24"/>
                <w:szCs w:val="24"/>
              </w:rPr>
            </w:pPr>
            <w:hyperlink r:id="rId9">
              <w:r>
                <w:rPr>
                  <w:rFonts w:ascii="Times New Roman" w:eastAsia="Times New Roman" w:hAnsi="Times New Roman" w:cs="Times New Roman"/>
                  <w:color w:val="1155CC"/>
                  <w:sz w:val="24"/>
                  <w:szCs w:val="24"/>
                  <w:u w:val="single"/>
                </w:rPr>
                <w:t>https://www.legis.md/cautare/getResults?doc_id=154910&amp;lang=ro</w:t>
              </w:r>
            </w:hyperlink>
          </w:p>
          <w:p w14:paraId="228E21B9"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De asemenea există și situații în care concediul de odihnă este  acordat integral și achitat pe hârtie, însă salariatul, este rechemat mai devreme prin întreruperea concediului iar ca rezultat aceste zile nu mai sunt utilizate de facto ci rămân doar achitate ceea ce afectează respectarea dreptului persoanei la odihnă și încalcă și prevederile legislației internaționale care expres impune angajatorul să asigure dreptul la odihnă pentru salariați. </w:t>
            </w:r>
          </w:p>
          <w:p w14:paraId="41B06915"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În consecință, zilele suplimentare de concediu acordate în baza de vechime în muncă au ajuns să fie percepute mai degrabă ca o formă de compensare financiară indirectă decât ca o perioadă reală destinată refacerii capacității de muncă. </w:t>
            </w:r>
          </w:p>
          <w:p w14:paraId="27BC3148"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79BB6B26"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În concluzie concediile suplimentare pentru vechime nu își îndeplinesc funcția pentru care au fost acordate (de regulă: recompensarea fidelității și experienței acumulate, menținerea atractivității carierei publice, stimularea păstrării personalului calificat.) ci au devenit un instrument care nu este utilizat după destinație. </w:t>
            </w:r>
          </w:p>
          <w:p w14:paraId="260A8266"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 xml:space="preserve">Dat fiind faptul acumulării acestor concedii în prezent, este imperios a descuraja practica neutilizării concediului efectiv și încurajarea odihnei a salariaților în limita legală prevăzută atât de actele internaționale cât și de legislația națională. </w:t>
            </w:r>
          </w:p>
          <w:p w14:paraId="7C39449D" w14:textId="77777777" w:rsidR="00315874" w:rsidRDefault="00315874">
            <w:pPr>
              <w:shd w:val="clear" w:color="auto" w:fill="FFFFFF"/>
              <w:jc w:val="both"/>
              <w:rPr>
                <w:rFonts w:ascii="Times New Roman" w:eastAsia="Times New Roman" w:hAnsi="Times New Roman" w:cs="Times New Roman"/>
                <w:b/>
                <w:bCs/>
                <w:sz w:val="24"/>
                <w:szCs w:val="24"/>
                <w:highlight w:val="white"/>
              </w:rPr>
            </w:pPr>
          </w:p>
        </w:tc>
      </w:tr>
      <w:tr w:rsidR="00315874" w14:paraId="38C76158" w14:textId="77777777">
        <w:trPr>
          <w:trHeight w:val="1140"/>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6F30893F"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340E321E" w14:textId="77777777" w:rsidR="00315874" w:rsidRDefault="00315874">
            <w:pPr>
              <w:spacing w:line="240" w:lineRule="auto"/>
              <w:jc w:val="center"/>
              <w:rPr>
                <w:rFonts w:ascii="Times New Roman" w:eastAsia="Times New Roman" w:hAnsi="Times New Roman" w:cs="Times New Roman"/>
                <w:sz w:val="24"/>
                <w:szCs w:val="24"/>
              </w:rPr>
            </w:pPr>
          </w:p>
        </w:tc>
        <w:tc>
          <w:tcPr>
            <w:tcW w:w="5700" w:type="dxa"/>
            <w:tcBorders>
              <w:top w:val="nil"/>
              <w:left w:val="nil"/>
              <w:bottom w:val="single" w:sz="6" w:space="0" w:color="000000"/>
              <w:right w:val="single" w:sz="6" w:space="0" w:color="000000"/>
            </w:tcBorders>
            <w:tcMar>
              <w:top w:w="0" w:type="dxa"/>
              <w:left w:w="100" w:type="dxa"/>
              <w:bottom w:w="0" w:type="dxa"/>
              <w:right w:w="100" w:type="dxa"/>
            </w:tcMar>
          </w:tcPr>
          <w:p w14:paraId="1FA58909"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Cu titlu de observație generală, menționăm că proiectul de lege reglementează în mod diferit numărul de zile lucrătoare de concediu acordate unor categorii distincte de personal, deși acestea beneficiază în prezent de aceeași durată a concediului anual de odihnă exprimată în zile calendaristice. O asemenea abordare ridică semne de întrebare sub aspectul respectării principiilor echității, proporționalității și uniformității reglementării, întrucât transformarea aceluiași număr de zile calendaristice în număr diferit de zile lucrătoare nu este însoțită de o justificare obiectivă și suficientă în Nota de fundamentare a proiectului. Aceasta nu conține nici un fel de informații la acest subiect.</w:t>
            </w:r>
          </w:p>
        </w:tc>
        <w:tc>
          <w:tcPr>
            <w:tcW w:w="6210" w:type="dxa"/>
            <w:tcBorders>
              <w:top w:val="nil"/>
              <w:left w:val="single" w:sz="6" w:space="0" w:color="000000"/>
              <w:bottom w:val="single" w:sz="6" w:space="0" w:color="000000"/>
              <w:right w:val="single" w:sz="6" w:space="0" w:color="999999"/>
            </w:tcBorders>
            <w:tcMar>
              <w:top w:w="0" w:type="dxa"/>
              <w:left w:w="100" w:type="dxa"/>
              <w:bottom w:w="0" w:type="dxa"/>
              <w:right w:w="100" w:type="dxa"/>
            </w:tcMar>
          </w:tcPr>
          <w:p w14:paraId="2C86D378"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Parțial se acceptă.</w:t>
            </w:r>
          </w:p>
          <w:p w14:paraId="4B6B7B15"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Diferențele dintre duratele concediului stabilite pentru categorii care beneficiază, în prezent, de aceeași durată exprimată în zile calendaristice se explică prin faptul că, pentru fiecare categorie de personal, alături de conversia tehnică calendaristice→lucrătoare, au fost avute în vedere elementele specifice statutului respectiv: apartenența la o funcție de demnitate publică/electivă, statutul constituțional distinct (judecător, procuror), statutul special (militar, funcționar cu statut special) sau funcția publică generală.</w:t>
            </w:r>
          </w:p>
          <w:p w14:paraId="755DC252" w14:textId="7F3AC196"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Nota de fundamentare </w:t>
            </w:r>
            <w:r w:rsidR="008047B7">
              <w:rPr>
                <w:rFonts w:ascii="Times New Roman" w:eastAsia="Times New Roman" w:hAnsi="Times New Roman" w:cs="Times New Roman"/>
                <w:sz w:val="24"/>
                <w:szCs w:val="24"/>
                <w:highlight w:val="white"/>
              </w:rPr>
              <w:t>a fost</w:t>
            </w:r>
            <w:r>
              <w:rPr>
                <w:rFonts w:ascii="Times New Roman" w:eastAsia="Times New Roman" w:hAnsi="Times New Roman" w:cs="Times New Roman"/>
                <w:sz w:val="24"/>
                <w:szCs w:val="24"/>
                <w:highlight w:val="white"/>
              </w:rPr>
              <w:t xml:space="preserve"> completată cu o secțiune care expune explicit criteriile utilizate pentru fiecare categorie, astfel încât diferențierile să fie verificabile și motivate.</w:t>
            </w:r>
          </w:p>
          <w:p w14:paraId="2839498D" w14:textId="15CBCD68" w:rsidR="0021239A" w:rsidRPr="008047B7"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sz w:val="24"/>
                <w:szCs w:val="24"/>
                <w:highlight w:val="white"/>
              </w:rPr>
              <w:t xml:space="preserve">Referitor la exemplele concrete semnalate: la articolele din proiect aferente persoanelor cu funcții de demnitate publică și personalul din cabinetele acestora, durata a fost aliniată la 28 de zile lucrătoare, conform celor menționate la punctul următor al prezentului aviz. </w:t>
            </w:r>
          </w:p>
        </w:tc>
      </w:tr>
      <w:tr w:rsidR="00315874" w14:paraId="5C92DDD1" w14:textId="77777777">
        <w:trPr>
          <w:trHeight w:val="1140"/>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53EE2C82"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732E5243" w14:textId="77777777" w:rsidR="00315874" w:rsidRDefault="00315874">
            <w:pPr>
              <w:spacing w:line="240" w:lineRule="auto"/>
              <w:jc w:val="center"/>
              <w:rPr>
                <w:rFonts w:ascii="Times New Roman" w:eastAsia="Times New Roman" w:hAnsi="Times New Roman" w:cs="Times New Roman"/>
                <w:sz w:val="24"/>
                <w:szCs w:val="24"/>
              </w:rPr>
            </w:pPr>
          </w:p>
        </w:tc>
        <w:tc>
          <w:tcPr>
            <w:tcW w:w="5700" w:type="dxa"/>
            <w:tcBorders>
              <w:top w:val="nil"/>
              <w:left w:val="nil"/>
              <w:bottom w:val="single" w:sz="6" w:space="0" w:color="000000"/>
              <w:right w:val="single" w:sz="6" w:space="0" w:color="000000"/>
            </w:tcBorders>
            <w:tcMar>
              <w:top w:w="0" w:type="dxa"/>
              <w:left w:w="100" w:type="dxa"/>
              <w:bottom w:w="0" w:type="dxa"/>
              <w:right w:w="100" w:type="dxa"/>
            </w:tcMar>
          </w:tcPr>
          <w:p w14:paraId="5316C8C7"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În acest context, remarcăm următoarele discrepanțe:</w:t>
            </w:r>
          </w:p>
          <w:p w14:paraId="2C215EA0"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 cadrele didactice care beneficiază în prezent de un concediu anual de odihnă de </w:t>
            </w:r>
            <w:r>
              <w:rPr>
                <w:rFonts w:ascii="Times New Roman" w:eastAsia="Times New Roman" w:hAnsi="Times New Roman" w:cs="Times New Roman"/>
                <w:b/>
                <w:bCs/>
                <w:i/>
                <w:iCs/>
                <w:sz w:val="24"/>
                <w:szCs w:val="24"/>
                <w:highlight w:val="white"/>
              </w:rPr>
              <w:t>42 de zile calendaristice</w:t>
            </w:r>
            <w:r>
              <w:rPr>
                <w:rFonts w:ascii="Times New Roman" w:eastAsia="Times New Roman" w:hAnsi="Times New Roman" w:cs="Times New Roman"/>
                <w:sz w:val="24"/>
                <w:szCs w:val="24"/>
                <w:highlight w:val="white"/>
              </w:rPr>
              <w:t xml:space="preserve"> vor beneficia, potrivit proiectului, de un concediu de </w:t>
            </w:r>
            <w:r>
              <w:rPr>
                <w:rFonts w:ascii="Times New Roman" w:eastAsia="Times New Roman" w:hAnsi="Times New Roman" w:cs="Times New Roman"/>
                <w:b/>
                <w:bCs/>
                <w:i/>
                <w:iCs/>
                <w:sz w:val="24"/>
                <w:szCs w:val="24"/>
                <w:highlight w:val="white"/>
              </w:rPr>
              <w:t>33 de zile lucrătoare</w:t>
            </w:r>
            <w:r>
              <w:rPr>
                <w:rFonts w:ascii="Times New Roman" w:eastAsia="Times New Roman" w:hAnsi="Times New Roman" w:cs="Times New Roman"/>
                <w:sz w:val="24"/>
                <w:szCs w:val="24"/>
                <w:highlight w:val="white"/>
              </w:rPr>
              <w:t xml:space="preserve"> (art. V pct. 11), în timp ce funcționarii publici care beneficiază în prezent de aceeași durată a concediului anual de odihnă, </w:t>
            </w:r>
            <w:r>
              <w:rPr>
                <w:rFonts w:ascii="Times New Roman" w:eastAsia="Times New Roman" w:hAnsi="Times New Roman" w:cs="Times New Roman"/>
                <w:b/>
                <w:bCs/>
                <w:i/>
                <w:iCs/>
                <w:sz w:val="24"/>
                <w:szCs w:val="24"/>
                <w:highlight w:val="white"/>
              </w:rPr>
              <w:t>42 de zile calendaristice</w:t>
            </w:r>
            <w:r>
              <w:rPr>
                <w:rFonts w:ascii="Times New Roman" w:eastAsia="Times New Roman" w:hAnsi="Times New Roman" w:cs="Times New Roman"/>
                <w:i/>
                <w:iCs/>
                <w:sz w:val="24"/>
                <w:szCs w:val="24"/>
                <w:highlight w:val="white"/>
              </w:rPr>
              <w:t>,</w:t>
            </w:r>
            <w:r>
              <w:rPr>
                <w:rFonts w:ascii="Times New Roman" w:eastAsia="Times New Roman" w:hAnsi="Times New Roman" w:cs="Times New Roman"/>
                <w:sz w:val="24"/>
                <w:szCs w:val="24"/>
                <w:highlight w:val="white"/>
              </w:rPr>
              <w:t xml:space="preserve"> vor beneficia de numai </w:t>
            </w:r>
            <w:r>
              <w:rPr>
                <w:rFonts w:ascii="Times New Roman" w:eastAsia="Times New Roman" w:hAnsi="Times New Roman" w:cs="Times New Roman"/>
                <w:b/>
                <w:bCs/>
                <w:i/>
                <w:iCs/>
                <w:sz w:val="24"/>
                <w:szCs w:val="24"/>
                <w:highlight w:val="white"/>
              </w:rPr>
              <w:t>28 de zile lucrătoare</w:t>
            </w:r>
            <w:r>
              <w:rPr>
                <w:rFonts w:ascii="Times New Roman" w:eastAsia="Times New Roman" w:hAnsi="Times New Roman" w:cs="Times New Roman"/>
                <w:b/>
                <w:bCs/>
                <w:sz w:val="24"/>
                <w:szCs w:val="24"/>
                <w:highlight w:val="white"/>
              </w:rPr>
              <w:t xml:space="preserve"> </w:t>
            </w:r>
            <w:r>
              <w:rPr>
                <w:rFonts w:ascii="Times New Roman" w:eastAsia="Times New Roman" w:hAnsi="Times New Roman" w:cs="Times New Roman"/>
                <w:sz w:val="24"/>
                <w:szCs w:val="24"/>
                <w:highlight w:val="white"/>
              </w:rPr>
              <w:t>(art. IX pct. 2);</w:t>
            </w:r>
          </w:p>
          <w:p w14:paraId="1737DBEC"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 pentru majoritatea categoriilor de personal din sectorul bugetar, concediul anual de odihnă de </w:t>
            </w:r>
            <w:r>
              <w:rPr>
                <w:rFonts w:ascii="Times New Roman" w:eastAsia="Times New Roman" w:hAnsi="Times New Roman" w:cs="Times New Roman"/>
                <w:b/>
                <w:bCs/>
                <w:i/>
                <w:iCs/>
                <w:sz w:val="24"/>
                <w:szCs w:val="24"/>
                <w:highlight w:val="white"/>
              </w:rPr>
              <w:t>35 de zile calendaristice</w:t>
            </w:r>
            <w:r>
              <w:rPr>
                <w:rFonts w:ascii="Times New Roman" w:eastAsia="Times New Roman" w:hAnsi="Times New Roman" w:cs="Times New Roman"/>
                <w:sz w:val="24"/>
                <w:szCs w:val="24"/>
                <w:highlight w:val="white"/>
              </w:rPr>
              <w:t xml:space="preserve"> este înlocuit cu un concediu de </w:t>
            </w:r>
            <w:r>
              <w:rPr>
                <w:rFonts w:ascii="Times New Roman" w:eastAsia="Times New Roman" w:hAnsi="Times New Roman" w:cs="Times New Roman"/>
                <w:b/>
                <w:bCs/>
                <w:i/>
                <w:iCs/>
                <w:sz w:val="24"/>
                <w:szCs w:val="24"/>
                <w:highlight w:val="white"/>
              </w:rPr>
              <w:t>28 de zile lucrătoare.</w:t>
            </w:r>
            <w:r>
              <w:rPr>
                <w:rFonts w:ascii="Times New Roman" w:eastAsia="Times New Roman" w:hAnsi="Times New Roman" w:cs="Times New Roman"/>
                <w:sz w:val="24"/>
                <w:szCs w:val="24"/>
                <w:highlight w:val="white"/>
              </w:rPr>
              <w:t xml:space="preserve"> În schimb, pentru procurori, aceeași durată a concediului de </w:t>
            </w:r>
            <w:r>
              <w:rPr>
                <w:rFonts w:ascii="Times New Roman" w:eastAsia="Times New Roman" w:hAnsi="Times New Roman" w:cs="Times New Roman"/>
                <w:b/>
                <w:bCs/>
                <w:i/>
                <w:iCs/>
                <w:sz w:val="24"/>
                <w:szCs w:val="24"/>
                <w:highlight w:val="white"/>
              </w:rPr>
              <w:t>35 de zile calendaristice</w:t>
            </w:r>
            <w:r>
              <w:rPr>
                <w:rFonts w:ascii="Times New Roman" w:eastAsia="Times New Roman" w:hAnsi="Times New Roman" w:cs="Times New Roman"/>
                <w:sz w:val="24"/>
                <w:szCs w:val="24"/>
                <w:highlight w:val="white"/>
              </w:rPr>
              <w:t xml:space="preserve"> este substituită cu </w:t>
            </w:r>
            <w:r>
              <w:rPr>
                <w:rFonts w:ascii="Times New Roman" w:eastAsia="Times New Roman" w:hAnsi="Times New Roman" w:cs="Times New Roman"/>
                <w:b/>
                <w:bCs/>
                <w:i/>
                <w:iCs/>
                <w:sz w:val="24"/>
                <w:szCs w:val="24"/>
                <w:highlight w:val="white"/>
              </w:rPr>
              <w:t>30 de zile lucrătoare</w:t>
            </w:r>
            <w:r>
              <w:rPr>
                <w:rFonts w:ascii="Times New Roman" w:eastAsia="Times New Roman" w:hAnsi="Times New Roman" w:cs="Times New Roman"/>
                <w:sz w:val="24"/>
                <w:szCs w:val="24"/>
                <w:highlight w:val="white"/>
              </w:rPr>
              <w:t xml:space="preserve"> (art. XIV);</w:t>
            </w:r>
          </w:p>
          <w:p w14:paraId="54FC9E43" w14:textId="77777777" w:rsidR="00315874" w:rsidRDefault="00000000">
            <w:pPr>
              <w:jc w:val="both"/>
              <w:rPr>
                <w:rFonts w:ascii="Times New Roman" w:eastAsia="Times New Roman" w:hAnsi="Times New Roman" w:cs="Times New Roman"/>
                <w:b/>
                <w:bCs/>
                <w:i/>
                <w:iCs/>
                <w:sz w:val="24"/>
                <w:szCs w:val="24"/>
                <w:highlight w:val="white"/>
              </w:rPr>
            </w:pPr>
            <w:r>
              <w:rPr>
                <w:rFonts w:ascii="Times New Roman" w:eastAsia="Times New Roman" w:hAnsi="Times New Roman" w:cs="Times New Roman"/>
                <w:sz w:val="24"/>
                <w:szCs w:val="24"/>
                <w:highlight w:val="white"/>
              </w:rPr>
              <w:t xml:space="preserve">  - pentru persoanele cu funcții de demnitate publică și pentru personalul din cabinetul persoanelor cu funcții de demnitate publică, concediul anual de odihnă de </w:t>
            </w:r>
            <w:r>
              <w:rPr>
                <w:rFonts w:ascii="Times New Roman" w:eastAsia="Times New Roman" w:hAnsi="Times New Roman" w:cs="Times New Roman"/>
                <w:b/>
                <w:bCs/>
                <w:i/>
                <w:iCs/>
                <w:sz w:val="24"/>
                <w:szCs w:val="24"/>
                <w:highlight w:val="white"/>
              </w:rPr>
              <w:t>35</w:t>
            </w:r>
          </w:p>
          <w:p w14:paraId="7A504CA6"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i/>
                <w:iCs/>
                <w:sz w:val="24"/>
                <w:szCs w:val="24"/>
                <w:highlight w:val="white"/>
              </w:rPr>
              <w:t>de zile calendaristice</w:t>
            </w:r>
            <w:r>
              <w:rPr>
                <w:rFonts w:ascii="Times New Roman" w:eastAsia="Times New Roman" w:hAnsi="Times New Roman" w:cs="Times New Roman"/>
                <w:sz w:val="24"/>
                <w:szCs w:val="24"/>
                <w:highlight w:val="white"/>
              </w:rPr>
              <w:t xml:space="preserve"> este înlocuit cu un concediu de doar </w:t>
            </w:r>
            <w:r>
              <w:rPr>
                <w:rFonts w:ascii="Times New Roman" w:eastAsia="Times New Roman" w:hAnsi="Times New Roman" w:cs="Times New Roman"/>
                <w:b/>
                <w:bCs/>
                <w:i/>
                <w:iCs/>
                <w:sz w:val="24"/>
                <w:szCs w:val="24"/>
                <w:highlight w:val="white"/>
              </w:rPr>
              <w:t>24 de zile lucrătoare</w:t>
            </w:r>
            <w:r>
              <w:rPr>
                <w:rFonts w:ascii="Times New Roman" w:eastAsia="Times New Roman" w:hAnsi="Times New Roman" w:cs="Times New Roman"/>
                <w:sz w:val="24"/>
                <w:szCs w:val="24"/>
                <w:highlight w:val="white"/>
              </w:rPr>
              <w:t xml:space="preserve"> (art. XI și XII).</w:t>
            </w:r>
          </w:p>
          <w:p w14:paraId="7599741D" w14:textId="77777777" w:rsidR="00315874" w:rsidRDefault="00315874">
            <w:pPr>
              <w:jc w:val="both"/>
              <w:rPr>
                <w:rFonts w:ascii="Times New Roman" w:eastAsia="Times New Roman" w:hAnsi="Times New Roman" w:cs="Times New Roman"/>
                <w:sz w:val="24"/>
                <w:szCs w:val="24"/>
                <w:highlight w:val="white"/>
              </w:rPr>
            </w:pPr>
          </w:p>
          <w:p w14:paraId="1B086776"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Diferențele menționate creează un regim juridic neuniform pentru categorii de personal care beneficiază în prezent de drepturi comparabile sub aspectul duratei concediului anual de odihnă. În lipsa unor criterii obiective și transparente care să justifice aceste </w:t>
            </w:r>
            <w:r>
              <w:rPr>
                <w:rFonts w:ascii="Times New Roman" w:eastAsia="Times New Roman" w:hAnsi="Times New Roman" w:cs="Times New Roman"/>
                <w:sz w:val="24"/>
                <w:szCs w:val="24"/>
                <w:highlight w:val="white"/>
              </w:rPr>
              <w:lastRenderedPageBreak/>
              <w:t>diferențieri, soluțiile legislative propuse pot genera tratamente inechitabile între diferite categorii de personal din sectorul public și pot afecta coerența internă a reglementării.</w:t>
            </w:r>
          </w:p>
        </w:tc>
        <w:tc>
          <w:tcPr>
            <w:tcW w:w="6210" w:type="dxa"/>
            <w:tcBorders>
              <w:top w:val="nil"/>
              <w:left w:val="single" w:sz="6" w:space="0" w:color="000000"/>
              <w:bottom w:val="single" w:sz="6" w:space="0" w:color="000000"/>
              <w:right w:val="single" w:sz="6" w:space="0" w:color="999999"/>
            </w:tcBorders>
            <w:tcMar>
              <w:top w:w="0" w:type="dxa"/>
              <w:left w:w="100" w:type="dxa"/>
              <w:bottom w:w="0" w:type="dxa"/>
              <w:right w:w="100" w:type="dxa"/>
            </w:tcMar>
          </w:tcPr>
          <w:p w14:paraId="2C75D523" w14:textId="77777777" w:rsidR="00315874" w:rsidRDefault="00000000">
            <w:pPr>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Se acceptă parțial.</w:t>
            </w:r>
          </w:p>
          <w:p w14:paraId="3F7E6D31" w14:textId="77777777" w:rsidR="00315874"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ceea ce privește comparația dintre cadrele didactice și funcționarii publici, durata de 42 de zile calendaristice pentru funcționarii publici include concediul suplimentar acordat în funcție de vechimea în serviciul public, a cărui excludere este propusă prin proiect. Prin urmare, diferența semnalată rezultă atât din conversia duratei concediului de bază în zile lucrătoare, cât și din eliminarea majorării acestuia pentru vechime.</w:t>
            </w:r>
          </w:p>
          <w:p w14:paraId="702FC398" w14:textId="77777777" w:rsidR="00315874" w:rsidRDefault="00000000">
            <w:pPr>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sz w:val="24"/>
                <w:szCs w:val="24"/>
                <w:highlight w:val="white"/>
              </w:rPr>
              <w:t xml:space="preserve">Pentru persoanele cu funcții de demnitate publică și pentru personalul din cabinetul persoanelor cu funcții de demnitate publică, concediul anual de odihnă de </w:t>
            </w:r>
            <w:r>
              <w:rPr>
                <w:rFonts w:ascii="Times New Roman" w:eastAsia="Times New Roman" w:hAnsi="Times New Roman" w:cs="Times New Roman"/>
                <w:b/>
                <w:bCs/>
                <w:i/>
                <w:iCs/>
                <w:sz w:val="24"/>
                <w:szCs w:val="24"/>
                <w:highlight w:val="white"/>
              </w:rPr>
              <w:t>35 de zile calendaristice</w:t>
            </w:r>
            <w:r>
              <w:rPr>
                <w:rFonts w:ascii="Times New Roman" w:eastAsia="Times New Roman" w:hAnsi="Times New Roman" w:cs="Times New Roman"/>
                <w:sz w:val="24"/>
                <w:szCs w:val="24"/>
                <w:highlight w:val="white"/>
              </w:rPr>
              <w:t xml:space="preserve"> este înlocuit cu un concediu de </w:t>
            </w:r>
            <w:r>
              <w:rPr>
                <w:rFonts w:ascii="Times New Roman" w:eastAsia="Times New Roman" w:hAnsi="Times New Roman" w:cs="Times New Roman"/>
                <w:b/>
                <w:bCs/>
                <w:i/>
                <w:iCs/>
                <w:sz w:val="24"/>
                <w:szCs w:val="24"/>
                <w:highlight w:val="white"/>
              </w:rPr>
              <w:t>28 de zile lucrătoare</w:t>
            </w:r>
            <w:r>
              <w:rPr>
                <w:rFonts w:ascii="Times New Roman" w:eastAsia="Times New Roman" w:hAnsi="Times New Roman" w:cs="Times New Roman"/>
                <w:sz w:val="24"/>
                <w:szCs w:val="24"/>
                <w:highlight w:val="white"/>
              </w:rPr>
              <w:t>, proiectul a fost modificat.</w:t>
            </w:r>
          </w:p>
          <w:p w14:paraId="736F9367" w14:textId="77777777" w:rsidR="00315874" w:rsidRDefault="00000000">
            <w:pPr>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sz w:val="24"/>
                <w:szCs w:val="24"/>
              </w:rPr>
              <w:t>Nota de fundamentare a fost completată cu explicarea criteriilor utilizate pentru stabilirea duratelor concediului anual de odihnă pentru categoriile de personal vizate, distingând conversia în zile lucrătoare de modificările privind concediile suplimentare pentru vechime, astfel încât diferențele menținute să fie motivate în mod clar.</w:t>
            </w:r>
          </w:p>
          <w:p w14:paraId="1A76D9EB" w14:textId="77777777" w:rsidR="00315874" w:rsidRDefault="00315874">
            <w:pPr>
              <w:jc w:val="both"/>
              <w:rPr>
                <w:rFonts w:ascii="Times New Roman" w:eastAsia="Times New Roman" w:hAnsi="Times New Roman" w:cs="Times New Roman"/>
                <w:sz w:val="24"/>
                <w:szCs w:val="24"/>
                <w:highlight w:val="white"/>
              </w:rPr>
            </w:pPr>
          </w:p>
        </w:tc>
      </w:tr>
      <w:tr w:rsidR="00315874" w14:paraId="312C1286" w14:textId="77777777">
        <w:trPr>
          <w:trHeight w:val="1140"/>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095485C7"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0A9CD786" w14:textId="77777777" w:rsidR="00315874" w:rsidRDefault="00315874">
            <w:pPr>
              <w:spacing w:line="240" w:lineRule="auto"/>
              <w:jc w:val="center"/>
              <w:rPr>
                <w:rFonts w:ascii="Times New Roman" w:eastAsia="Times New Roman" w:hAnsi="Times New Roman" w:cs="Times New Roman"/>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3E04D3F2"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Analizând conținutul proiectului de lege, constatăm că majoritatea articolelor acestuia vizează modificarea unui singur articol din actele normative supuse amendării.</w:t>
            </w:r>
          </w:p>
          <w:p w14:paraId="5A43C174"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În aceste condiții, în vederea respectării normelor de tehnică legislativă și a prevederilor art. 63 din Legea nr. 100/2017 cu privire la actele normative, este necesar ca, în cazul articolelor din proiect care modifică un singur articol dintr-un act normativ, identificarea articolului supus modificării să fie realizată exclusiv în partea introductivă a articolului de modificare. Respectiv, nu este necesară indicarea repetată a aceluiași articol în cuprinsul textului de modificare și trebuie exclus.</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74617779"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Se acceptă.</w:t>
            </w:r>
          </w:p>
          <w:p w14:paraId="5A315238"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Proiectul a fost ajustat.</w:t>
            </w:r>
          </w:p>
        </w:tc>
      </w:tr>
      <w:tr w:rsidR="00315874" w14:paraId="7A1AE058" w14:textId="77777777">
        <w:trPr>
          <w:trHeight w:val="1140"/>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02CF72E7"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6B77C1AF" w14:textId="77777777" w:rsidR="00315874" w:rsidRDefault="00315874">
            <w:pPr>
              <w:spacing w:line="240" w:lineRule="auto"/>
              <w:jc w:val="center"/>
              <w:rPr>
                <w:rFonts w:ascii="Times New Roman" w:eastAsia="Times New Roman" w:hAnsi="Times New Roman" w:cs="Times New Roman"/>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6C4E5880"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La </w:t>
            </w:r>
            <w:r>
              <w:rPr>
                <w:rFonts w:ascii="Times New Roman" w:eastAsia="Times New Roman" w:hAnsi="Times New Roman" w:cs="Times New Roman"/>
                <w:b/>
                <w:bCs/>
                <w:sz w:val="24"/>
                <w:szCs w:val="24"/>
                <w:highlight w:val="white"/>
              </w:rPr>
              <w:t>Art. XIII, Art. XIV, Art. XIX</w:t>
            </w:r>
            <w:r>
              <w:rPr>
                <w:rFonts w:ascii="Times New Roman" w:eastAsia="Times New Roman" w:hAnsi="Times New Roman" w:cs="Times New Roman"/>
                <w:sz w:val="24"/>
                <w:szCs w:val="24"/>
                <w:highlight w:val="white"/>
              </w:rPr>
              <w:t xml:space="preserve"> din proiect, este necesar ca trimiterea făcută la Monitorul Oficial să fie scrisă complet, inclusiv cu indicarea anului publicării actului, întru respectarea prevederilor art. 62 alin.(2) din Legea nr. 100/2017.</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14A61612"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Se acceptă.</w:t>
            </w:r>
          </w:p>
          <w:p w14:paraId="42A975D9"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sz w:val="24"/>
                <w:szCs w:val="24"/>
                <w:highlight w:val="white"/>
              </w:rPr>
              <w:t>Proiectul a fost ajustat.</w:t>
            </w:r>
          </w:p>
        </w:tc>
      </w:tr>
      <w:tr w:rsidR="00315874" w14:paraId="1B35A6D7" w14:textId="77777777">
        <w:trPr>
          <w:trHeight w:val="1140"/>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741D79FD"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29DDE003" w14:textId="77777777" w:rsidR="00315874" w:rsidRDefault="00315874">
            <w:pPr>
              <w:spacing w:line="240" w:lineRule="auto"/>
              <w:jc w:val="center"/>
              <w:rPr>
                <w:rFonts w:ascii="Times New Roman" w:eastAsia="Times New Roman" w:hAnsi="Times New Roman" w:cs="Times New Roman"/>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3FE7ABBB"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În scopul ajustării terminologiei utilizate în proiectul de lege, respectând prevederile art. 54 lit. c) din Legea nr. 100/2017, pentru înlocuirea zilelor calendaristice cu zile lucrătoare la acordarea concediilor plătite, atenționăm </w:t>
            </w:r>
            <w:r>
              <w:rPr>
                <w:rFonts w:ascii="Times New Roman" w:eastAsia="Times New Roman" w:hAnsi="Times New Roman" w:cs="Times New Roman"/>
                <w:sz w:val="24"/>
                <w:szCs w:val="24"/>
                <w:highlight w:val="white"/>
              </w:rPr>
              <w:lastRenderedPageBreak/>
              <w:t>asupra necesitării includerii în proiectul de lege a unor modificări pentru următoarele acte normative:</w:t>
            </w:r>
          </w:p>
          <w:p w14:paraId="35B3FA34"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a) </w:t>
            </w:r>
            <w:r>
              <w:rPr>
                <w:rFonts w:ascii="Times New Roman" w:eastAsia="Times New Roman" w:hAnsi="Times New Roman" w:cs="Times New Roman"/>
                <w:sz w:val="24"/>
                <w:szCs w:val="24"/>
                <w:highlight w:val="white"/>
              </w:rPr>
              <w:t>art. 127 alin. (1) din Codul muncii, care prevede – „</w:t>
            </w:r>
            <w:r>
              <w:rPr>
                <w:rFonts w:ascii="Times New Roman" w:eastAsia="Times New Roman" w:hAnsi="Times New Roman" w:cs="Times New Roman"/>
                <w:i/>
                <w:iCs/>
                <w:sz w:val="24"/>
                <w:szCs w:val="24"/>
                <w:highlight w:val="white"/>
              </w:rPr>
              <w:t xml:space="preserve">Salariatului care intenționează să adopte un copil i se acordă, la cerere, </w:t>
            </w:r>
            <w:r>
              <w:rPr>
                <w:rFonts w:ascii="Times New Roman" w:eastAsia="Times New Roman" w:hAnsi="Times New Roman" w:cs="Times New Roman"/>
                <w:b/>
                <w:bCs/>
                <w:i/>
                <w:iCs/>
                <w:sz w:val="24"/>
                <w:szCs w:val="24"/>
                <w:highlight w:val="white"/>
              </w:rPr>
              <w:t>un concediu parțial plătit, cu durata de la 60 la 90 de zile</w:t>
            </w:r>
            <w:r>
              <w:rPr>
                <w:rFonts w:ascii="Times New Roman" w:eastAsia="Times New Roman" w:hAnsi="Times New Roman" w:cs="Times New Roman"/>
                <w:sz w:val="24"/>
                <w:szCs w:val="24"/>
                <w:highlight w:val="white"/>
              </w:rPr>
              <w:t xml:space="preserve">”, fără a fi reglementat dacă vor fi zile lucrătoare sau calendaristice. </w:t>
            </w:r>
          </w:p>
          <w:p w14:paraId="54926B7D"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Însă, ținând cont de faptul că la </w:t>
            </w:r>
            <w:r>
              <w:rPr>
                <w:rFonts w:ascii="Times New Roman" w:eastAsia="Times New Roman" w:hAnsi="Times New Roman" w:cs="Times New Roman"/>
                <w:b/>
                <w:bCs/>
                <w:sz w:val="24"/>
                <w:szCs w:val="24"/>
                <w:highlight w:val="white"/>
              </w:rPr>
              <w:t>Art. V pct.10</w:t>
            </w:r>
            <w:r>
              <w:rPr>
                <w:rFonts w:ascii="Times New Roman" w:eastAsia="Times New Roman" w:hAnsi="Times New Roman" w:cs="Times New Roman"/>
                <w:sz w:val="24"/>
                <w:szCs w:val="24"/>
                <w:highlight w:val="white"/>
              </w:rPr>
              <w:t xml:space="preserve"> din proiect se propune modificarea art. 127 alin. (2) din Codul muncii, în scopul transformării zilelor calendaristice de concediu plătit acordat în cazul adopției sau luării sub tutelă, în zile lucrătoare, recomandăm ca ajustările respective să fie operate și la art. 127 alin.(1);</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10328902"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Nu se acceptă.</w:t>
            </w:r>
          </w:p>
          <w:p w14:paraId="7DBEC918"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Concediul prevăzut la alineatul 1 este diferit de concediul prevăzut de alineatul 2 de la art. 127 CM, or concediul parțial plătit pentru salariatul care intenționează să adopte un copil este </w:t>
            </w:r>
            <w:r>
              <w:rPr>
                <w:rFonts w:ascii="Times New Roman" w:eastAsia="Times New Roman" w:hAnsi="Times New Roman" w:cs="Times New Roman"/>
                <w:sz w:val="24"/>
                <w:szCs w:val="24"/>
                <w:highlight w:val="white"/>
              </w:rPr>
              <w:lastRenderedPageBreak/>
              <w:t>similar concediului parțial plătit pentru îngrijirea copilului, se acordă în zile calendaristice și nu se achită de către angajator.  Concediile parțial plătite pentru îngrijirea copiilor nu fac obiectul prezentului Proiect, prin urmare alineatul 1 de la art. 127 rămâne nemodificat</w:t>
            </w:r>
          </w:p>
        </w:tc>
      </w:tr>
      <w:tr w:rsidR="00315874" w14:paraId="3C4C16C8" w14:textId="77777777">
        <w:trPr>
          <w:trHeight w:val="1035"/>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744E492A"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7A59BFE6" w14:textId="77777777" w:rsidR="00315874" w:rsidRDefault="00315874">
            <w:pPr>
              <w:spacing w:line="240" w:lineRule="auto"/>
              <w:jc w:val="center"/>
              <w:rPr>
                <w:rFonts w:ascii="Times New Roman" w:eastAsia="Times New Roman" w:hAnsi="Times New Roman" w:cs="Times New Roman"/>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6023CD45"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b)</w:t>
            </w:r>
            <w:r>
              <w:rPr>
                <w:rFonts w:ascii="Times New Roman" w:eastAsia="Times New Roman" w:hAnsi="Times New Roman" w:cs="Times New Roman"/>
                <w:sz w:val="24"/>
                <w:szCs w:val="24"/>
                <w:highlight w:val="white"/>
              </w:rPr>
              <w:t xml:space="preserve"> art. 7 pct. 14 din Legea nr.909/1992 privind protecția socială a cetățenilor care au avut de suferit de pe urma catastrofei de la Cernobîl;</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5886AD80"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Se acceptă, proiectul a fost completat cu modificări la </w:t>
            </w:r>
            <w:r>
              <w:rPr>
                <w:rFonts w:ascii="Times New Roman" w:eastAsia="Times New Roman" w:hAnsi="Times New Roman" w:cs="Times New Roman"/>
                <w:sz w:val="24"/>
                <w:szCs w:val="24"/>
              </w:rPr>
              <w:t>Articolul 7, punctul 14 din Legea privind protecţia socială a cetăţenilor care au avut de suferit de pe urma catastrofei de la Cernobîl.</w:t>
            </w:r>
          </w:p>
          <w:p w14:paraId="41BAF4BF" w14:textId="77777777" w:rsidR="00315874" w:rsidRDefault="00315874">
            <w:pPr>
              <w:shd w:val="clear" w:color="auto" w:fill="FFFFFF"/>
              <w:jc w:val="both"/>
              <w:rPr>
                <w:rFonts w:ascii="Times New Roman" w:eastAsia="Times New Roman" w:hAnsi="Times New Roman" w:cs="Times New Roman"/>
                <w:b/>
                <w:bCs/>
                <w:sz w:val="24"/>
                <w:szCs w:val="24"/>
                <w:highlight w:val="white"/>
              </w:rPr>
            </w:pPr>
          </w:p>
        </w:tc>
      </w:tr>
      <w:tr w:rsidR="00315874" w14:paraId="752A75A0" w14:textId="77777777">
        <w:trPr>
          <w:trHeight w:val="990"/>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4E12D6DD"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43C9BED1" w14:textId="77777777" w:rsidR="00315874" w:rsidRDefault="00315874">
            <w:pPr>
              <w:spacing w:line="240" w:lineRule="auto"/>
              <w:jc w:val="center"/>
              <w:rPr>
                <w:rFonts w:ascii="Times New Roman" w:eastAsia="Times New Roman" w:hAnsi="Times New Roman" w:cs="Times New Roman"/>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2DAA2C4C"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c) </w:t>
            </w:r>
            <w:r>
              <w:rPr>
                <w:rFonts w:ascii="Times New Roman" w:eastAsia="Times New Roman" w:hAnsi="Times New Roman" w:cs="Times New Roman"/>
                <w:sz w:val="24"/>
                <w:szCs w:val="24"/>
                <w:highlight w:val="white"/>
              </w:rPr>
              <w:t>art. 21 alin. (1) lit. b) din Legea nr.219/2015 privind participarea Republicii Moldova la misiuni și operațiuni internaționale.</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74722750"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Se acceptă.</w:t>
            </w:r>
          </w:p>
          <w:p w14:paraId="5A5B21BF"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sz w:val="24"/>
                <w:szCs w:val="24"/>
                <w:highlight w:val="white"/>
              </w:rPr>
              <w:t xml:space="preserve">Proiectul a fost completat cu clauze privind modificarea Articolului 21 din Legea nr. 219/2015 privind participarea Republicii Moldova la misiuni și operațiuni internaționale. </w:t>
            </w:r>
          </w:p>
        </w:tc>
      </w:tr>
      <w:tr w:rsidR="00315874" w14:paraId="0D52A3D0" w14:textId="77777777">
        <w:trPr>
          <w:trHeight w:val="990"/>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78EF61C6"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1286E371" w14:textId="77777777" w:rsidR="00315874" w:rsidRDefault="00315874">
            <w:pPr>
              <w:spacing w:line="240" w:lineRule="auto"/>
              <w:jc w:val="center"/>
              <w:rPr>
                <w:rFonts w:ascii="Times New Roman" w:eastAsia="Times New Roman" w:hAnsi="Times New Roman" w:cs="Times New Roman"/>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5BD018ED"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Cu titlu de informare, menționăm că în procedura legislativă se află </w:t>
            </w:r>
            <w:r>
              <w:rPr>
                <w:rFonts w:ascii="Times New Roman" w:eastAsia="Times New Roman" w:hAnsi="Times New Roman" w:cs="Times New Roman"/>
                <w:i/>
                <w:iCs/>
                <w:sz w:val="24"/>
                <w:szCs w:val="24"/>
                <w:highlight w:val="white"/>
              </w:rPr>
              <w:t>proiectul de lege cu privire la statutul, conduita și etica deputatului în Parlament (nr. 448/2023),</w:t>
            </w:r>
            <w:r>
              <w:rPr>
                <w:rFonts w:ascii="Times New Roman" w:eastAsia="Times New Roman" w:hAnsi="Times New Roman" w:cs="Times New Roman"/>
                <w:sz w:val="24"/>
                <w:szCs w:val="24"/>
                <w:highlight w:val="white"/>
              </w:rPr>
              <w:t xml:space="preserve"> care reglementează, la art. 67, dreptul deputatului la un concediu anual plătit cu durata de 42 de zile calendaristice. </w:t>
            </w:r>
          </w:p>
          <w:p w14:paraId="595922C0" w14:textId="77777777" w:rsidR="00315874" w:rsidRDefault="00000000">
            <w:pPr>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sz w:val="24"/>
                <w:szCs w:val="24"/>
                <w:highlight w:val="white"/>
              </w:rPr>
              <w:t>Totodată, proiectul prevede abrogarea Legii nr. 39/1994 despre statutul deputatului în Parlament. În acest context, în procesul examinării proiectului de lege în lectura a doua urmează a fi operate modificările corespunzătoare în vederea ajustării duratei concediului anual de odihnă, exprimată în zile calendaristice, la echivalentul acesteia în zile lucrătoare, în concordanță cu soluțiile legislative promovate prin prezentul proiect.</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4B96F3BF"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 xml:space="preserve">Se ia act. </w:t>
            </w:r>
          </w:p>
          <w:p w14:paraId="7911B19D"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sz w:val="24"/>
                <w:szCs w:val="24"/>
                <w:highlight w:val="white"/>
              </w:rPr>
              <w:t>MMPS a transmis aviz la proiectul de lege cu privire la statutul, conduita și etica deputatului în Parlament (nr. 448/2023</w:t>
            </w:r>
            <w:r>
              <w:rPr>
                <w:rFonts w:ascii="Times New Roman" w:eastAsia="Times New Roman" w:hAnsi="Times New Roman" w:cs="Times New Roman"/>
                <w:b/>
                <w:bCs/>
                <w:sz w:val="24"/>
                <w:szCs w:val="24"/>
                <w:highlight w:val="white"/>
              </w:rPr>
              <w:t xml:space="preserve">. </w:t>
            </w:r>
          </w:p>
          <w:p w14:paraId="36D7BBF6" w14:textId="77777777" w:rsidR="00315874" w:rsidRDefault="00315874">
            <w:pPr>
              <w:shd w:val="clear" w:color="auto" w:fill="FFFFFF"/>
              <w:jc w:val="both"/>
              <w:rPr>
                <w:rFonts w:ascii="Times New Roman" w:eastAsia="Times New Roman" w:hAnsi="Times New Roman" w:cs="Times New Roman"/>
                <w:b/>
                <w:bCs/>
                <w:sz w:val="24"/>
                <w:szCs w:val="24"/>
                <w:highlight w:val="white"/>
              </w:rPr>
            </w:pPr>
          </w:p>
        </w:tc>
      </w:tr>
      <w:tr w:rsidR="00315874" w14:paraId="5FB66557" w14:textId="77777777">
        <w:trPr>
          <w:trHeight w:val="960"/>
        </w:trPr>
        <w:tc>
          <w:tcPr>
            <w:tcW w:w="735" w:type="dxa"/>
            <w:vMerge w:val="restart"/>
            <w:tcBorders>
              <w:top w:val="single" w:sz="6" w:space="0" w:color="999999"/>
              <w:left w:val="single" w:sz="6" w:space="0" w:color="999999"/>
              <w:bottom w:val="single" w:sz="6" w:space="0" w:color="999999"/>
              <w:right w:val="single" w:sz="6" w:space="0" w:color="999999"/>
            </w:tcBorders>
            <w:tcMar>
              <w:top w:w="0" w:type="dxa"/>
              <w:bottom w:w="0" w:type="dxa"/>
            </w:tcMar>
          </w:tcPr>
          <w:p w14:paraId="36631511" w14:textId="77777777" w:rsidR="00315874"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w:t>
            </w:r>
          </w:p>
        </w:tc>
        <w:tc>
          <w:tcPr>
            <w:tcW w:w="2835" w:type="dxa"/>
            <w:vMerge w:val="restart"/>
            <w:tcBorders>
              <w:top w:val="single" w:sz="6" w:space="0" w:color="999999"/>
              <w:left w:val="single" w:sz="6" w:space="0" w:color="999999"/>
              <w:bottom w:val="single" w:sz="6" w:space="0" w:color="999999"/>
              <w:right w:val="single" w:sz="6" w:space="0" w:color="999999"/>
            </w:tcBorders>
            <w:tcMar>
              <w:top w:w="0" w:type="dxa"/>
              <w:bottom w:w="0" w:type="dxa"/>
            </w:tcMar>
          </w:tcPr>
          <w:p w14:paraId="122BF0FD" w14:textId="77777777" w:rsidR="00315874" w:rsidRDefault="00000000">
            <w:pPr>
              <w:spacing w:line="240" w:lineRule="auto"/>
              <w:ind w:left="14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Cancelaria de Stat</w:t>
            </w:r>
          </w:p>
          <w:p w14:paraId="3AC8DC26" w14:textId="77777777" w:rsidR="00315874" w:rsidRDefault="00000000">
            <w:pPr>
              <w:spacing w:line="240" w:lineRule="auto"/>
              <w:ind w:left="140"/>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Nr. 22-69-7710 din 01.07.2026</w:t>
            </w: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46B26729"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În scopul asigurării clarității, previzibilității și aplicării uniforme a prevederilor propuse, considerăm necesară completarea proiectului cu norme tranzitorii care să reglementeze expres regimul juridic al zilelor de concediu de odihnă anual neutilizate. </w:t>
            </w:r>
          </w:p>
          <w:p w14:paraId="452C6311"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În particular, se impune stabilirea modului de acordare și utilizare a zilelor de concediu acumulate nefolosite în contextul modificărilor operate prin Legea nr. 47/2024 cu privire la modificarea unor acte normative (actualizarea cadrului normativ aferent managementului resurselor umane).</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52E14E7A"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Se acceptă.</w:t>
            </w:r>
          </w:p>
          <w:p w14:paraId="288C8D37"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Se propune următoarea redacție a dispozițiilor tranzitorii:</w:t>
            </w:r>
          </w:p>
          <w:p w14:paraId="33124A3A" w14:textId="77777777" w:rsidR="00315874"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Zilele de concediu de odihnă anual acumulate și neutilizate de către salariați până la intrarea în vigoare a prezentei legi se acordă și se calculează în zile calendaristice separat, până la epuizarea integrală a soldului de concediu restant, acordarea acestora având prioritate față de metoda nouă de stabilire a concediilor. Pentru anul 2026, concediile vor fi acordate și calculate în zile calendaristice proporțional cu perioada pentru care a fost dobândit dreptul la acest concediu până la data de 31 decembrie 2026, cu excepția celor care deja sunt acordate în </w:t>
            </w:r>
            <w:r>
              <w:rPr>
                <w:rFonts w:ascii="Times New Roman" w:eastAsia="Times New Roman" w:hAnsi="Times New Roman" w:cs="Times New Roman"/>
                <w:sz w:val="24"/>
                <w:szCs w:val="24"/>
              </w:rPr>
              <w:lastRenderedPageBreak/>
              <w:t>zile lucrătoare. Începând cu data intrării în vigoare a prezentei legi, concediile de odihnă anuale și cele suplimentare plătite aferente anului 2027 și perioadelor următoare se acordă și se calculează în zile lucrătoare.</w:t>
            </w:r>
          </w:p>
        </w:tc>
      </w:tr>
      <w:tr w:rsidR="00315874" w14:paraId="124372AE" w14:textId="77777777">
        <w:trPr>
          <w:trHeight w:val="960"/>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735AA560"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77874DDB" w14:textId="77777777" w:rsidR="00315874" w:rsidRDefault="00315874">
            <w:pPr>
              <w:spacing w:line="240" w:lineRule="auto"/>
              <w:jc w:val="center"/>
              <w:rPr>
                <w:rFonts w:ascii="Times New Roman" w:eastAsia="Times New Roman" w:hAnsi="Times New Roman" w:cs="Times New Roman"/>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1CC2BFAD"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Totodată, proiectul necesită clarificarea regimului aplicabil soldurilor de concediu existente la data intrării în vigoare a noii legi, prin corelarea acestora cu dispozițiile art. 113³ din Codul muncii nr. 154/2003, care reglementează anul de muncă pentru care se acordă concediul de odihnă anual. </w:t>
            </w:r>
          </w:p>
          <w:p w14:paraId="763FFFB9"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Lipsa unor dispoziții tranzitorii explicite poate genera incertitudini privind modul de evidență și acordare a acestor solduri, inclusiv sub aspectul menținerii exprimării lor în zile calendaristice sau al conversiei în zile lucrătoare. Or, dreptul la concediul de odihnă anual constituie o garanție legală a salariatului, iar modalitatea de exercitare a acestuia trebuie reglementată în mod expres.</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10425F09"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Se acceptă</w:t>
            </w:r>
          </w:p>
          <w:p w14:paraId="5D449570"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Se propune următoarea modificare la CM:</w:t>
            </w:r>
          </w:p>
          <w:p w14:paraId="2B25DA3B" w14:textId="77777777" w:rsidR="00315874" w:rsidRDefault="00000000">
            <w:pPr>
              <w:shd w:val="clear" w:color="auto" w:fill="FFFFFF"/>
              <w:jc w:val="both"/>
              <w:rPr>
                <w:rFonts w:ascii="Times New Roman" w:eastAsia="Times New Roman" w:hAnsi="Times New Roman" w:cs="Times New Roman"/>
                <w:i/>
                <w:iCs/>
                <w:sz w:val="24"/>
                <w:szCs w:val="24"/>
                <w:highlight w:val="white"/>
              </w:rPr>
            </w:pPr>
            <w:r>
              <w:rPr>
                <w:rFonts w:ascii="Times New Roman" w:eastAsia="Times New Roman" w:hAnsi="Times New Roman" w:cs="Times New Roman"/>
                <w:sz w:val="24"/>
                <w:szCs w:val="24"/>
                <w:highlight w:val="white"/>
              </w:rPr>
              <w:t>„</w:t>
            </w:r>
            <w:r>
              <w:rPr>
                <w:rFonts w:ascii="Times New Roman" w:eastAsia="Times New Roman" w:hAnsi="Times New Roman" w:cs="Times New Roman"/>
                <w:i/>
                <w:iCs/>
                <w:sz w:val="24"/>
                <w:szCs w:val="24"/>
                <w:highlight w:val="white"/>
              </w:rPr>
              <w:t>Articolul 113</w:t>
            </w:r>
            <w:r>
              <w:rPr>
                <w:rFonts w:ascii="Times New Roman" w:eastAsia="Times New Roman" w:hAnsi="Times New Roman" w:cs="Times New Roman"/>
                <w:i/>
                <w:iCs/>
                <w:sz w:val="24"/>
                <w:szCs w:val="24"/>
                <w:highlight w:val="white"/>
                <w:vertAlign w:val="superscript"/>
              </w:rPr>
              <w:t>1</w:t>
            </w:r>
            <w:r>
              <w:rPr>
                <w:rFonts w:ascii="Times New Roman" w:eastAsia="Times New Roman" w:hAnsi="Times New Roman" w:cs="Times New Roman"/>
                <w:i/>
                <w:iCs/>
                <w:sz w:val="24"/>
                <w:szCs w:val="24"/>
                <w:highlight w:val="white"/>
              </w:rPr>
              <w:t>. Anul de muncă pentru care se acordă concediul de odihnă anual</w:t>
            </w:r>
          </w:p>
          <w:p w14:paraId="6631DC87" w14:textId="77777777" w:rsidR="00315874" w:rsidRDefault="00000000">
            <w:pPr>
              <w:shd w:val="clear" w:color="auto" w:fill="FFFFFF"/>
              <w:jc w:val="both"/>
              <w:rPr>
                <w:rFonts w:ascii="Times New Roman" w:eastAsia="Times New Roman" w:hAnsi="Times New Roman" w:cs="Times New Roman"/>
                <w:i/>
                <w:iCs/>
                <w:sz w:val="24"/>
                <w:szCs w:val="24"/>
                <w:highlight w:val="white"/>
              </w:rPr>
            </w:pPr>
            <w:r>
              <w:rPr>
                <w:rFonts w:ascii="Times New Roman" w:eastAsia="Times New Roman" w:hAnsi="Times New Roman" w:cs="Times New Roman"/>
                <w:i/>
                <w:iCs/>
                <w:sz w:val="24"/>
                <w:szCs w:val="24"/>
                <w:highlight w:val="white"/>
              </w:rPr>
              <w:t>(1) Anul de muncă pentru care se acordă concediul de odihnă anual corespunde perioadei cuprinsă între 1 ianuarie și 31 decembrie ale anului calendaristic. În cazul în care salariatul nu a prestat activitate pe întreaga durată a anului de muncă, concediul de odihnă anual se acordă proporțional cu perioada efectiv lucrată, în condițiile prevăzute de legislația în vigoare.”</w:t>
            </w:r>
          </w:p>
          <w:p w14:paraId="21E611BE"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 se vedea suplimentar și argumentarea din Nota de fundamentare.</w:t>
            </w:r>
          </w:p>
        </w:tc>
      </w:tr>
      <w:tr w:rsidR="00315874" w14:paraId="5F9C5266" w14:textId="77777777">
        <w:trPr>
          <w:trHeight w:val="960"/>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409329B8"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68B44DA2" w14:textId="77777777" w:rsidR="00315874" w:rsidRDefault="00315874">
            <w:pPr>
              <w:spacing w:line="240" w:lineRule="auto"/>
              <w:jc w:val="center"/>
              <w:rPr>
                <w:rFonts w:ascii="Times New Roman" w:eastAsia="Times New Roman" w:hAnsi="Times New Roman" w:cs="Times New Roman"/>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68133F3A"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De asemenea, proiectul nu stabilește metodologia de conversie a concediilor exprimate în zile calendaristice în zile lucrătoare. </w:t>
            </w:r>
          </w:p>
          <w:p w14:paraId="456D8C2E"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În lipsa unor reguli clare, nu poate fi verificată menținerea echivalenței drepturilor acordate diferitelor categorii de personal. Analiza modificărilor propuse relevă utilizarea unor coeficienți de conversie diferiți (spre exemplu, </w:t>
            </w:r>
            <w:r>
              <w:rPr>
                <w:rFonts w:ascii="Times New Roman" w:eastAsia="Times New Roman" w:hAnsi="Times New Roman" w:cs="Times New Roman"/>
                <w:sz w:val="24"/>
                <w:szCs w:val="24"/>
                <w:highlight w:val="white"/>
              </w:rPr>
              <w:lastRenderedPageBreak/>
              <w:t>transformarea a 28 de zile calendaristice în 22 de zile lucrătoare, respectiv a 35 de zile calendaristice în 28 de zile lucrătoare), fără ca proiectul să conțină metodologia de calcul care fundamentează aceste echivalențe.</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16A7A112" w14:textId="77777777" w:rsidR="00315874" w:rsidRDefault="00000000">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Se acceptă partial. </w:t>
            </w:r>
          </w:p>
          <w:p w14:paraId="37DAF9A5" w14:textId="77777777" w:rsidR="00315874" w:rsidRDefault="00315874">
            <w:pPr>
              <w:shd w:val="clear" w:color="auto" w:fill="FFFFFF"/>
              <w:jc w:val="both"/>
              <w:rPr>
                <w:rFonts w:ascii="Times New Roman" w:eastAsia="Times New Roman" w:hAnsi="Times New Roman" w:cs="Times New Roman"/>
                <w:sz w:val="24"/>
                <w:szCs w:val="24"/>
              </w:rPr>
            </w:pPr>
          </w:p>
          <w:p w14:paraId="66A7FB11" w14:textId="0D37A527" w:rsidR="00315874" w:rsidRDefault="00000000">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Metodologia de conversie nu poate fi reglementată de Proiectul de lege însă în Nota de fundamentare este sunt incluse explicații suplimentare. Metodologia bazează pe </w:t>
            </w:r>
            <w:r w:rsidRPr="008047B7">
              <w:rPr>
                <w:rFonts w:ascii="Times New Roman" w:eastAsia="Times New Roman" w:hAnsi="Times New Roman" w:cs="Times New Roman"/>
                <w:sz w:val="24"/>
                <w:szCs w:val="24"/>
              </w:rPr>
              <w:t>raportul 28/2</w:t>
            </w:r>
            <w:r w:rsidR="008047B7">
              <w:rPr>
                <w:rFonts w:ascii="Times New Roman" w:eastAsia="Times New Roman" w:hAnsi="Times New Roman" w:cs="Times New Roman"/>
                <w:sz w:val="24"/>
                <w:szCs w:val="24"/>
              </w:rPr>
              <w:t xml:space="preserve">2 </w:t>
            </w:r>
            <w:r>
              <w:rPr>
                <w:rFonts w:ascii="Times New Roman" w:eastAsia="Times New Roman" w:hAnsi="Times New Roman" w:cs="Times New Roman"/>
                <w:sz w:val="24"/>
                <w:szCs w:val="24"/>
              </w:rPr>
              <w:t>dintre zilele calendaristice și zilele lucrătoare.</w:t>
            </w:r>
          </w:p>
          <w:p w14:paraId="5557A9FE" w14:textId="77777777" w:rsidR="00315874" w:rsidRDefault="00000000">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Astfel, dacă în prezent o categorie de salariați beneficiază de 35 de zile calendaristice de concediu anual, după conversie durata concediului  de bază va fi de 35 × 22/28 = 27,5, respectiv 28 de zile lucrătoare. Totodată pentru unele categorii de personal nu se aplica metoda conversiei luând în considerare specificul activității acestora.</w:t>
            </w:r>
          </w:p>
          <w:p w14:paraId="1F2167EB"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A se vedea suplimentar și arg</w:t>
            </w:r>
            <w:r>
              <w:rPr>
                <w:rFonts w:ascii="Times New Roman" w:eastAsia="Times New Roman" w:hAnsi="Times New Roman" w:cs="Times New Roman"/>
                <w:sz w:val="24"/>
                <w:szCs w:val="24"/>
                <w:highlight w:val="white"/>
              </w:rPr>
              <w:t>umentarea din Nota de fundamentare.</w:t>
            </w:r>
          </w:p>
        </w:tc>
      </w:tr>
      <w:tr w:rsidR="00315874" w14:paraId="212C1DF6" w14:textId="77777777">
        <w:trPr>
          <w:trHeight w:val="1425"/>
        </w:trPr>
        <w:tc>
          <w:tcPr>
            <w:tcW w:w="735" w:type="dxa"/>
            <w:vMerge w:val="restart"/>
            <w:tcBorders>
              <w:top w:val="single" w:sz="6" w:space="0" w:color="999999"/>
              <w:left w:val="single" w:sz="6" w:space="0" w:color="999999"/>
              <w:bottom w:val="single" w:sz="6" w:space="0" w:color="999999"/>
              <w:right w:val="single" w:sz="6" w:space="0" w:color="999999"/>
            </w:tcBorders>
            <w:tcMar>
              <w:top w:w="0" w:type="dxa"/>
              <w:bottom w:w="0" w:type="dxa"/>
            </w:tcMar>
          </w:tcPr>
          <w:p w14:paraId="0B11FD75" w14:textId="77777777" w:rsidR="00315874"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4.</w:t>
            </w:r>
          </w:p>
        </w:tc>
        <w:tc>
          <w:tcPr>
            <w:tcW w:w="2835" w:type="dxa"/>
            <w:vMerge w:val="restart"/>
            <w:tcBorders>
              <w:top w:val="single" w:sz="6" w:space="0" w:color="999999"/>
              <w:left w:val="single" w:sz="6" w:space="0" w:color="999999"/>
              <w:bottom w:val="single" w:sz="6" w:space="0" w:color="999999"/>
              <w:right w:val="single" w:sz="6" w:space="0" w:color="999999"/>
            </w:tcBorders>
            <w:tcMar>
              <w:top w:w="0" w:type="dxa"/>
              <w:bottom w:w="0" w:type="dxa"/>
            </w:tcMar>
          </w:tcPr>
          <w:p w14:paraId="4C352248" w14:textId="77777777" w:rsidR="00315874" w:rsidRDefault="00000000">
            <w:pPr>
              <w:spacing w:line="240" w:lineRule="auto"/>
              <w:ind w:left="14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Ministerul Dezvoltării Economice și Digitalizării</w:t>
            </w:r>
          </w:p>
          <w:p w14:paraId="2D710783" w14:textId="77777777" w:rsidR="00315874" w:rsidRDefault="00000000">
            <w:pPr>
              <w:spacing w:line="240" w:lineRule="auto"/>
              <w:ind w:left="140"/>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Nr. 19-2231 din 02.07.2026</w:t>
            </w: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643A00E2"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Potrivit autorului, proiectul urmărește armonizarea legislației naționale cu standardele europene prin exprimarea duratei concediilor în zile lucrătoare. Cu toate acestea, nota de fundamentare nu conține o evaluare suficientă a impactului economic și administrativ al măsurilor propuse asupra mediului de afaceri.</w:t>
            </w:r>
          </w:p>
          <w:p w14:paraId="2040C535"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În acest sens, modificarea modului de exprimare a concediului de odihnă anual și a concediului paternal din zile calendaristice în zile lucrătoare nu reprezintă o simplă ajustare tehnică, având efecte directe asupra organizării activității angajatorilor, prin majorarea perioadei efective de absență a salariaților și diminuarea fondului anual de timp efectiv lucrat. Prin urmare, modificările propuse sunt susceptibile să determine costuri suplimentare aferente reorganizării activității, redistribuirii sarcinilor de muncă sau asigurării continuității proceselor operaționale, în special în cazul întreprinderilor mici și mijlocii, unde </w:t>
            </w:r>
            <w:r>
              <w:rPr>
                <w:rFonts w:ascii="Times New Roman" w:eastAsia="Times New Roman" w:hAnsi="Times New Roman" w:cs="Times New Roman"/>
                <w:sz w:val="24"/>
                <w:szCs w:val="24"/>
                <w:highlight w:val="white"/>
              </w:rPr>
              <w:lastRenderedPageBreak/>
              <w:t>posibilitățile de substituire temporară a personalului sunt limitate.</w:t>
            </w:r>
          </w:p>
          <w:p w14:paraId="6FDA3354"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Totodată, implementarea noilor reglementări implică costuri administrative pentru angajatori, generate de adaptarea contractelor individuale de muncă, actualizarea regulamentelor interne și a sistemelor de evidență și salarizare, precum și de administrarea perioadei de tranziție, costuri care nu sunt evaluate și reflectate corespunzător în nota de fundamentare, ceea ce nu permite aprecierea proporționalității măsurilor propuse și a efectelor acestora asupra competitivității mediului de afaceri.</w:t>
            </w:r>
          </w:p>
          <w:p w14:paraId="20F01CBF"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Astfel, se consideră oportună completarea notei de fundamentare cu o evaluare a impactului economic și administrativ asupra angajatorilor, inclusiv prin estimarea costurilor de implementare și analiza efectelor asupra întreprinderilor mici și mijlocii, în vederea fundamentării proporționalității intervenției legislative.</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368B8F59"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lastRenderedPageBreak/>
              <w:t>Se acceptă parțial.</w:t>
            </w:r>
          </w:p>
          <w:p w14:paraId="23071982"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Nota de fundamentare a fost completată cu explicații privind impactul administrativ al implementării asupra angajatorilor, inclusiv necesitatea ajustării documentelor interne, a contractelor individuale de muncă, a evidenței concediilor și a sistemelor de salarizare.</w:t>
            </w:r>
          </w:p>
          <w:p w14:paraId="626A5156"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23BF4A87"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Totodată, nu se acceptă afirmația că proiectul determină în mod disproporționat majorarea perioadei de absență a salariaților. Proiectul schimbă unitatea de calcul a concediului din zile calendaristice în zile lucrătoare, astfel încât concediul să se consume doar pentru zilele în care salariatul ar fi prestat efectiv munca. </w:t>
            </w:r>
          </w:p>
          <w:p w14:paraId="7C9AE14D"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Normele tranzitorii prevăd menținerea soldurilor de concediu acumulate anterior în zile calendaristice, până la epuizarea acestora, iar concediile aferente anului 2027 și perioadelor </w:t>
            </w:r>
            <w:r>
              <w:rPr>
                <w:rFonts w:ascii="Times New Roman" w:eastAsia="Times New Roman" w:hAnsi="Times New Roman" w:cs="Times New Roman"/>
                <w:sz w:val="24"/>
                <w:szCs w:val="24"/>
                <w:highlight w:val="white"/>
              </w:rPr>
              <w:lastRenderedPageBreak/>
              <w:t>următoare vor fi calculate în zile lucrătoare. Normele tranzitorii au fost completate pentru claritate.</w:t>
            </w:r>
          </w:p>
          <w:p w14:paraId="5CC23305" w14:textId="77777777" w:rsidR="00315874" w:rsidRDefault="00315874">
            <w:pPr>
              <w:shd w:val="clear" w:color="auto" w:fill="FFFFFF"/>
              <w:jc w:val="both"/>
              <w:rPr>
                <w:rFonts w:ascii="Times New Roman" w:eastAsia="Times New Roman" w:hAnsi="Times New Roman" w:cs="Times New Roman"/>
                <w:sz w:val="24"/>
                <w:szCs w:val="24"/>
                <w:highlight w:val="white"/>
              </w:rPr>
            </w:pPr>
          </w:p>
        </w:tc>
      </w:tr>
      <w:tr w:rsidR="00315874" w14:paraId="6534B4EF" w14:textId="77777777">
        <w:trPr>
          <w:trHeight w:val="1425"/>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3486235C"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190754B8" w14:textId="77777777" w:rsidR="00315874" w:rsidRDefault="00315874">
            <w:pPr>
              <w:spacing w:line="240" w:lineRule="auto"/>
              <w:jc w:val="center"/>
              <w:rPr>
                <w:rFonts w:ascii="Times New Roman" w:eastAsia="Times New Roman" w:hAnsi="Times New Roman" w:cs="Times New Roman"/>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4949D795"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La </w:t>
            </w:r>
            <w:r>
              <w:rPr>
                <w:rFonts w:ascii="Times New Roman" w:eastAsia="Times New Roman" w:hAnsi="Times New Roman" w:cs="Times New Roman"/>
                <w:b/>
                <w:bCs/>
                <w:sz w:val="24"/>
                <w:szCs w:val="24"/>
                <w:highlight w:val="white"/>
              </w:rPr>
              <w:t>Art. V, pct.2-4</w:t>
            </w:r>
            <w:r>
              <w:rPr>
                <w:rFonts w:ascii="Times New Roman" w:eastAsia="Times New Roman" w:hAnsi="Times New Roman" w:cs="Times New Roman"/>
                <w:sz w:val="24"/>
                <w:szCs w:val="24"/>
                <w:highlight w:val="white"/>
              </w:rPr>
              <w:t xml:space="preserve"> din proiect prevăd instituirea unui mecanism de consultare a Ministerului Finanțelor în cadrul negocierilor colective din sectorul bugetar, având ca obiectiv asigurarea sustenabilității financiare a angajamentelor asumate și corelarea acestora cu resursele bugetare disponibile.</w:t>
            </w:r>
          </w:p>
          <w:p w14:paraId="30E04692"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Totodată, modalitatea de reglementare propusă necesită o analiză suplimentară prin prisma obligațiilor internaționale asumate de Republica Moldova în domeniul dialogului social și al negocierii colective. În acest sens, Republica</w:t>
            </w:r>
          </w:p>
          <w:p w14:paraId="270027E8"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Moldova este parte la Convenția OIM nr. 98 privind aplicarea principiilor dreptului la organizație și de purtare a tratativelor colective, ratificată prin Hotărârea Parlamentului nr.593/1995, Convenția OIM nr. 151 privind protecția dreptului de organizare și procedurile de determinare a condițiilor de ocupare în funcția publică, ratificată prin Legea nr.17/2003, precum și la Convenția OIM nr. 154 privind promovarea negocierii colective, ratificată prin Hotărârea Parlamentului nr.994/1996 care consacră principiul desfășurării libere și voluntare a negocierii colective, precum și obligația statelor de a promova, și nu de a restrânge, dialogul social.</w:t>
            </w:r>
          </w:p>
          <w:p w14:paraId="4C07B317"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În acest context, obligația solicitării opiniei consultative a Ministerului Finanțelor </w:t>
            </w:r>
            <w:r>
              <w:rPr>
                <w:rFonts w:ascii="Times New Roman" w:eastAsia="Times New Roman" w:hAnsi="Times New Roman" w:cs="Times New Roman"/>
                <w:b/>
                <w:bCs/>
                <w:i/>
                <w:iCs/>
                <w:sz w:val="24"/>
                <w:szCs w:val="24"/>
                <w:highlight w:val="white"/>
              </w:rPr>
              <w:t>anterior</w:t>
            </w:r>
            <w:r>
              <w:rPr>
                <w:rFonts w:ascii="Times New Roman" w:eastAsia="Times New Roman" w:hAnsi="Times New Roman" w:cs="Times New Roman"/>
                <w:sz w:val="24"/>
                <w:szCs w:val="24"/>
                <w:highlight w:val="white"/>
              </w:rPr>
              <w:t xml:space="preserve"> inițierii negocierilor colective determină anumite rezerve de compatibilitate cu standardele OIM, în măsura în care aceasta ar putea fi interpretată ca o condiție procedurală prealabilă exercitării dreptului la negociere colectivă. De asemenea, proiectul nu stabilește caracterul juridic al opiniei, termenul de emitere și efectele neprezentării acesteia, fapt </w:t>
            </w:r>
            <w:r>
              <w:rPr>
                <w:rFonts w:ascii="Times New Roman" w:eastAsia="Times New Roman" w:hAnsi="Times New Roman" w:cs="Times New Roman"/>
                <w:sz w:val="24"/>
                <w:szCs w:val="24"/>
                <w:highlight w:val="white"/>
              </w:rPr>
              <w:lastRenderedPageBreak/>
              <w:t>care poate crea incertitudini în aplicarea normei și poate conduce la tergiversarea procesului de negociere.</w:t>
            </w:r>
          </w:p>
          <w:p w14:paraId="5E6E61F4" w14:textId="77777777" w:rsidR="00315874" w:rsidRDefault="00315874">
            <w:pPr>
              <w:jc w:val="both"/>
              <w:rPr>
                <w:rFonts w:ascii="Times New Roman" w:eastAsia="Times New Roman" w:hAnsi="Times New Roman" w:cs="Times New Roman"/>
                <w:sz w:val="24"/>
                <w:szCs w:val="24"/>
                <w:highlight w:val="white"/>
              </w:rPr>
            </w:pPr>
          </w:p>
          <w:p w14:paraId="4BB0BD5C"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În același timp, implicarea Ministerului Finanțelor în etapa premergătoare semnării convențiilor colective sau în procesul de monitorizare a impactului financiar al acestora este, în principiu, compatibilă cu standardele internaționale, cu condiția ca rolul autorității să fie limitat exclusiv la evaluarea impactului financiar și a încadrării în limitele bugetare, </w:t>
            </w:r>
            <w:r>
              <w:rPr>
                <w:rFonts w:ascii="Times New Roman" w:eastAsia="Times New Roman" w:hAnsi="Times New Roman" w:cs="Times New Roman"/>
                <w:i/>
                <w:iCs/>
                <w:sz w:val="24"/>
                <w:szCs w:val="24"/>
                <w:highlight w:val="white"/>
              </w:rPr>
              <w:t>fără</w:t>
            </w:r>
            <w:r>
              <w:rPr>
                <w:rFonts w:ascii="Times New Roman" w:eastAsia="Times New Roman" w:hAnsi="Times New Roman" w:cs="Times New Roman"/>
                <w:sz w:val="24"/>
                <w:szCs w:val="24"/>
                <w:highlight w:val="white"/>
              </w:rPr>
              <w:t xml:space="preserve"> a afecta autonomia partenerilor sociali și fără ca opinia emisă să producă efecte de aprobare, autorizare sau blocare a negocierilor colective ori a convențiilor rezultate.</w:t>
            </w:r>
          </w:p>
          <w:p w14:paraId="565D4597"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În acest sens, se consideră oportună completarea proiectului cu prevederi care să stabilească expres caracterul </w:t>
            </w:r>
            <w:r>
              <w:rPr>
                <w:rFonts w:ascii="Times New Roman" w:eastAsia="Times New Roman" w:hAnsi="Times New Roman" w:cs="Times New Roman"/>
                <w:b/>
                <w:bCs/>
                <w:sz w:val="24"/>
                <w:szCs w:val="24"/>
                <w:highlight w:val="white"/>
              </w:rPr>
              <w:t>exclusiv consultativ</w:t>
            </w:r>
            <w:r>
              <w:rPr>
                <w:rFonts w:ascii="Times New Roman" w:eastAsia="Times New Roman" w:hAnsi="Times New Roman" w:cs="Times New Roman"/>
                <w:sz w:val="24"/>
                <w:szCs w:val="24"/>
                <w:highlight w:val="white"/>
              </w:rPr>
              <w:t xml:space="preserve"> al opiniei Ministerului Finanțelor, termenul de emitere și faptul că neemiterea acesteia nu împiedică inițierea sau desfășurarea negocierilor colective, în vederea asigurării unui echilibru între exigențele disciplinei fiscal-bugetare și respectarea standardelor internaționale privind dialogul social și negocierea colectivă.</w:t>
            </w:r>
          </w:p>
        </w:tc>
        <w:tc>
          <w:tcPr>
            <w:tcW w:w="6210" w:type="dxa"/>
            <w:tcBorders>
              <w:top w:val="nil"/>
              <w:left w:val="nil"/>
              <w:bottom w:val="single" w:sz="6" w:space="0" w:color="000000"/>
              <w:right w:val="single" w:sz="6" w:space="0" w:color="000000"/>
            </w:tcBorders>
            <w:tcMar>
              <w:top w:w="0" w:type="dxa"/>
              <w:left w:w="100" w:type="dxa"/>
              <w:bottom w:w="0" w:type="dxa"/>
              <w:right w:w="100" w:type="dxa"/>
            </w:tcMar>
          </w:tcPr>
          <w:p w14:paraId="5343A385" w14:textId="77777777" w:rsidR="00315874" w:rsidRDefault="00000000">
            <w:pPr>
              <w:shd w:val="clear" w:color="auto" w:fill="FFFFFF"/>
              <w:spacing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lastRenderedPageBreak/>
              <w:t>Se acceptă.</w:t>
            </w:r>
          </w:p>
          <w:p w14:paraId="64E51435"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Proiectul a fost ajustat prin stabilirea solicitării opiniei consultative a Ministerului Finanțelor înainte de semnarea contractului colectiv de muncă sau a convenției colective, fără instituirea unei condiții prealabile inițierii negocierilor colective. </w:t>
            </w:r>
            <w:r>
              <w:rPr>
                <w:rFonts w:ascii="Times New Roman" w:eastAsia="Times New Roman" w:hAnsi="Times New Roman" w:cs="Times New Roman"/>
                <w:sz w:val="24"/>
                <w:szCs w:val="24"/>
                <w:highlight w:val="white"/>
              </w:rPr>
              <w:t xml:space="preserve"> Mecanismul propus nu urmărește condiționarea negocierii colective și nici limitarea autonomiei partenerilor </w:t>
            </w:r>
            <w:r>
              <w:rPr>
                <w:rFonts w:ascii="Times New Roman" w:eastAsia="Times New Roman" w:hAnsi="Times New Roman" w:cs="Times New Roman"/>
                <w:sz w:val="24"/>
                <w:szCs w:val="24"/>
                <w:highlight w:val="white"/>
              </w:rPr>
              <w:t>sociali, ci doar evaluarea impactului financiar al angajamentelor asumate în sectorul bugetar.</w:t>
            </w:r>
          </w:p>
          <w:p w14:paraId="43452EDD" w14:textId="77777777" w:rsidR="00315874" w:rsidRDefault="00000000">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Conform proiectului de lege la art. 32 alin. (1) și art. 37 alin. (2) din Codul muncii se prevede că opinia consultativă vizează clauzele care generează sau pot genera cheltuieli suplimentare din bugetele componente ale bugetului public național, solicitarea fiind însoțită de calculele justificative, numărul estimativ de beneficiari și sursa de acoperire financiară. Opinia se emite în termen de 10 zile lucrătoare de la data solicitării, iar neprezentarea acesteia în termen nu împiedică semnarea contractului colectiv de muncă sau a convenției colective. Mecanismul urmărește evaluarea impactului financiar și a încadrării angajamentelor în alocațiile aprobate sau estimate, fără a conferi Ministerului Finanțelor un rol de aprobare ori autorizare a rezultatelor negocierilor colective.</w:t>
            </w:r>
          </w:p>
          <w:p w14:paraId="5023A68E" w14:textId="77777777" w:rsidR="00315874" w:rsidRDefault="00000000">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subsidiar, potrivit proiectului de lege la art. 38 alin. (2) CM se prevede remiterea unui exemplar al convenției colective de nivel ramural sau teritorial, de către una dintre părțile semnatare, în termen de 10 zile lucrătoare de la încheiere, la Ministerul Muncii și Protecției Sociale și, pentru convențiile aplicabile sectorului bugetar, la Ministerul Finanțelor. Remiterea are ca scop informarea și evaluarea impactului </w:t>
            </w:r>
            <w:r>
              <w:rPr>
                <w:rFonts w:ascii="Times New Roman" w:eastAsia="Times New Roman" w:hAnsi="Times New Roman" w:cs="Times New Roman"/>
                <w:sz w:val="24"/>
                <w:szCs w:val="24"/>
              </w:rPr>
              <w:lastRenderedPageBreak/>
              <w:t>bugetar, fără a afecta conținutul sau prevederile negociate ale convenției</w:t>
            </w:r>
          </w:p>
          <w:p w14:paraId="02B9805D"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217E1D0B"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7E2CFDBF"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1F0F758F"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2F1DBB74"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22AD1614" w14:textId="77777777" w:rsidR="00315874" w:rsidRDefault="00315874">
            <w:pPr>
              <w:shd w:val="clear" w:color="auto" w:fill="FFFFFF"/>
              <w:jc w:val="both"/>
              <w:rPr>
                <w:rFonts w:ascii="Times New Roman" w:eastAsia="Times New Roman" w:hAnsi="Times New Roman" w:cs="Times New Roman"/>
                <w:sz w:val="24"/>
                <w:szCs w:val="24"/>
                <w:highlight w:val="white"/>
              </w:rPr>
            </w:pPr>
          </w:p>
        </w:tc>
      </w:tr>
      <w:tr w:rsidR="00315874" w14:paraId="3D94C057" w14:textId="77777777">
        <w:trPr>
          <w:trHeight w:val="276"/>
        </w:trPr>
        <w:tc>
          <w:tcPr>
            <w:tcW w:w="735" w:type="dxa"/>
            <w:vMerge/>
            <w:tcBorders>
              <w:top w:val="single" w:sz="6" w:space="0" w:color="999999"/>
              <w:left w:val="single" w:sz="6" w:space="0" w:color="000000"/>
              <w:bottom w:val="single" w:sz="6" w:space="0" w:color="999999"/>
              <w:right w:val="single" w:sz="6" w:space="0" w:color="000000"/>
            </w:tcBorders>
            <w:tcMar>
              <w:top w:w="0" w:type="dxa"/>
              <w:bottom w:w="0" w:type="dxa"/>
            </w:tcMar>
          </w:tcPr>
          <w:p w14:paraId="320E3374"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000000"/>
              <w:bottom w:val="single" w:sz="6" w:space="0" w:color="999999"/>
              <w:right w:val="single" w:sz="6" w:space="0" w:color="000000"/>
            </w:tcBorders>
            <w:tcMar>
              <w:top w:w="0" w:type="dxa"/>
              <w:bottom w:w="0" w:type="dxa"/>
            </w:tcMar>
          </w:tcPr>
          <w:p w14:paraId="65D8C1EE" w14:textId="77777777" w:rsidR="00315874" w:rsidRDefault="00315874">
            <w:pPr>
              <w:spacing w:line="240" w:lineRule="auto"/>
              <w:jc w:val="center"/>
              <w:rPr>
                <w:rFonts w:ascii="Times New Roman" w:eastAsia="Times New Roman" w:hAnsi="Times New Roman" w:cs="Times New Roman"/>
                <w:sz w:val="24"/>
                <w:szCs w:val="24"/>
              </w:rPr>
            </w:pPr>
          </w:p>
        </w:tc>
        <w:tc>
          <w:tcPr>
            <w:tcW w:w="5700" w:type="dxa"/>
            <w:vMerge w:val="restart"/>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794AAAA"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La </w:t>
            </w:r>
            <w:r>
              <w:rPr>
                <w:rFonts w:ascii="Times New Roman" w:eastAsia="Times New Roman" w:hAnsi="Times New Roman" w:cs="Times New Roman"/>
                <w:b/>
                <w:bCs/>
                <w:sz w:val="24"/>
                <w:szCs w:val="24"/>
                <w:highlight w:val="white"/>
              </w:rPr>
              <w:t xml:space="preserve">Art. IX, pct. 2, </w:t>
            </w:r>
            <w:r>
              <w:rPr>
                <w:rFonts w:ascii="Times New Roman" w:eastAsia="Times New Roman" w:hAnsi="Times New Roman" w:cs="Times New Roman"/>
                <w:sz w:val="24"/>
                <w:szCs w:val="24"/>
                <w:highlight w:val="white"/>
              </w:rPr>
              <w:t xml:space="preserve">proiectul prevede excluderea alin. (2) al art. 43 din Legea nr. 158/2008 cu privire la funcția publică și statutul funcționarului public, potrivit căruia, în </w:t>
            </w:r>
            <w:r>
              <w:rPr>
                <w:rFonts w:ascii="Times New Roman" w:eastAsia="Times New Roman" w:hAnsi="Times New Roman" w:cs="Times New Roman"/>
                <w:sz w:val="24"/>
                <w:szCs w:val="24"/>
                <w:highlight w:val="white"/>
              </w:rPr>
              <w:lastRenderedPageBreak/>
              <w:t>redacția în vigoare, în cazul în care vechimea în serviciul public depășește 5, 10 și 15 ani, concediul de odihnă anual plătit se mărește cu 3, 5 și, respectiv, 7 zile calendaristice, fără ca proiectul sau Nota de fundamentare să prevadă, pentru această categorie, o măsură compensatorie echivalentă.</w:t>
            </w:r>
          </w:p>
          <w:p w14:paraId="2D64287B"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Rațiunea invocată de autor pentru eliminarea concediului suplimentar pentru vechime, expusă la secțiunea 3.1 pct. II lit. b) din Nota de fundamentare, este aceea că „</w:t>
            </w:r>
            <w:r>
              <w:rPr>
                <w:rFonts w:ascii="Times New Roman" w:eastAsia="Times New Roman" w:hAnsi="Times New Roman" w:cs="Times New Roman"/>
                <w:i/>
                <w:iCs/>
                <w:sz w:val="24"/>
                <w:szCs w:val="24"/>
                <w:highlight w:val="white"/>
              </w:rPr>
              <w:t>menținerea zilelor suplimentare de concediu acordate exclusiv în funcție de vechimea în muncă nu mai este justificată, întrucât contribuie la acumularea unor solduri semnificative de concedii neutilizate, care generează obligații financiare considerabile pentru bugetul public</w:t>
            </w:r>
            <w:r>
              <w:rPr>
                <w:rFonts w:ascii="Times New Roman" w:eastAsia="Times New Roman" w:hAnsi="Times New Roman" w:cs="Times New Roman"/>
                <w:sz w:val="24"/>
                <w:szCs w:val="24"/>
                <w:highlight w:val="white"/>
              </w:rPr>
              <w:t>”. Remarcăm că această motivare vizează, în esență, fenomenul acumulării soldurilor de concediu neutilizate, iar nu instituția concediului suplimentar ca atare.</w:t>
            </w:r>
          </w:p>
          <w:p w14:paraId="7671BFA9"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În aceste condiții, eliminarea integrală a dreptului la concediu suplimentar proporțional vechimii acumulate constituie o măsură disproporționată în raport cu scopul declarat, or se suprimă o garanție distinctă, cu funcție de fidelizare și motivare a carierei în serviciul public. Deși autorul proiectului invocă, la secțiunea 3.1 pct. I din Nota de fundamentare, principiul potrivit căruia trecerea la </w:t>
            </w:r>
            <w:r>
              <w:rPr>
                <w:rFonts w:ascii="Times New Roman" w:eastAsia="Times New Roman" w:hAnsi="Times New Roman" w:cs="Times New Roman"/>
                <w:sz w:val="24"/>
                <w:szCs w:val="24"/>
                <w:highlight w:val="white"/>
              </w:rPr>
              <w:lastRenderedPageBreak/>
              <w:t>sistemul zilelor lucrătoare „</w:t>
            </w:r>
            <w:r>
              <w:rPr>
                <w:rFonts w:ascii="Times New Roman" w:eastAsia="Times New Roman" w:hAnsi="Times New Roman" w:cs="Times New Roman"/>
                <w:i/>
                <w:iCs/>
                <w:sz w:val="24"/>
                <w:szCs w:val="24"/>
                <w:highlight w:val="white"/>
              </w:rPr>
              <w:t>nu va reduce numărul de zile de concediu efectiv la care angajatul are dreptul”,</w:t>
            </w:r>
            <w:r>
              <w:rPr>
                <w:rFonts w:ascii="Times New Roman" w:eastAsia="Times New Roman" w:hAnsi="Times New Roman" w:cs="Times New Roman"/>
                <w:sz w:val="24"/>
                <w:szCs w:val="24"/>
                <w:highlight w:val="white"/>
              </w:rPr>
              <w:t xml:space="preserve"> asigurând „</w:t>
            </w:r>
            <w:r>
              <w:rPr>
                <w:rFonts w:ascii="Times New Roman" w:eastAsia="Times New Roman" w:hAnsi="Times New Roman" w:cs="Times New Roman"/>
                <w:i/>
                <w:iCs/>
                <w:sz w:val="24"/>
                <w:szCs w:val="24"/>
                <w:highlight w:val="white"/>
              </w:rPr>
              <w:t>păstrarea beneficiului efectiv de care pot dispune salariații în sistemul actual”</w:t>
            </w:r>
            <w:r>
              <w:rPr>
                <w:rFonts w:ascii="Times New Roman" w:eastAsia="Times New Roman" w:hAnsi="Times New Roman" w:cs="Times New Roman"/>
                <w:sz w:val="24"/>
                <w:szCs w:val="24"/>
                <w:highlight w:val="white"/>
              </w:rPr>
              <w:t>, totuși, în cazul funcționarilor publici aceasta afirmație nu este valabilă.</w:t>
            </w:r>
          </w:p>
          <w:p w14:paraId="04D2B374" w14:textId="77777777" w:rsidR="00315874" w:rsidRDefault="00315874">
            <w:pPr>
              <w:jc w:val="both"/>
              <w:rPr>
                <w:rFonts w:ascii="Times New Roman" w:eastAsia="Times New Roman" w:hAnsi="Times New Roman" w:cs="Times New Roman"/>
                <w:sz w:val="24"/>
                <w:szCs w:val="24"/>
                <w:highlight w:val="white"/>
              </w:rPr>
            </w:pPr>
          </w:p>
          <w:p w14:paraId="223B22C3"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Din perspectiva managementului resurselor umane, atragem atenția că concediul suplimentar pentru vechime reprezentă unul dintre puținele instrumente motivaționale nesalariale aflate la dispoziția autorităților publice pentru menținerea personalului, menit să compenseze rigiditatea sistemului de salarizare bugetară și să stimuleze continuitatea carierei în funcția publică. Eliminarea sa, concomitent cu reducerea bazei generale de calcul de la 35 de zile calendaristice la 28 de zile lucrătoare, este de natură să diminueze suplimentar atractivitatea funcției publice, într-un context în care autoritățile publice se confruntă deja cu dificultăți semnificative de atragere și, în special, de menținere a personalului calificat.</w:t>
            </w:r>
          </w:p>
          <w:p w14:paraId="51B16077"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Pentru considerentele expuse, considerăm necesară revizuirea soluției legislative de la art. </w:t>
            </w:r>
            <w:r>
              <w:rPr>
                <w:rFonts w:ascii="Times New Roman" w:eastAsia="Times New Roman" w:hAnsi="Times New Roman" w:cs="Times New Roman"/>
                <w:b/>
                <w:bCs/>
                <w:sz w:val="24"/>
                <w:szCs w:val="24"/>
                <w:highlight w:val="white"/>
              </w:rPr>
              <w:t xml:space="preserve">IX pct. 2 </w:t>
            </w:r>
            <w:r>
              <w:rPr>
                <w:rFonts w:ascii="Times New Roman" w:eastAsia="Times New Roman" w:hAnsi="Times New Roman" w:cs="Times New Roman"/>
                <w:sz w:val="24"/>
                <w:szCs w:val="24"/>
                <w:highlight w:val="white"/>
              </w:rPr>
              <w:t>din proiect, prin corelarea concediului suplimentar cu vechimea în serviciul public, reconfigurat proporțional în zile lucrătoare, în acord cu metodologia de conversie aplicată concediului de odihnă.</w:t>
            </w:r>
          </w:p>
        </w:tc>
        <w:tc>
          <w:tcPr>
            <w:tcW w:w="6210" w:type="dxa"/>
            <w:vMerge w:val="restart"/>
            <w:tcBorders>
              <w:top w:val="nil"/>
              <w:left w:val="single" w:sz="6" w:space="0" w:color="000000"/>
              <w:bottom w:val="single" w:sz="4" w:space="0" w:color="000000"/>
              <w:right w:val="single" w:sz="4" w:space="0" w:color="000000"/>
            </w:tcBorders>
            <w:tcMar>
              <w:top w:w="0" w:type="dxa"/>
              <w:left w:w="180" w:type="dxa"/>
              <w:bottom w:w="0" w:type="dxa"/>
              <w:right w:w="180" w:type="dxa"/>
            </w:tcMar>
          </w:tcPr>
          <w:p w14:paraId="1CCE95F7"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Nu se acceptă.</w:t>
            </w:r>
          </w:p>
          <w:p w14:paraId="3C5BEB50"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 se vedea argumentarea de la punctul 2 la avizul către Secretariatul Parlamentului Nr. SGA-02 nr. 281 din 01.07.2026.</w:t>
            </w:r>
          </w:p>
          <w:p w14:paraId="2D5F39F3"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393EE99B"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Totodată, funcționarii publici vor beneficia de un concediu anual de bază de 28 de zile lucrătoare, iar zilele de concediu de odihnă anual, inclusiv cele suplimentare pentru vechime, acumulate (în zile calendaristice) și neutilizate până la intrarea în vigoare a legii se păstrează și vor fi acordate și calculate în zile calendaristice, până la epuizarea integrală a soldului restant, în condițiile prevederilor proiectului. </w:t>
            </w:r>
          </w:p>
        </w:tc>
      </w:tr>
      <w:tr w:rsidR="00315874" w14:paraId="3C305C34" w14:textId="77777777">
        <w:trPr>
          <w:trHeight w:val="276"/>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0EA3AC11"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380CAF37" w14:textId="77777777" w:rsidR="00315874" w:rsidRDefault="00315874">
            <w:pPr>
              <w:spacing w:line="240" w:lineRule="auto"/>
              <w:jc w:val="center"/>
              <w:rPr>
                <w:rFonts w:ascii="Times New Roman" w:eastAsia="Times New Roman" w:hAnsi="Times New Roman" w:cs="Times New Roman"/>
                <w:sz w:val="24"/>
                <w:szCs w:val="24"/>
              </w:rPr>
            </w:pPr>
          </w:p>
        </w:tc>
        <w:tc>
          <w:tcPr>
            <w:tcW w:w="5700" w:type="dxa"/>
            <w:vMerge/>
            <w:tcBorders>
              <w:top w:val="nil"/>
              <w:left w:val="nil"/>
              <w:bottom w:val="single" w:sz="6" w:space="0" w:color="000000"/>
              <w:right w:val="single" w:sz="6" w:space="0" w:color="999999"/>
            </w:tcBorders>
            <w:tcMar>
              <w:top w:w="0" w:type="dxa"/>
              <w:left w:w="100" w:type="dxa"/>
              <w:bottom w:w="0" w:type="dxa"/>
              <w:right w:w="100" w:type="dxa"/>
            </w:tcMar>
          </w:tcPr>
          <w:p w14:paraId="59AA9CCF" w14:textId="77777777" w:rsidR="00315874" w:rsidRDefault="00315874">
            <w:pPr>
              <w:spacing w:line="240" w:lineRule="auto"/>
              <w:jc w:val="both"/>
              <w:rPr>
                <w:rFonts w:ascii="Times New Roman" w:eastAsia="Times New Roman" w:hAnsi="Times New Roman" w:cs="Times New Roman"/>
                <w:sz w:val="24"/>
                <w:szCs w:val="24"/>
                <w:highlight w:val="white"/>
              </w:rPr>
            </w:pPr>
          </w:p>
        </w:tc>
        <w:tc>
          <w:tcPr>
            <w:tcW w:w="6210" w:type="dxa"/>
            <w:vMerge/>
            <w:tcBorders>
              <w:top w:val="single" w:sz="4" w:space="0" w:color="000000"/>
              <w:left w:val="nil"/>
              <w:bottom w:val="single" w:sz="6" w:space="0" w:color="000000"/>
              <w:right w:val="single" w:sz="6" w:space="0" w:color="999999"/>
            </w:tcBorders>
            <w:tcMar>
              <w:top w:w="0" w:type="dxa"/>
              <w:left w:w="100" w:type="dxa"/>
              <w:bottom w:w="0" w:type="dxa"/>
              <w:right w:w="100" w:type="dxa"/>
            </w:tcMar>
          </w:tcPr>
          <w:p w14:paraId="014E8426" w14:textId="77777777" w:rsidR="00315874" w:rsidRDefault="00315874">
            <w:pPr>
              <w:shd w:val="clear" w:color="auto" w:fill="FFFFFF"/>
              <w:spacing w:line="240" w:lineRule="auto"/>
              <w:jc w:val="both"/>
              <w:rPr>
                <w:rFonts w:ascii="Times New Roman" w:eastAsia="Times New Roman" w:hAnsi="Times New Roman" w:cs="Times New Roman"/>
                <w:b/>
                <w:bCs/>
                <w:sz w:val="24"/>
                <w:szCs w:val="24"/>
                <w:highlight w:val="white"/>
              </w:rPr>
            </w:pPr>
          </w:p>
        </w:tc>
      </w:tr>
      <w:tr w:rsidR="00315874" w14:paraId="1EFAABAF" w14:textId="77777777">
        <w:trPr>
          <w:trHeight w:val="1230"/>
        </w:trPr>
        <w:tc>
          <w:tcPr>
            <w:tcW w:w="735" w:type="dxa"/>
            <w:vMerge w:val="restart"/>
            <w:tcBorders>
              <w:top w:val="single" w:sz="6" w:space="0" w:color="999999"/>
              <w:left w:val="single" w:sz="6" w:space="0" w:color="999999"/>
              <w:bottom w:val="single" w:sz="6" w:space="0" w:color="999999"/>
              <w:right w:val="single" w:sz="6" w:space="0" w:color="999999"/>
            </w:tcBorders>
            <w:tcMar>
              <w:top w:w="0" w:type="dxa"/>
              <w:bottom w:w="0" w:type="dxa"/>
            </w:tcMar>
          </w:tcPr>
          <w:p w14:paraId="264E0BCA" w14:textId="77777777" w:rsidR="00315874"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5.</w:t>
            </w:r>
          </w:p>
        </w:tc>
        <w:tc>
          <w:tcPr>
            <w:tcW w:w="2835" w:type="dxa"/>
            <w:vMerge w:val="restart"/>
            <w:tcBorders>
              <w:top w:val="single" w:sz="6" w:space="0" w:color="999999"/>
              <w:left w:val="single" w:sz="6" w:space="0" w:color="999999"/>
              <w:bottom w:val="single" w:sz="6" w:space="0" w:color="999999"/>
              <w:right w:val="single" w:sz="6" w:space="0" w:color="999999"/>
            </w:tcBorders>
            <w:tcMar>
              <w:top w:w="0" w:type="dxa"/>
              <w:bottom w:w="0" w:type="dxa"/>
            </w:tcMar>
          </w:tcPr>
          <w:p w14:paraId="1B26FB9C" w14:textId="77777777" w:rsidR="00315874" w:rsidRDefault="00000000">
            <w:pPr>
              <w:ind w:left="14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Ministerul Finanțelor</w:t>
            </w:r>
          </w:p>
          <w:p w14:paraId="418F3E21" w14:textId="77777777" w:rsidR="00315874" w:rsidRDefault="00000000">
            <w:pPr>
              <w:ind w:left="140"/>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Nr. 07/2-03/112/1096 din 14.07.2026</w:t>
            </w: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2F4F4325" w14:textId="77777777" w:rsidR="00315874" w:rsidRDefault="00000000">
            <w:pPr>
              <w:ind w:firstLine="283"/>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Proiectul are ca scop uniformizarea regimului concediilor și garanțiilor sociale, prin trecerea de la calcularea concediilor în zile calendaristice la zile lucrătoare, cu asigurarea clarității aplicării și a sustenabilității cheltuielilor bugetare.</w:t>
            </w:r>
          </w:p>
          <w:p w14:paraId="0ECF9D0A" w14:textId="77777777" w:rsidR="00315874" w:rsidRDefault="00000000">
            <w:pPr>
              <w:ind w:firstLine="283"/>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La proiectul de lege</w:t>
            </w:r>
          </w:p>
          <w:p w14:paraId="4DC83DC2" w14:textId="77777777" w:rsidR="00315874" w:rsidRDefault="00000000">
            <w:pPr>
              <w:ind w:firstLine="283"/>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La Art. V. Codul muncii</w:t>
            </w:r>
          </w:p>
          <w:p w14:paraId="15F60D00" w14:textId="77777777" w:rsidR="00315874" w:rsidRDefault="00000000">
            <w:pPr>
              <w:ind w:firstLine="283"/>
              <w:jc w:val="both"/>
              <w:rPr>
                <w:rFonts w:ascii="Times New Roman" w:eastAsia="Times New Roman" w:hAnsi="Times New Roman" w:cs="Times New Roman"/>
                <w:b/>
                <w:bCs/>
                <w:i/>
                <w:iCs/>
                <w:sz w:val="24"/>
                <w:szCs w:val="24"/>
                <w:highlight w:val="white"/>
              </w:rPr>
            </w:pPr>
            <w:r>
              <w:rPr>
                <w:rFonts w:ascii="Times New Roman" w:eastAsia="Times New Roman" w:hAnsi="Times New Roman" w:cs="Times New Roman"/>
                <w:b/>
                <w:bCs/>
                <w:i/>
                <w:iCs/>
                <w:sz w:val="24"/>
                <w:szCs w:val="24"/>
                <w:highlight w:val="white"/>
              </w:rPr>
              <w:t>Pct. 2, 3 și 4 – privind modificarea art. 32, 37 și 38.</w:t>
            </w:r>
          </w:p>
          <w:p w14:paraId="1B5D8475" w14:textId="77777777" w:rsidR="00315874" w:rsidRDefault="00000000">
            <w:pPr>
              <w:ind w:firstLine="283"/>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Se propune ca, în cazul contractelor și convențiilor colective aplicabile sectorului bugetar, să fie solicitată opinia consultativă a Ministerului Finanțelor privind cadrul bugetar, impactul financiar și încadrarea în limitele bugetare.</w:t>
            </w:r>
          </w:p>
          <w:p w14:paraId="6DAF2C9B" w14:textId="77777777" w:rsidR="00315874" w:rsidRDefault="00000000">
            <w:pPr>
              <w:ind w:firstLine="283"/>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Normele necesită precizare, deoarece Ministerul Finanțelor nu poate substitui angajatorul, autoritatea publică fondatoare sau autoritatea responsabilă de elaborarea politicilor sectoriale în procesul de negociere colectivă. Ministerul Finanțelor poate formula opinie doar în limita atribuțiilor sale privind politica bugetar-fiscală, disciplina financiară și încadrarea eventualelor angajamente în alocațiile aprobate sau estimate.</w:t>
            </w:r>
          </w:p>
          <w:p w14:paraId="744F27AC" w14:textId="77777777" w:rsidR="00315874" w:rsidRDefault="00000000">
            <w:pPr>
              <w:ind w:firstLine="283"/>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Totodată, opinia Ministerului Finanțelor urmează a fi solicitată doar pentru clauzele care generează sau pot genera cheltuieli suplimentare din bugetele componente ale bugetului public național, cu anexarea calculelor </w:t>
            </w:r>
            <w:r>
              <w:rPr>
                <w:rFonts w:ascii="Times New Roman" w:eastAsia="Times New Roman" w:hAnsi="Times New Roman" w:cs="Times New Roman"/>
                <w:sz w:val="24"/>
                <w:szCs w:val="24"/>
                <w:highlight w:val="white"/>
              </w:rPr>
              <w:lastRenderedPageBreak/>
              <w:t>justificative, a numărului estimativ de beneficiari și a sursei de acoperire financiară.</w:t>
            </w:r>
          </w:p>
          <w:p w14:paraId="1BB1EAF2" w14:textId="77777777" w:rsidR="00315874" w:rsidRDefault="00000000">
            <w:pPr>
              <w:ind w:firstLine="283"/>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De asemenea, sintagma </w:t>
            </w:r>
            <w:r>
              <w:rPr>
                <w:rFonts w:ascii="Times New Roman" w:eastAsia="Times New Roman" w:hAnsi="Times New Roman" w:cs="Times New Roman"/>
                <w:i/>
                <w:iCs/>
                <w:sz w:val="24"/>
                <w:szCs w:val="24"/>
                <w:highlight w:val="white"/>
              </w:rPr>
              <w:t>„monitorizarea impactului financiar”</w:t>
            </w:r>
            <w:r>
              <w:rPr>
                <w:rFonts w:ascii="Times New Roman" w:eastAsia="Times New Roman" w:hAnsi="Times New Roman" w:cs="Times New Roman"/>
                <w:sz w:val="24"/>
                <w:szCs w:val="24"/>
                <w:highlight w:val="white"/>
              </w:rPr>
              <w:t xml:space="preserve"> necesită clarificare, întrucât Ministerul Finanțelor monitorizează executarea bugetară, dar nu exercită control asupra executării clauzelor convențiilor colective. Se propune utilizarea formulării „pentru informare și evaluare din perspectiva impactului asupra bugetelor componente ale bugetului public național, în limitele competențelor stabilite de cadrul normativ bugetar-fiscal”.</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138F0A54"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 xml:space="preserve">Se acceptă. </w:t>
            </w:r>
          </w:p>
          <w:p w14:paraId="718BE5C5"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Proiectul a fost ajustat</w:t>
            </w:r>
            <w:r>
              <w:rPr>
                <w:rFonts w:ascii="Times New Roman" w:eastAsia="Times New Roman" w:hAnsi="Times New Roman" w:cs="Times New Roman"/>
                <w:sz w:val="24"/>
                <w:szCs w:val="24"/>
              </w:rPr>
              <w:t>.</w:t>
            </w:r>
          </w:p>
        </w:tc>
      </w:tr>
      <w:tr w:rsidR="00315874" w14:paraId="53931A2D" w14:textId="77777777">
        <w:trPr>
          <w:trHeight w:val="1230"/>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11990875"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36E6269A" w14:textId="77777777" w:rsidR="00315874" w:rsidRDefault="00315874">
            <w:pPr>
              <w:spacing w:line="240" w:lineRule="auto"/>
              <w:rPr>
                <w:rFonts w:ascii="Times New Roman" w:eastAsia="Times New Roman" w:hAnsi="Times New Roman" w:cs="Times New Roman"/>
                <w:b/>
                <w:bCs/>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3663C154" w14:textId="77777777" w:rsidR="00315874" w:rsidRDefault="00000000">
            <w:pPr>
              <w:jc w:val="both"/>
              <w:rPr>
                <w:rFonts w:ascii="Times New Roman" w:eastAsia="Times New Roman" w:hAnsi="Times New Roman" w:cs="Times New Roman"/>
                <w:b/>
                <w:bCs/>
                <w:i/>
                <w:iCs/>
                <w:sz w:val="24"/>
                <w:szCs w:val="24"/>
                <w:highlight w:val="white"/>
              </w:rPr>
            </w:pPr>
            <w:r>
              <w:rPr>
                <w:rFonts w:ascii="Times New Roman" w:eastAsia="Times New Roman" w:hAnsi="Times New Roman" w:cs="Times New Roman"/>
                <w:b/>
                <w:bCs/>
                <w:i/>
                <w:iCs/>
                <w:sz w:val="24"/>
                <w:szCs w:val="24"/>
                <w:highlight w:val="white"/>
              </w:rPr>
              <w:t>Pct. 11 – concediile personalului din învățământ</w:t>
            </w:r>
          </w:p>
          <w:p w14:paraId="2BFC961F"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Proiectul prevede modificarea duratei concediilor pentru cadrele didactice și alte categorii de personal din domeniul învățământului.</w:t>
            </w:r>
          </w:p>
          <w:p w14:paraId="1417FE9A"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Având în vedere că aceste modificări pot avea impact asupra planificării resurselor umane și financiare ale instituțiilor publice de învățământ, considerăm necesară solicitarea opiniei Ministerului Educației și Cercetării la acest subiect, în calitate de autoritate responsabilă de elaborarea politicilor în domeniul educației.</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778F1D87" w14:textId="77777777" w:rsidR="00315874" w:rsidRDefault="00000000">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Se acceptă.</w:t>
            </w:r>
          </w:p>
          <w:p w14:paraId="486CBE1A" w14:textId="77777777" w:rsidR="00315874" w:rsidRDefault="00000000">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sz w:val="24"/>
                <w:szCs w:val="24"/>
              </w:rPr>
              <w:t>Ministerul Educației și Cercetării s-a expus prin avizul</w:t>
            </w:r>
            <w:r>
              <w:rPr>
                <w:rFonts w:ascii="Times New Roman" w:eastAsia="Times New Roman" w:hAnsi="Times New Roman" w:cs="Times New Roman"/>
                <w:b/>
                <w:bCs/>
                <w:sz w:val="24"/>
                <w:szCs w:val="24"/>
              </w:rPr>
              <w:t xml:space="preserve"> </w:t>
            </w:r>
          </w:p>
          <w:p w14:paraId="0EC5C13E" w14:textId="77777777" w:rsidR="00315874" w:rsidRDefault="00000000">
            <w:pPr>
              <w:spacing w:line="240" w:lineRule="auto"/>
              <w:rPr>
                <w:rFonts w:ascii="Times New Roman" w:eastAsia="Times New Roman" w:hAnsi="Times New Roman" w:cs="Times New Roman"/>
                <w:b/>
                <w:bCs/>
                <w:sz w:val="24"/>
                <w:szCs w:val="24"/>
                <w:highlight w:val="white"/>
              </w:rPr>
            </w:pPr>
            <w:r>
              <w:rPr>
                <w:rFonts w:ascii="Times New Roman" w:eastAsia="Times New Roman" w:hAnsi="Times New Roman" w:cs="Times New Roman"/>
                <w:sz w:val="24"/>
                <w:szCs w:val="24"/>
              </w:rPr>
              <w:t>Nr. 13/513/26 din 01.07.2026. A se vedea mai jos.</w:t>
            </w:r>
          </w:p>
        </w:tc>
      </w:tr>
      <w:tr w:rsidR="00315874" w14:paraId="2DFBA1A7" w14:textId="77777777">
        <w:trPr>
          <w:trHeight w:val="1230"/>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4D600218"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773D3313" w14:textId="77777777" w:rsidR="00315874" w:rsidRDefault="00315874">
            <w:pPr>
              <w:spacing w:line="240" w:lineRule="auto"/>
              <w:rPr>
                <w:rFonts w:ascii="Times New Roman" w:eastAsia="Times New Roman" w:hAnsi="Times New Roman" w:cs="Times New Roman"/>
                <w:b/>
                <w:bCs/>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01DD5060" w14:textId="77777777" w:rsidR="00315874" w:rsidRDefault="00000000">
            <w:pPr>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La Art. IX – Legea nr. 158/2008 cu privire la funcția publică și statutul funcționarului public</w:t>
            </w:r>
          </w:p>
          <w:p w14:paraId="226118B7"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La art. 42 din Legea nr. 158/2008, substituirea sintagmei „15% din salariul de bază” cu sintagma „15% din salariul </w:t>
            </w:r>
            <w:r>
              <w:rPr>
                <w:rFonts w:ascii="Times New Roman" w:eastAsia="Times New Roman" w:hAnsi="Times New Roman" w:cs="Times New Roman"/>
                <w:sz w:val="24"/>
                <w:szCs w:val="24"/>
                <w:highlight w:val="white"/>
              </w:rPr>
              <w:lastRenderedPageBreak/>
              <w:t>lunar stabilit” poate genera cheltuieli suplimentare. Aceasta rezultă din faptul că salariul lunar stabilit poate include, pe lângă salariul de bază, și alte drepturi salariale cu caracter permanent sau variabil, ceea ce poate conduce la majorarea cuantumului garanției sociale și, implicit, la creșterea necesarului de resurse financiare pentru achitarea acesteia.</w:t>
            </w:r>
          </w:p>
          <w:p w14:paraId="01FDF3E9" w14:textId="77777777" w:rsidR="00315874" w:rsidRDefault="00000000">
            <w:pPr>
              <w:jc w:val="both"/>
              <w:rPr>
                <w:rFonts w:ascii="Times New Roman" w:eastAsia="Times New Roman" w:hAnsi="Times New Roman" w:cs="Times New Roman"/>
                <w:b/>
                <w:bCs/>
                <w:i/>
                <w:iCs/>
                <w:sz w:val="24"/>
                <w:szCs w:val="24"/>
                <w:highlight w:val="white"/>
              </w:rPr>
            </w:pPr>
            <w:r>
              <w:rPr>
                <w:rFonts w:ascii="Times New Roman" w:eastAsia="Times New Roman" w:hAnsi="Times New Roman" w:cs="Times New Roman"/>
                <w:sz w:val="24"/>
                <w:szCs w:val="24"/>
                <w:highlight w:val="white"/>
              </w:rPr>
              <w:t>În acest context, modificarea propusă necesită argumentare suplimentară, inclusiv prezentarea calculelor privind impactul financiar, numărul estimativ al beneficiarilor, instituțiile vizate și sursa de acoperire a cheltuielilor.</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0682EA72" w14:textId="77777777" w:rsidR="00315874" w:rsidRDefault="00000000">
            <w:pPr>
              <w:shd w:val="clear" w:color="auto" w:fill="FFFFFF"/>
              <w:spacing w:before="240" w:after="240"/>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Se acceptă.</w:t>
            </w:r>
          </w:p>
          <w:p w14:paraId="6768BEC0" w14:textId="77777777" w:rsidR="00315874" w:rsidRDefault="00000000">
            <w:pPr>
              <w:shd w:val="clear" w:color="auto" w:fill="FFFFFF"/>
              <w:spacing w:before="240" w:after="24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Pentru claritate și aplicare uniformă, proiectul va fi modificat prin precizarea expresă a bazei de calcul a indemnizației unice prevăzute la art. 42 alin. (3) din Legea nr. 158/2008.</w:t>
            </w:r>
          </w:p>
          <w:p w14:paraId="386ACA72" w14:textId="77777777" w:rsidR="00315874" w:rsidRDefault="00000000">
            <w:pPr>
              <w:shd w:val="clear" w:color="auto" w:fill="FFFFFF"/>
              <w:spacing w:before="240" w:after="24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Articolul va avea următorul cuprins:</w:t>
            </w:r>
          </w:p>
          <w:p w14:paraId="73E547E2" w14:textId="77777777" w:rsidR="00315874" w:rsidRDefault="00000000">
            <w:pPr>
              <w:shd w:val="clear" w:color="auto" w:fill="FFFFFF"/>
              <w:spacing w:before="240" w:after="24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 La articolul 42 alineatul (3), textul „15% din salariul de bază determinat conform clasei de salarizare” se substituie cu textul „15% din salariul de bază lunar stabilit pentru funcția deținută, determinat conform clasei de salarizare, la data depunerii cererii”.”</w:t>
            </w:r>
          </w:p>
          <w:p w14:paraId="3E03AC74" w14:textId="77777777" w:rsidR="00315874" w:rsidRDefault="00000000">
            <w:pPr>
              <w:shd w:val="clear" w:color="auto" w:fill="FFFFFF"/>
              <w:spacing w:before="240" w:after="240"/>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sz w:val="24"/>
                <w:szCs w:val="24"/>
                <w:highlight w:val="white"/>
              </w:rPr>
              <w:t>Această redacție menține caracterul previzibil al bazei de calcul și exclude interpretarea potrivit căreia în baza de calcul ar urma să fie incluse sporurile, suplimentele, premiile, plățile compensatorii sau alte componente salariale cu caracter variabil ori ocazional. Prin urmare, nu este necesară aplicarea regulilor privind calcularea salariului mediu potrivit Hotărârii Guvernului nr. 426/2004.</w:t>
            </w:r>
          </w:p>
        </w:tc>
      </w:tr>
      <w:tr w:rsidR="00315874" w14:paraId="78477034" w14:textId="77777777">
        <w:trPr>
          <w:trHeight w:val="1230"/>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29755065"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149A0C89" w14:textId="77777777" w:rsidR="00315874" w:rsidRDefault="00315874">
            <w:pPr>
              <w:spacing w:line="240" w:lineRule="auto"/>
              <w:rPr>
                <w:rFonts w:ascii="Times New Roman" w:eastAsia="Times New Roman" w:hAnsi="Times New Roman" w:cs="Times New Roman"/>
                <w:b/>
                <w:bCs/>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74DF8F13" w14:textId="77777777" w:rsidR="00315874" w:rsidRDefault="00000000">
            <w:pPr>
              <w:ind w:firstLine="283"/>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La Nota de fundamentare</w:t>
            </w:r>
          </w:p>
          <w:p w14:paraId="3F80CBA8"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Potrivit compartimentului 4.2 din Nota de fundamentare „</w:t>
            </w:r>
            <w:r>
              <w:rPr>
                <w:rFonts w:ascii="Times New Roman" w:eastAsia="Times New Roman" w:hAnsi="Times New Roman" w:cs="Times New Roman"/>
                <w:i/>
                <w:iCs/>
                <w:sz w:val="24"/>
                <w:szCs w:val="24"/>
                <w:highlight w:val="white"/>
              </w:rPr>
              <w:t>Impactul financiar și argumentarea costurilor estimative</w:t>
            </w:r>
            <w:r>
              <w:rPr>
                <w:rFonts w:ascii="Times New Roman" w:eastAsia="Times New Roman" w:hAnsi="Times New Roman" w:cs="Times New Roman"/>
                <w:sz w:val="24"/>
                <w:szCs w:val="24"/>
                <w:highlight w:val="white"/>
              </w:rPr>
              <w:t xml:space="preserve">”, se menționează că impactul financiar se estimează până la 5% din fondul de salarizare pentru funcționarii publici cu statut special/general, însă nu este </w:t>
            </w:r>
            <w:r>
              <w:rPr>
                <w:rFonts w:ascii="Times New Roman" w:eastAsia="Times New Roman" w:hAnsi="Times New Roman" w:cs="Times New Roman"/>
                <w:sz w:val="24"/>
                <w:szCs w:val="24"/>
                <w:highlight w:val="white"/>
              </w:rPr>
              <w:lastRenderedPageBreak/>
              <w:t>prezentată metodologia de calcul și nu sunt indicate datele utilizate.</w:t>
            </w:r>
          </w:p>
          <w:p w14:paraId="4B11BA55"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Formularea este una generală și nu permite evaluarea reală a impactului bugetar. Nu sunt indicate instituțiile vizate, numărul beneficiarilor, fondul de salarizare luat ca bază, perioada de aplicare și sursa de acoperire.</w:t>
            </w:r>
          </w:p>
          <w:p w14:paraId="0226219B" w14:textId="77777777" w:rsidR="00315874" w:rsidRDefault="00000000">
            <w:pPr>
              <w:jc w:val="both"/>
              <w:rPr>
                <w:rFonts w:ascii="Times New Roman" w:eastAsia="Times New Roman" w:hAnsi="Times New Roman" w:cs="Times New Roman"/>
                <w:b/>
                <w:bCs/>
                <w:i/>
                <w:iCs/>
                <w:sz w:val="24"/>
                <w:szCs w:val="24"/>
                <w:highlight w:val="white"/>
              </w:rPr>
            </w:pPr>
            <w:r>
              <w:rPr>
                <w:rFonts w:ascii="Times New Roman" w:eastAsia="Times New Roman" w:hAnsi="Times New Roman" w:cs="Times New Roman"/>
                <w:sz w:val="24"/>
                <w:szCs w:val="24"/>
                <w:highlight w:val="white"/>
              </w:rPr>
              <w:t>În acest sens, proiectul dat urmează a fi revizuit, iar Nota de fundamentare necesită a fi completată cu calcule detaliate și cu confirmarea încadrării măsurilor în limitele bugetare aprobate sau estimate pentru anii bugetari relevanți</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0BE3D8CE" w14:textId="54B9F215"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Se acceptă</w:t>
            </w:r>
            <w:r w:rsidR="008047B7">
              <w:rPr>
                <w:rFonts w:ascii="Times New Roman" w:eastAsia="Times New Roman" w:hAnsi="Times New Roman" w:cs="Times New Roman"/>
                <w:b/>
                <w:bCs/>
                <w:sz w:val="24"/>
                <w:szCs w:val="24"/>
                <w:highlight w:val="white"/>
              </w:rPr>
              <w:t xml:space="preserve"> parțial</w:t>
            </w:r>
            <w:r>
              <w:rPr>
                <w:rFonts w:ascii="Times New Roman" w:eastAsia="Times New Roman" w:hAnsi="Times New Roman" w:cs="Times New Roman"/>
                <w:b/>
                <w:bCs/>
                <w:sz w:val="24"/>
                <w:szCs w:val="24"/>
                <w:highlight w:val="white"/>
              </w:rPr>
              <w:t>.</w:t>
            </w:r>
          </w:p>
          <w:p w14:paraId="3F0111BB"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Nota de fundamentare a fost modificată.</w:t>
            </w:r>
          </w:p>
          <w:p w14:paraId="27121AED"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Implementarea prevederilor proiectului va avea impact asupra cheltuielilor de personal din sectorul bugetar. Măsurile propuse urmăresc diminuarea graduală a presiunii asupra bugetului public național prin uniformizarea duratei concediilor, </w:t>
            </w:r>
            <w:r>
              <w:rPr>
                <w:rFonts w:ascii="Times New Roman" w:eastAsia="Times New Roman" w:hAnsi="Times New Roman" w:cs="Times New Roman"/>
                <w:sz w:val="24"/>
                <w:szCs w:val="24"/>
                <w:highlight w:val="white"/>
              </w:rPr>
              <w:lastRenderedPageBreak/>
              <w:t xml:space="preserve">limitarea acordării concediilor suplimentare în funcție de alocațiile bugetare aprobate și ajustarea anumitor indemnizații și garanții financiare. </w:t>
            </w:r>
          </w:p>
          <w:p w14:paraId="5A610E31" w14:textId="77777777" w:rsidR="008047B7" w:rsidRPr="00175D0F" w:rsidRDefault="008047B7" w:rsidP="008047B7">
            <w:pPr>
              <w:tabs>
                <w:tab w:val="left" w:pos="383"/>
              </w:tabs>
              <w:spacing w:before="60" w:after="60" w:line="240" w:lineRule="auto"/>
              <w:ind w:right="102"/>
              <w:jc w:val="both"/>
              <w:rPr>
                <w:rFonts w:ascii="Times New Roman" w:eastAsia="Times New Roman" w:hAnsi="Times New Roman" w:cs="Times New Roman"/>
                <w:sz w:val="24"/>
                <w:szCs w:val="24"/>
              </w:rPr>
            </w:pPr>
            <w:r w:rsidRPr="00175D0F">
              <w:rPr>
                <w:rFonts w:ascii="Times New Roman" w:eastAsia="Times New Roman" w:hAnsi="Times New Roman" w:cs="Times New Roman"/>
                <w:sz w:val="24"/>
                <w:szCs w:val="24"/>
              </w:rPr>
              <w:t xml:space="preserve">Proiectul afectează aproximativ 310 mii de angajați din sectorul public. </w:t>
            </w:r>
          </w:p>
          <w:p w14:paraId="185B0E7C" w14:textId="1F683EF1" w:rsidR="0021239A" w:rsidRPr="008047B7" w:rsidRDefault="008047B7" w:rsidP="008047B7">
            <w:pPr>
              <w:tabs>
                <w:tab w:val="left" w:pos="383"/>
              </w:tabs>
              <w:spacing w:before="60" w:after="60" w:line="240" w:lineRule="auto"/>
              <w:ind w:right="102"/>
              <w:jc w:val="both"/>
              <w:rPr>
                <w:rFonts w:ascii="Times New Roman" w:eastAsia="Times New Roman" w:hAnsi="Times New Roman" w:cs="Times New Roman"/>
                <w:sz w:val="24"/>
                <w:szCs w:val="24"/>
              </w:rPr>
            </w:pPr>
            <w:r w:rsidRPr="00175D0F">
              <w:rPr>
                <w:rFonts w:ascii="Times New Roman" w:eastAsia="Times New Roman" w:hAnsi="Times New Roman" w:cs="Times New Roman"/>
                <w:sz w:val="24"/>
                <w:szCs w:val="24"/>
              </w:rPr>
              <w:t>Reducerea obligațiilor pentru concediile nefolosite (192,4 mil. lei alocați în 2026, HG nr. 322/2026) se obține pe termen mediu, nu în 2027, deoarece soldurile acumulate până la 31 decembrie 2026 se mențin și se compensează în continuare la încetarea raporturilor.</w:t>
            </w:r>
          </w:p>
        </w:tc>
      </w:tr>
      <w:tr w:rsidR="00315874" w14:paraId="7CAB4183" w14:textId="77777777">
        <w:trPr>
          <w:trHeight w:val="887"/>
        </w:trPr>
        <w:tc>
          <w:tcPr>
            <w:tcW w:w="735" w:type="dxa"/>
            <w:vMerge w:val="restart"/>
            <w:tcBorders>
              <w:top w:val="single" w:sz="6" w:space="0" w:color="999999"/>
              <w:left w:val="single" w:sz="6" w:space="0" w:color="999999"/>
              <w:bottom w:val="single" w:sz="6" w:space="0" w:color="999999"/>
              <w:right w:val="single" w:sz="6" w:space="0" w:color="999999"/>
            </w:tcBorders>
            <w:tcMar>
              <w:top w:w="0" w:type="dxa"/>
              <w:bottom w:w="0" w:type="dxa"/>
            </w:tcMar>
          </w:tcPr>
          <w:p w14:paraId="67A86DD4" w14:textId="77777777" w:rsidR="00315874"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6.</w:t>
            </w:r>
          </w:p>
        </w:tc>
        <w:tc>
          <w:tcPr>
            <w:tcW w:w="2835" w:type="dxa"/>
            <w:vMerge w:val="restart"/>
            <w:tcBorders>
              <w:top w:val="single" w:sz="6" w:space="0" w:color="999999"/>
              <w:left w:val="single" w:sz="6" w:space="0" w:color="999999"/>
              <w:bottom w:val="single" w:sz="6" w:space="0" w:color="999999"/>
              <w:right w:val="single" w:sz="6" w:space="0" w:color="999999"/>
            </w:tcBorders>
            <w:tcMar>
              <w:top w:w="0" w:type="dxa"/>
              <w:bottom w:w="0" w:type="dxa"/>
            </w:tcMar>
          </w:tcPr>
          <w:p w14:paraId="438A506E" w14:textId="77777777" w:rsidR="00315874" w:rsidRDefault="00000000">
            <w:pPr>
              <w:spacing w:line="240" w:lineRule="auto"/>
              <w:ind w:left="14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Ministerul Sănătății</w:t>
            </w:r>
          </w:p>
          <w:p w14:paraId="2C3C73D0" w14:textId="77777777" w:rsidR="00315874" w:rsidRDefault="00000000">
            <w:pPr>
              <w:spacing w:line="240" w:lineRule="auto"/>
              <w:ind w:left="140"/>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Nr. 25/2363 din 01.07.2026</w:t>
            </w: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2633C2F6"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Analizând proiectul de lege, constatăm că modificarea mecanismului de calcul și evidență a concediului anual de odihnă din zile calendaristice în zile lucrătoare nu este însoțită de măsuri compensatorii care să mențină nivelul actual al garanțiilor sociale acordate salariaților.</w:t>
            </w:r>
          </w:p>
          <w:p w14:paraId="2ACB2D63"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Durata extinsă a concediului anual de odihnă acordată anumitor categorii de personal nu reprezintă un beneficiu aleatoriu, ci o măsură compensatorie instituită de legiuitor în considerarea particularităților activității desfășurate, a gradului de responsabilitate, a solicitării psihice și emoționale sporite, precum și a necesității menținerii atractivității anumitor funcții de interes public.</w:t>
            </w:r>
          </w:p>
          <w:p w14:paraId="4F98F685"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În cazul personalului din sistemul sănătății, aceste considerente sunt cu atât mai relevante, având în vedere </w:t>
            </w:r>
            <w:r>
              <w:rPr>
                <w:rFonts w:ascii="Times New Roman" w:eastAsia="Times New Roman" w:hAnsi="Times New Roman" w:cs="Times New Roman"/>
                <w:sz w:val="24"/>
                <w:szCs w:val="24"/>
                <w:highlight w:val="white"/>
              </w:rPr>
              <w:lastRenderedPageBreak/>
              <w:t>caracterul continuu al activității, nivelul ridicat de stres profesional și responsabilitatea directă pentru viața și sănătatea pacienților. Deși aceste garanții pentru sistemul medical sunt reglementate prin Hotărârea Guvernului nr. 1223/2004 privind aprobarea Nomenclatorului profesiilor şi funcţiilor cu condiţii de muncă vătămătoare, activitatea cărora acordă dreptul la concediu de odihnă anual suplimentar plătit şi durata zilei de muncă redusă a personalului medico-sanitar, modificarea cadrului normativ primar va duce la modificarea cadrului normativ secundar.</w:t>
            </w:r>
          </w:p>
          <w:p w14:paraId="3A363810"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Pentru aceste categorii de salariați, durata majorată a concediului anual reprezintă nu doar o garanție socială, ci și un important instrument de motivare, retenție și recunoaștere a complexității atribuțiilor exercitate. Reducerea beneficiului efectiv rezultat din transformarea modalității de calcul a concediului, fără instituirea unor mecanisme compensatorii corespunzătoare, poate diminua atractivitatea anumitor funcții și poate afecta echilibrul dintre obligațiile profesionale și dreptul la odihnă.</w:t>
            </w:r>
          </w:p>
          <w:p w14:paraId="4D119F4B" w14:textId="77777777" w:rsidR="00315874" w:rsidRDefault="00315874">
            <w:pPr>
              <w:jc w:val="both"/>
              <w:rPr>
                <w:rFonts w:ascii="Times New Roman" w:eastAsia="Times New Roman" w:hAnsi="Times New Roman" w:cs="Times New Roman"/>
                <w:sz w:val="24"/>
                <w:szCs w:val="24"/>
                <w:highlight w:val="white"/>
              </w:rPr>
            </w:pPr>
          </w:p>
          <w:p w14:paraId="3818E626"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Nota informativă nu conține date, analize sau estimări care să demonstreze că modificarea propusă nu va conduce la diminuarea beneficiului real de care se bucură </w:t>
            </w:r>
            <w:r>
              <w:rPr>
                <w:rFonts w:ascii="Times New Roman" w:eastAsia="Times New Roman" w:hAnsi="Times New Roman" w:cs="Times New Roman"/>
                <w:sz w:val="24"/>
                <w:szCs w:val="24"/>
                <w:highlight w:val="white"/>
              </w:rPr>
              <w:lastRenderedPageBreak/>
              <w:t>în prezent aceste categorii de personal și nici nu justifică necesitatea intervenției legislative prin raportare la obiective concrete de politică publică. În lipsa unei evaluări de impact corespunzătoare, nu poate fi stabilit cu certitudine dacă soluția propusă menține nivelul actual al garanțiilor sociale acordate salariaților.</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2E421AD8" w14:textId="77777777" w:rsidR="00315874" w:rsidRDefault="00000000">
            <w:pPr>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Se ia act.</w:t>
            </w:r>
          </w:p>
          <w:p w14:paraId="390C9E8B"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Măsurile compensatorii care să mențină nivelul actual al garanțiilor sociale nu trebuie stabilite prin acordarea concediilor suplimentare care în practică au format solduri mari al concediilor neutilizate ce trec din an în an. </w:t>
            </w:r>
          </w:p>
          <w:p w14:paraId="342B1EAD"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Concediul suplimentar legat de vechime ar trebui să își îndeplinească funcțiile sale care de regulă sunt: recompensarea fidelității și experienței acumulate, menținerea atractivității carierei publice, stimularea păstrării personalului calificat. Dat fiind faptul acumulării acestor concedii în prezent este imperios a descuraja practica neutilizării concediului efectiv și încurajarea odihnei a salariaților.  Compensarea trebuie realizată prin salarii corect ajustate la nivelul muncii depuse, nu </w:t>
            </w:r>
            <w:r>
              <w:rPr>
                <w:rFonts w:ascii="Times New Roman" w:eastAsia="Times New Roman" w:hAnsi="Times New Roman" w:cs="Times New Roman"/>
                <w:sz w:val="24"/>
                <w:szCs w:val="24"/>
                <w:highlight w:val="white"/>
              </w:rPr>
              <w:t>prin înlocuirea recompensării financiare cu zile suplimentare de concediu.</w:t>
            </w:r>
          </w:p>
          <w:p w14:paraId="7544A710"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65CA174F"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Suplimentar, proiectul prevede completarea art. 113 din Codul muncii cu un nou alineat care va da posibilitate angajatorilor și salariaților să garanteze un număr mai mare de zile de concediu decât minimul stabilit de lege:</w:t>
            </w:r>
          </w:p>
          <w:p w14:paraId="14ED0D57" w14:textId="77777777" w:rsidR="00315874" w:rsidRDefault="00000000">
            <w:pPr>
              <w:ind w:firstLine="560"/>
              <w:jc w:val="both"/>
              <w:rPr>
                <w:rFonts w:ascii="Times New Roman" w:eastAsia="Times New Roman" w:hAnsi="Times New Roman" w:cs="Times New Roman"/>
                <w:i/>
                <w:iCs/>
                <w:sz w:val="24"/>
                <w:szCs w:val="24"/>
                <w:highlight w:val="white"/>
              </w:rPr>
            </w:pPr>
            <w:r>
              <w:rPr>
                <w:rFonts w:ascii="Times New Roman" w:eastAsia="Times New Roman" w:hAnsi="Times New Roman" w:cs="Times New Roman"/>
                <w:i/>
                <w:iCs/>
                <w:sz w:val="24"/>
                <w:szCs w:val="24"/>
                <w:highlight w:val="white"/>
              </w:rPr>
              <w:t>„(1</w:t>
            </w:r>
            <w:r>
              <w:rPr>
                <w:rFonts w:ascii="Times New Roman" w:eastAsia="Times New Roman" w:hAnsi="Times New Roman" w:cs="Times New Roman"/>
                <w:i/>
                <w:iCs/>
                <w:sz w:val="24"/>
                <w:szCs w:val="24"/>
                <w:highlight w:val="white"/>
                <w:vertAlign w:val="superscript"/>
              </w:rPr>
              <w:t>1</w:t>
            </w:r>
            <w:r>
              <w:rPr>
                <w:rFonts w:ascii="Times New Roman" w:eastAsia="Times New Roman" w:hAnsi="Times New Roman" w:cs="Times New Roman"/>
                <w:i/>
                <w:iCs/>
                <w:sz w:val="24"/>
                <w:szCs w:val="24"/>
                <w:highlight w:val="white"/>
              </w:rPr>
              <w:t>) Durata efectivă a concediului de odihnă anual se stabilește în contractul individual de muncă, cu respectarea duratei minime prevăzute la alin. (1) și, după caz, a contractului colectiv de muncă sau a convenției colective aplicabile</w:t>
            </w:r>
            <w:r>
              <w:rPr>
                <w:rFonts w:ascii="Times New Roman" w:eastAsia="Times New Roman" w:hAnsi="Times New Roman" w:cs="Times New Roman"/>
                <w:sz w:val="24"/>
                <w:szCs w:val="24"/>
                <w:highlight w:val="white"/>
              </w:rPr>
              <w:t>.</w:t>
            </w:r>
            <w:r>
              <w:rPr>
                <w:rFonts w:ascii="Times New Roman" w:eastAsia="Times New Roman" w:hAnsi="Times New Roman" w:cs="Times New Roman"/>
                <w:i/>
                <w:iCs/>
                <w:sz w:val="24"/>
                <w:szCs w:val="24"/>
                <w:highlight w:val="white"/>
              </w:rPr>
              <w:t>”</w:t>
            </w:r>
          </w:p>
          <w:p w14:paraId="65257BB3" w14:textId="77777777" w:rsidR="00315874" w:rsidRDefault="00315874">
            <w:pPr>
              <w:ind w:firstLine="560"/>
              <w:jc w:val="both"/>
              <w:rPr>
                <w:rFonts w:ascii="Times New Roman" w:eastAsia="Times New Roman" w:hAnsi="Times New Roman" w:cs="Times New Roman"/>
                <w:i/>
                <w:iCs/>
                <w:sz w:val="24"/>
                <w:szCs w:val="24"/>
                <w:highlight w:val="white"/>
              </w:rPr>
            </w:pPr>
          </w:p>
          <w:p w14:paraId="6A076B99" w14:textId="77777777" w:rsidR="00315874"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Totodată, precizăm că excluderea concediilor suplimentare pentru vechime nu vizează concediile suplimentare acordate pentru condiții de muncă vătămătoare. Proiectul menține această garanție la art. 121 alin. (1) din Codul muncii și prevede exprimarea duratei minime în zile lucrătoare. Astfel, potrivit explicațiilor din nota de fundamentare, salariații care lucrează în condiții vătămătoare vor beneficia de cel puțin 4 zile lucrătoare de concediu suplimentar, în loc de 4 zile calendaristice. Corelarea cadrului normativ secundar, inclusiv a reglementărilor aplicabile personalului medico-sanitar, urmează să țină cont de specificul activității și de noua modalitate de calcul a concediilor.</w:t>
            </w:r>
          </w:p>
          <w:p w14:paraId="39B7CA2A" w14:textId="77777777" w:rsidR="00315874" w:rsidRDefault="00315874">
            <w:pPr>
              <w:jc w:val="both"/>
              <w:rPr>
                <w:rFonts w:ascii="Times New Roman" w:eastAsia="Times New Roman" w:hAnsi="Times New Roman" w:cs="Times New Roman"/>
                <w:sz w:val="24"/>
                <w:szCs w:val="24"/>
              </w:rPr>
            </w:pPr>
          </w:p>
          <w:p w14:paraId="5AD37137" w14:textId="77777777" w:rsidR="00315874"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A se vedea argumentarea de la punctul 2 la avizul către Secretariatul Parlamentului Nr. SGA-02 nr. 281 din 01.07.2026.</w:t>
            </w:r>
          </w:p>
        </w:tc>
      </w:tr>
      <w:tr w:rsidR="00315874" w14:paraId="5B59876B" w14:textId="77777777">
        <w:trPr>
          <w:trHeight w:val="887"/>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50FD4C6E"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2069EBF5" w14:textId="77777777" w:rsidR="00315874" w:rsidRDefault="00315874">
            <w:pPr>
              <w:spacing w:line="240" w:lineRule="auto"/>
              <w:jc w:val="center"/>
              <w:rPr>
                <w:rFonts w:ascii="Times New Roman" w:eastAsia="Times New Roman" w:hAnsi="Times New Roman" w:cs="Times New Roman"/>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1A8DE13C"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Totodată, implementarea noilor reguli de evidență a concediilor va genera dificultăți administrative suplimentare pentru autoritățile și instituțiile publice, prin necesitatea gestionării concomitente a soldurilor de concediu exprimate atât în zile calendaristice, cât și în zile lucrătoare, fapt ce poate crea riscuri sporite de erori și interpretări neuniforme în procesul de administrare a resurselor umane și financiare.</w:t>
            </w:r>
          </w:p>
          <w:p w14:paraId="50067C5C" w14:textId="77777777" w:rsidR="00315874" w:rsidRDefault="00315874">
            <w:pPr>
              <w:jc w:val="both"/>
              <w:rPr>
                <w:rFonts w:ascii="Times New Roman" w:eastAsia="Times New Roman" w:hAnsi="Times New Roman" w:cs="Times New Roman"/>
                <w:sz w:val="24"/>
                <w:szCs w:val="24"/>
                <w:highlight w:val="white"/>
              </w:rPr>
            </w:pPr>
          </w:p>
          <w:p w14:paraId="23DDACCA"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În acest sens, se consideră oportună examinarea posibilității stabilirii unor mecanisme tranzitorii clare pentru stingerea soldurilor de concediu acumulate anterior intrării în vigoare a noilor reglementări, inclusiv prin compensarea în bani, în condițiile legii, a zilelor de concediu rămase neutilizate, pentru a asigura o tranziție eficientă și pentru a evita dificultățile administrative generate de aplicarea simultană a două sisteme distincte de evidență.</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0A3A9348"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Se acceptă.</w:t>
            </w:r>
          </w:p>
          <w:p w14:paraId="0430F917"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Pentru o mai mare claritate dispozițiile tranzitorii se expun în  următoarea redacție:</w:t>
            </w:r>
          </w:p>
          <w:p w14:paraId="65D0A937" w14:textId="77777777" w:rsidR="00315874" w:rsidRDefault="00000000">
            <w:pPr>
              <w:shd w:val="clear" w:color="auto" w:fill="FFFFFF"/>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xml:space="preserve">„(2) Zilele de concediu de odihnă anual acumulate și neutilizate de către salariați până la intrarea în vigoare a prezentei legi se acordă și se calculează în zile calendaristice separat, până la epuizarea integrală a soldului de concediu restant, acordarea acestora având prioritate față de metoda nouă de stabilire a concediilor. </w:t>
            </w:r>
          </w:p>
          <w:p w14:paraId="10F89639" w14:textId="77777777" w:rsidR="00315874" w:rsidRDefault="00000000">
            <w:pPr>
              <w:ind w:firstLine="560"/>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Pentru anul 2026, concediile vor fi acordate și calculate în zile calendaristice proporțional cu perioada pentru care a fost dobândit dreptul la acest concediu până la data de 31 decembrie 2026.</w:t>
            </w:r>
          </w:p>
          <w:p w14:paraId="2BA7CA1F" w14:textId="77777777" w:rsidR="00315874" w:rsidRDefault="00000000">
            <w:pPr>
              <w:ind w:firstLine="560"/>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Începând cu data intrării în vigoare a prezentei legi, concediile de odihnă anuale și cele suplimentare plătite aferente anului 2027 și perioadelor următoare se acordă și se calculează în zile lucrătoare.”</w:t>
            </w:r>
          </w:p>
          <w:p w14:paraId="5F01D0B1"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63AFF070"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Suplimentar art. 113/1 va fi modificat după cum urmează:</w:t>
            </w:r>
          </w:p>
          <w:p w14:paraId="6FA7E63B" w14:textId="77777777" w:rsidR="00315874" w:rsidRDefault="00000000">
            <w:pPr>
              <w:jc w:val="both"/>
              <w:rPr>
                <w:rFonts w:ascii="Times New Roman" w:eastAsia="Times New Roman" w:hAnsi="Times New Roman" w:cs="Times New Roman"/>
                <w:i/>
                <w:iCs/>
                <w:sz w:val="24"/>
                <w:szCs w:val="24"/>
                <w:highlight w:val="white"/>
              </w:rPr>
            </w:pPr>
            <w:r>
              <w:rPr>
                <w:rFonts w:ascii="Times New Roman" w:eastAsia="Times New Roman" w:hAnsi="Times New Roman" w:cs="Times New Roman"/>
                <w:sz w:val="24"/>
                <w:szCs w:val="24"/>
                <w:highlight w:val="white"/>
              </w:rPr>
              <w:lastRenderedPageBreak/>
              <w:t>„</w:t>
            </w:r>
            <w:r>
              <w:rPr>
                <w:rFonts w:ascii="Times New Roman" w:eastAsia="Times New Roman" w:hAnsi="Times New Roman" w:cs="Times New Roman"/>
                <w:i/>
                <w:iCs/>
                <w:sz w:val="24"/>
                <w:szCs w:val="24"/>
                <w:highlight w:val="white"/>
              </w:rPr>
              <w:t>(1) Anul de muncă pentru care se acordă concediul de odihnă anual corespunde perioadei cuprinsă între 1 ianuarie și 31 decembrie ale anului calendaristic. În cazul în care salariatul nu a prestat activitate pe întreaga durată a anului de muncă, concediul de odihnă anual se acordă proporțional cu perioada efectiv lucrată, în condițiile prevăzute de legislația în vigoare.”</w:t>
            </w:r>
          </w:p>
          <w:p w14:paraId="173854B4"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67164D30"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Menționăm faptul că potrivit art. 112 din Codul muncii:</w:t>
            </w:r>
          </w:p>
          <w:p w14:paraId="5D9C156F" w14:textId="77777777" w:rsidR="00315874" w:rsidRDefault="00000000">
            <w:pPr>
              <w:shd w:val="clear" w:color="auto" w:fill="FFFFFF"/>
              <w:jc w:val="both"/>
              <w:rPr>
                <w:rFonts w:ascii="Times New Roman" w:eastAsia="Times New Roman" w:hAnsi="Times New Roman" w:cs="Times New Roman"/>
                <w:i/>
                <w:iCs/>
                <w:sz w:val="24"/>
                <w:szCs w:val="24"/>
                <w:highlight w:val="white"/>
              </w:rPr>
            </w:pPr>
            <w:r>
              <w:rPr>
                <w:rFonts w:ascii="Times New Roman" w:eastAsia="Times New Roman" w:hAnsi="Times New Roman" w:cs="Times New Roman"/>
                <w:i/>
                <w:iCs/>
                <w:sz w:val="24"/>
                <w:szCs w:val="24"/>
                <w:highlight w:val="white"/>
              </w:rPr>
              <w:t>(2) Dreptul la concediu de odihnă anual nu poate fi obiectul vreunei cesiuni, renunţări sau limitări. Orice înţelegere prin care se renunţă, total sau parţial, la acest drept este nulă.</w:t>
            </w:r>
          </w:p>
          <w:p w14:paraId="47EF2BD9"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3D720C95"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Potrivit art. 118 alin (5): </w:t>
            </w:r>
            <w:r>
              <w:rPr>
                <w:rFonts w:ascii="Times New Roman" w:eastAsia="Times New Roman" w:hAnsi="Times New Roman" w:cs="Times New Roman"/>
                <w:i/>
                <w:iCs/>
                <w:sz w:val="24"/>
                <w:szCs w:val="24"/>
                <w:highlight w:val="white"/>
              </w:rPr>
              <w:t xml:space="preserve">Nu se admite înlocuirea concediului de odihnă anual nefolosit printr-o compensaţie în bani, cu excepţia cazurilor de încetare a contractului individual de muncă al salariatului care nu şi-a folosit concediul, în condiţiile alin.(4/1) </w:t>
            </w:r>
            <w:r>
              <w:rPr>
                <w:rFonts w:ascii="Times New Roman" w:eastAsia="Times New Roman" w:hAnsi="Times New Roman" w:cs="Times New Roman"/>
                <w:sz w:val="24"/>
                <w:szCs w:val="24"/>
                <w:highlight w:val="white"/>
              </w:rPr>
              <w:t>prevedere care este aliniată și cu regulile stabilite de Directiva UE 2003/88.</w:t>
            </w:r>
          </w:p>
        </w:tc>
      </w:tr>
      <w:tr w:rsidR="00315874" w14:paraId="55D9A1F9" w14:textId="77777777">
        <w:trPr>
          <w:trHeight w:val="887"/>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14AD052A"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4CABE84F" w14:textId="77777777" w:rsidR="00315874" w:rsidRDefault="00315874">
            <w:pPr>
              <w:spacing w:line="240" w:lineRule="auto"/>
              <w:jc w:val="center"/>
              <w:rPr>
                <w:rFonts w:ascii="Times New Roman" w:eastAsia="Times New Roman" w:hAnsi="Times New Roman" w:cs="Times New Roman"/>
                <w:sz w:val="24"/>
                <w:szCs w:val="24"/>
              </w:rPr>
            </w:pPr>
          </w:p>
        </w:tc>
        <w:tc>
          <w:tcPr>
            <w:tcW w:w="5700" w:type="dxa"/>
            <w:tcBorders>
              <w:top w:val="nil"/>
              <w:left w:val="nil"/>
              <w:bottom w:val="single" w:sz="6" w:space="0" w:color="000000"/>
              <w:right w:val="single" w:sz="6" w:space="0" w:color="000000"/>
            </w:tcBorders>
            <w:tcMar>
              <w:top w:w="0" w:type="dxa"/>
              <w:left w:w="100" w:type="dxa"/>
              <w:bottom w:w="0" w:type="dxa"/>
              <w:right w:w="100" w:type="dxa"/>
            </w:tcMar>
          </w:tcPr>
          <w:p w14:paraId="79FC068C"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Deși nota informativă face referire la practica europeană privind calcularea concediului anual de odihnă în zile lucrătoare, proiectul nu preia și mecanismele compensatorii existente în multe state europene, care au rolul de a evita diminuarea drepturilor efective ale salariaților ca urmare a modificării modalității de calcul a concediului.</w:t>
            </w:r>
          </w:p>
          <w:p w14:paraId="54941F9F"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În acest context, se impune menționarea faptului că numeroase state europene aplică principiul potrivit căruia lucrătorul nu trebuie să piardă beneficiul unei zile libere plătite din simplul motiv al plasării acesteia în calendar. Astfel, legislațiile unor state precum Spania, Belgia, Luxemburg, Marea Britanie sau Irlanda prevăd mecanisme de transfer, compensare sau recuperare a zilelor de sărbătoare legală care coincid cu zile de repaus săptămânal, garantând exercitarea efectivă a dreptului la odihnă și menținerea nivelului de protecție socială acordat salariaților.</w:t>
            </w:r>
          </w:p>
        </w:tc>
        <w:tc>
          <w:tcPr>
            <w:tcW w:w="6210" w:type="dxa"/>
            <w:tcBorders>
              <w:top w:val="nil"/>
              <w:left w:val="single" w:sz="6" w:space="0" w:color="000000"/>
              <w:bottom w:val="single" w:sz="6" w:space="0" w:color="000000"/>
              <w:right w:val="single" w:sz="6" w:space="0" w:color="999999"/>
            </w:tcBorders>
            <w:tcMar>
              <w:top w:w="0" w:type="dxa"/>
              <w:left w:w="100" w:type="dxa"/>
              <w:bottom w:w="0" w:type="dxa"/>
              <w:right w:w="100" w:type="dxa"/>
            </w:tcMar>
          </w:tcPr>
          <w:p w14:paraId="518DECDB"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lastRenderedPageBreak/>
              <w:t>Se acceptă.</w:t>
            </w:r>
            <w:r>
              <w:rPr>
                <w:rFonts w:ascii="Times New Roman" w:eastAsia="Times New Roman" w:hAnsi="Times New Roman" w:cs="Times New Roman"/>
                <w:sz w:val="24"/>
                <w:szCs w:val="24"/>
                <w:highlight w:val="white"/>
              </w:rPr>
              <w:br/>
            </w:r>
            <w:r>
              <w:rPr>
                <w:rFonts w:ascii="Times New Roman" w:eastAsia="Times New Roman" w:hAnsi="Times New Roman" w:cs="Times New Roman"/>
                <w:sz w:val="24"/>
                <w:szCs w:val="24"/>
              </w:rPr>
              <w:t>Proiectul a fost completat, la art.</w:t>
            </w:r>
            <w:r>
              <w:rPr>
                <w:rFonts w:ascii="Times New Roman" w:eastAsia="Times New Roman" w:hAnsi="Times New Roman" w:cs="Times New Roman"/>
                <w:b/>
                <w:bCs/>
                <w:sz w:val="24"/>
                <w:szCs w:val="24"/>
              </w:rPr>
              <w:t xml:space="preserve"> VI pct. 12,</w:t>
            </w:r>
            <w:r>
              <w:rPr>
                <w:rFonts w:ascii="Times New Roman" w:eastAsia="Times New Roman" w:hAnsi="Times New Roman" w:cs="Times New Roman"/>
                <w:sz w:val="24"/>
                <w:szCs w:val="24"/>
              </w:rPr>
              <w:t xml:space="preserve"> cu o prevedere privind acordarea zilei libere în următoarea zi lucrătoare atunci când o zi de sărbătoare nelucrătoare coincide cu o zi de repaus săptămânal, cu excepția prevăzută la art. 111 alin. (1) lit. d) din Codul muncii. </w:t>
            </w:r>
          </w:p>
          <w:p w14:paraId="4CC45C15"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240D7942"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Suplimentar, proiectul prevede completarea art. 113 din Codul muncii cu un nou alineat care va da posibilitate angajatorilor și salariaților să garanteze un număr mai mare de zile de concediu decât minimul stabilit de lege:</w:t>
            </w:r>
          </w:p>
          <w:p w14:paraId="33F19478" w14:textId="77777777" w:rsidR="00315874" w:rsidRDefault="00000000">
            <w:pPr>
              <w:ind w:firstLine="560"/>
              <w:jc w:val="both"/>
              <w:rPr>
                <w:rFonts w:ascii="Times New Roman" w:eastAsia="Times New Roman" w:hAnsi="Times New Roman" w:cs="Times New Roman"/>
                <w:sz w:val="24"/>
                <w:szCs w:val="24"/>
                <w:highlight w:val="white"/>
              </w:rPr>
            </w:pPr>
            <w:r>
              <w:rPr>
                <w:rFonts w:ascii="Times New Roman" w:eastAsia="Times New Roman" w:hAnsi="Times New Roman" w:cs="Times New Roman"/>
                <w:i/>
                <w:iCs/>
                <w:sz w:val="24"/>
                <w:szCs w:val="24"/>
                <w:highlight w:val="white"/>
              </w:rPr>
              <w:t>„(1</w:t>
            </w:r>
            <w:r>
              <w:rPr>
                <w:rFonts w:ascii="Times New Roman" w:eastAsia="Times New Roman" w:hAnsi="Times New Roman" w:cs="Times New Roman"/>
                <w:i/>
                <w:iCs/>
                <w:sz w:val="24"/>
                <w:szCs w:val="24"/>
                <w:highlight w:val="white"/>
                <w:vertAlign w:val="superscript"/>
              </w:rPr>
              <w:t>1</w:t>
            </w:r>
            <w:r>
              <w:rPr>
                <w:rFonts w:ascii="Times New Roman" w:eastAsia="Times New Roman" w:hAnsi="Times New Roman" w:cs="Times New Roman"/>
                <w:i/>
                <w:iCs/>
                <w:sz w:val="24"/>
                <w:szCs w:val="24"/>
                <w:highlight w:val="white"/>
              </w:rPr>
              <w:t>) Durata efectivă a concediului de odihnă anual se stabilește în contractul individual de muncă, cu respectarea duratei minime prevăzute la alin. (1) și, după caz, a contractului colectiv de muncă sau a convenției colective aplicabile.”</w:t>
            </w:r>
          </w:p>
        </w:tc>
      </w:tr>
      <w:tr w:rsidR="00315874" w14:paraId="5A785019" w14:textId="77777777">
        <w:trPr>
          <w:trHeight w:val="887"/>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1927BA41"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24211F90" w14:textId="77777777" w:rsidR="00315874" w:rsidRDefault="00315874">
            <w:pPr>
              <w:spacing w:line="240" w:lineRule="auto"/>
              <w:jc w:val="center"/>
              <w:rPr>
                <w:rFonts w:ascii="Times New Roman" w:eastAsia="Times New Roman" w:hAnsi="Times New Roman" w:cs="Times New Roman"/>
                <w:sz w:val="24"/>
                <w:szCs w:val="24"/>
              </w:rPr>
            </w:pPr>
          </w:p>
        </w:tc>
        <w:tc>
          <w:tcPr>
            <w:tcW w:w="5700" w:type="dxa"/>
            <w:tcBorders>
              <w:top w:val="nil"/>
              <w:left w:val="nil"/>
              <w:bottom w:val="single" w:sz="6" w:space="0" w:color="000000"/>
              <w:right w:val="single" w:sz="6" w:space="0" w:color="000000"/>
            </w:tcBorders>
            <w:tcMar>
              <w:top w:w="0" w:type="dxa"/>
              <w:left w:w="100" w:type="dxa"/>
              <w:bottom w:w="0" w:type="dxa"/>
              <w:right w:w="100" w:type="dxa"/>
            </w:tcMar>
          </w:tcPr>
          <w:p w14:paraId="25C4A9E3"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Urmare celor expuse, Ministerul Sănătății susține necesitatea armonizării legislației naționale cu practicile europene, însă consideră că proiectul necesită completări suplimentare menite să asigure menținerea nivelului actual al garanțiilor sociale, instituirea unor mecanisme compensatorii adecvate și prevenirea diminuării beneficiului efectiv al dreptului la concediul anual de odihnă.</w:t>
            </w:r>
          </w:p>
        </w:tc>
        <w:tc>
          <w:tcPr>
            <w:tcW w:w="6210" w:type="dxa"/>
            <w:tcBorders>
              <w:top w:val="nil"/>
              <w:left w:val="single" w:sz="6" w:space="0" w:color="000000"/>
              <w:bottom w:val="single" w:sz="6" w:space="0" w:color="000000"/>
              <w:right w:val="single" w:sz="6" w:space="0" w:color="999999"/>
            </w:tcBorders>
            <w:tcMar>
              <w:top w:w="0" w:type="dxa"/>
              <w:left w:w="100" w:type="dxa"/>
              <w:bottom w:w="0" w:type="dxa"/>
              <w:right w:w="100" w:type="dxa"/>
            </w:tcMar>
          </w:tcPr>
          <w:p w14:paraId="04B62363"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Se ia act.</w:t>
            </w:r>
          </w:p>
        </w:tc>
      </w:tr>
      <w:tr w:rsidR="00315874" w14:paraId="1F0A8D4A" w14:textId="77777777">
        <w:trPr>
          <w:trHeight w:val="1095"/>
        </w:trPr>
        <w:tc>
          <w:tcPr>
            <w:tcW w:w="735" w:type="dxa"/>
            <w:vMerge w:val="restart"/>
            <w:tcBorders>
              <w:top w:val="single" w:sz="6" w:space="0" w:color="999999"/>
              <w:left w:val="single" w:sz="6" w:space="0" w:color="999999"/>
              <w:bottom w:val="single" w:sz="6" w:space="0" w:color="999999"/>
              <w:right w:val="single" w:sz="6" w:space="0" w:color="999999"/>
            </w:tcBorders>
            <w:tcMar>
              <w:top w:w="0" w:type="dxa"/>
              <w:bottom w:w="0" w:type="dxa"/>
            </w:tcMar>
          </w:tcPr>
          <w:p w14:paraId="54A5C5B1" w14:textId="77777777" w:rsidR="00315874"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w:t>
            </w:r>
          </w:p>
        </w:tc>
        <w:tc>
          <w:tcPr>
            <w:tcW w:w="2835" w:type="dxa"/>
            <w:vMerge w:val="restart"/>
            <w:tcBorders>
              <w:top w:val="single" w:sz="6" w:space="0" w:color="999999"/>
              <w:left w:val="single" w:sz="6" w:space="0" w:color="999999"/>
              <w:bottom w:val="single" w:sz="6" w:space="0" w:color="999999"/>
              <w:right w:val="single" w:sz="6" w:space="0" w:color="999999"/>
            </w:tcBorders>
            <w:tcMar>
              <w:top w:w="0" w:type="dxa"/>
              <w:bottom w:w="0" w:type="dxa"/>
            </w:tcMar>
          </w:tcPr>
          <w:p w14:paraId="769E05BE" w14:textId="77777777" w:rsidR="00315874" w:rsidRDefault="00000000">
            <w:pPr>
              <w:spacing w:line="240" w:lineRule="auto"/>
              <w:ind w:left="14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Ministerul Educației și Cercetării</w:t>
            </w:r>
          </w:p>
          <w:p w14:paraId="274F4030" w14:textId="77777777" w:rsidR="00315874" w:rsidRDefault="00000000">
            <w:pPr>
              <w:spacing w:line="240" w:lineRule="auto"/>
              <w:ind w:left="140"/>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Nr. 13/513/26 din 01.07.2026</w:t>
            </w:r>
          </w:p>
          <w:p w14:paraId="265E3626" w14:textId="77777777" w:rsidR="00315874" w:rsidRDefault="00315874">
            <w:pPr>
              <w:spacing w:line="240" w:lineRule="auto"/>
              <w:ind w:left="140"/>
              <w:rPr>
                <w:rFonts w:ascii="Times New Roman" w:eastAsia="Times New Roman" w:hAnsi="Times New Roman" w:cs="Times New Roman"/>
                <w:b/>
                <w:bCs/>
                <w:sz w:val="24"/>
                <w:szCs w:val="24"/>
              </w:rPr>
            </w:pPr>
          </w:p>
          <w:p w14:paraId="075018F0" w14:textId="77777777" w:rsidR="00315874" w:rsidRDefault="00315874">
            <w:pPr>
              <w:spacing w:line="240" w:lineRule="auto"/>
              <w:ind w:left="140"/>
              <w:rPr>
                <w:rFonts w:ascii="Times New Roman" w:eastAsia="Times New Roman" w:hAnsi="Times New Roman" w:cs="Times New Roman"/>
                <w:b/>
                <w:bCs/>
                <w:sz w:val="24"/>
                <w:szCs w:val="24"/>
              </w:rPr>
            </w:pPr>
          </w:p>
          <w:p w14:paraId="26D96D74" w14:textId="77777777" w:rsidR="00315874" w:rsidRDefault="00315874">
            <w:pPr>
              <w:spacing w:line="240" w:lineRule="auto"/>
              <w:ind w:left="140"/>
              <w:rPr>
                <w:rFonts w:ascii="Times New Roman" w:eastAsia="Times New Roman" w:hAnsi="Times New Roman" w:cs="Times New Roman"/>
                <w:b/>
                <w:bCs/>
                <w:sz w:val="24"/>
                <w:szCs w:val="24"/>
              </w:rPr>
            </w:pPr>
          </w:p>
          <w:p w14:paraId="7E48D2CE" w14:textId="77777777" w:rsidR="00315874" w:rsidRDefault="00315874">
            <w:pPr>
              <w:spacing w:line="240" w:lineRule="auto"/>
              <w:ind w:left="140"/>
              <w:rPr>
                <w:rFonts w:ascii="Times New Roman" w:eastAsia="Times New Roman" w:hAnsi="Times New Roman" w:cs="Times New Roman"/>
                <w:b/>
                <w:bCs/>
                <w:sz w:val="24"/>
                <w:szCs w:val="24"/>
              </w:rPr>
            </w:pPr>
          </w:p>
          <w:p w14:paraId="4ACC169B" w14:textId="77777777" w:rsidR="00315874" w:rsidRDefault="00315874">
            <w:pPr>
              <w:spacing w:line="240" w:lineRule="auto"/>
              <w:ind w:left="140"/>
              <w:rPr>
                <w:rFonts w:ascii="Times New Roman" w:eastAsia="Times New Roman" w:hAnsi="Times New Roman" w:cs="Times New Roman"/>
                <w:b/>
                <w:bCs/>
                <w:sz w:val="24"/>
                <w:szCs w:val="24"/>
              </w:rPr>
            </w:pPr>
          </w:p>
          <w:p w14:paraId="128C1632" w14:textId="77777777" w:rsidR="00315874" w:rsidRDefault="00315874">
            <w:pPr>
              <w:spacing w:line="240" w:lineRule="auto"/>
              <w:ind w:left="140"/>
              <w:rPr>
                <w:rFonts w:ascii="Times New Roman" w:eastAsia="Times New Roman" w:hAnsi="Times New Roman" w:cs="Times New Roman"/>
                <w:b/>
                <w:bCs/>
                <w:sz w:val="24"/>
                <w:szCs w:val="24"/>
              </w:rPr>
            </w:pPr>
          </w:p>
          <w:p w14:paraId="233C467F" w14:textId="77777777" w:rsidR="00315874" w:rsidRDefault="00315874">
            <w:pPr>
              <w:spacing w:line="240" w:lineRule="auto"/>
              <w:ind w:left="140"/>
              <w:rPr>
                <w:rFonts w:ascii="Times New Roman" w:eastAsia="Times New Roman" w:hAnsi="Times New Roman" w:cs="Times New Roman"/>
                <w:b/>
                <w:bCs/>
                <w:sz w:val="24"/>
                <w:szCs w:val="24"/>
              </w:rPr>
            </w:pPr>
          </w:p>
          <w:p w14:paraId="5A6930CE" w14:textId="77777777" w:rsidR="00315874" w:rsidRDefault="00315874">
            <w:pPr>
              <w:spacing w:line="240" w:lineRule="auto"/>
              <w:ind w:left="140"/>
              <w:rPr>
                <w:rFonts w:ascii="Times New Roman" w:eastAsia="Times New Roman" w:hAnsi="Times New Roman" w:cs="Times New Roman"/>
                <w:b/>
                <w:bCs/>
                <w:sz w:val="24"/>
                <w:szCs w:val="24"/>
              </w:rPr>
            </w:pPr>
          </w:p>
          <w:p w14:paraId="1082314C" w14:textId="77777777" w:rsidR="00315874" w:rsidRDefault="00315874">
            <w:pPr>
              <w:spacing w:line="240" w:lineRule="auto"/>
              <w:ind w:left="140"/>
              <w:rPr>
                <w:rFonts w:ascii="Times New Roman" w:eastAsia="Times New Roman" w:hAnsi="Times New Roman" w:cs="Times New Roman"/>
                <w:b/>
                <w:bCs/>
                <w:sz w:val="24"/>
                <w:szCs w:val="24"/>
              </w:rPr>
            </w:pPr>
          </w:p>
          <w:p w14:paraId="6DA9D7A5" w14:textId="77777777" w:rsidR="00315874" w:rsidRDefault="00315874">
            <w:pPr>
              <w:spacing w:line="240" w:lineRule="auto"/>
              <w:ind w:left="140"/>
              <w:rPr>
                <w:rFonts w:ascii="Times New Roman" w:eastAsia="Times New Roman" w:hAnsi="Times New Roman" w:cs="Times New Roman"/>
                <w:b/>
                <w:bCs/>
                <w:sz w:val="24"/>
                <w:szCs w:val="24"/>
              </w:rPr>
            </w:pPr>
          </w:p>
          <w:p w14:paraId="27C2C722" w14:textId="77777777" w:rsidR="00315874" w:rsidRDefault="00315874">
            <w:pPr>
              <w:spacing w:line="240" w:lineRule="auto"/>
              <w:ind w:left="140"/>
              <w:rPr>
                <w:rFonts w:ascii="Times New Roman" w:eastAsia="Times New Roman" w:hAnsi="Times New Roman" w:cs="Times New Roman"/>
                <w:b/>
                <w:bCs/>
                <w:sz w:val="24"/>
                <w:szCs w:val="24"/>
              </w:rPr>
            </w:pPr>
          </w:p>
          <w:p w14:paraId="765E364B" w14:textId="77777777" w:rsidR="00315874" w:rsidRDefault="00315874">
            <w:pPr>
              <w:spacing w:line="240" w:lineRule="auto"/>
              <w:ind w:left="140"/>
              <w:rPr>
                <w:rFonts w:ascii="Times New Roman" w:eastAsia="Times New Roman" w:hAnsi="Times New Roman" w:cs="Times New Roman"/>
                <w:b/>
                <w:bCs/>
                <w:sz w:val="24"/>
                <w:szCs w:val="24"/>
              </w:rPr>
            </w:pPr>
          </w:p>
          <w:p w14:paraId="1755DE60" w14:textId="77777777" w:rsidR="00315874" w:rsidRDefault="00315874">
            <w:pPr>
              <w:spacing w:line="240" w:lineRule="auto"/>
              <w:ind w:left="140"/>
              <w:rPr>
                <w:rFonts w:ascii="Times New Roman" w:eastAsia="Times New Roman" w:hAnsi="Times New Roman" w:cs="Times New Roman"/>
                <w:b/>
                <w:bCs/>
                <w:sz w:val="24"/>
                <w:szCs w:val="24"/>
              </w:rPr>
            </w:pPr>
          </w:p>
          <w:p w14:paraId="5440B78E" w14:textId="77777777" w:rsidR="00315874" w:rsidRDefault="00315874">
            <w:pPr>
              <w:spacing w:line="240" w:lineRule="auto"/>
              <w:ind w:left="140"/>
              <w:rPr>
                <w:rFonts w:ascii="Times New Roman" w:eastAsia="Times New Roman" w:hAnsi="Times New Roman" w:cs="Times New Roman"/>
                <w:b/>
                <w:bCs/>
                <w:sz w:val="24"/>
                <w:szCs w:val="24"/>
              </w:rPr>
            </w:pPr>
          </w:p>
          <w:p w14:paraId="51CEA2A5" w14:textId="77777777" w:rsidR="00315874" w:rsidRDefault="00315874">
            <w:pPr>
              <w:spacing w:line="240" w:lineRule="auto"/>
              <w:ind w:left="140"/>
              <w:rPr>
                <w:rFonts w:ascii="Times New Roman" w:eastAsia="Times New Roman" w:hAnsi="Times New Roman" w:cs="Times New Roman"/>
                <w:b/>
                <w:bCs/>
                <w:sz w:val="24"/>
                <w:szCs w:val="24"/>
              </w:rPr>
            </w:pPr>
          </w:p>
          <w:p w14:paraId="7F426888" w14:textId="77777777" w:rsidR="00315874" w:rsidRDefault="00315874">
            <w:pPr>
              <w:spacing w:line="240" w:lineRule="auto"/>
              <w:ind w:left="140"/>
              <w:rPr>
                <w:rFonts w:ascii="Times New Roman" w:eastAsia="Times New Roman" w:hAnsi="Times New Roman" w:cs="Times New Roman"/>
                <w:b/>
                <w:bCs/>
                <w:sz w:val="24"/>
                <w:szCs w:val="24"/>
              </w:rPr>
            </w:pPr>
          </w:p>
          <w:p w14:paraId="31B12C62" w14:textId="77777777" w:rsidR="00315874" w:rsidRDefault="00315874">
            <w:pPr>
              <w:spacing w:line="240" w:lineRule="auto"/>
              <w:ind w:left="140"/>
              <w:rPr>
                <w:rFonts w:ascii="Times New Roman" w:eastAsia="Times New Roman" w:hAnsi="Times New Roman" w:cs="Times New Roman"/>
                <w:b/>
                <w:bCs/>
                <w:sz w:val="24"/>
                <w:szCs w:val="24"/>
              </w:rPr>
            </w:pPr>
          </w:p>
          <w:p w14:paraId="7500728E" w14:textId="77777777" w:rsidR="00315874" w:rsidRDefault="00315874">
            <w:pPr>
              <w:spacing w:line="240" w:lineRule="auto"/>
              <w:ind w:left="140"/>
              <w:rPr>
                <w:rFonts w:ascii="Times New Roman" w:eastAsia="Times New Roman" w:hAnsi="Times New Roman" w:cs="Times New Roman"/>
                <w:b/>
                <w:bCs/>
                <w:sz w:val="24"/>
                <w:szCs w:val="24"/>
              </w:rPr>
            </w:pPr>
          </w:p>
          <w:p w14:paraId="2D37B250" w14:textId="77777777" w:rsidR="00315874" w:rsidRDefault="00315874">
            <w:pPr>
              <w:spacing w:line="240" w:lineRule="auto"/>
              <w:ind w:left="140"/>
              <w:rPr>
                <w:rFonts w:ascii="Times New Roman" w:eastAsia="Times New Roman" w:hAnsi="Times New Roman" w:cs="Times New Roman"/>
                <w:b/>
                <w:bCs/>
                <w:sz w:val="24"/>
                <w:szCs w:val="24"/>
              </w:rPr>
            </w:pPr>
          </w:p>
          <w:p w14:paraId="4CC0834C" w14:textId="77777777" w:rsidR="00315874" w:rsidRDefault="00315874">
            <w:pPr>
              <w:spacing w:line="240" w:lineRule="auto"/>
              <w:ind w:left="140"/>
              <w:rPr>
                <w:rFonts w:ascii="Times New Roman" w:eastAsia="Times New Roman" w:hAnsi="Times New Roman" w:cs="Times New Roman"/>
                <w:b/>
                <w:bCs/>
                <w:sz w:val="24"/>
                <w:szCs w:val="24"/>
              </w:rPr>
            </w:pPr>
          </w:p>
          <w:p w14:paraId="1079EB74" w14:textId="77777777" w:rsidR="00315874" w:rsidRDefault="00315874">
            <w:pPr>
              <w:spacing w:line="240" w:lineRule="auto"/>
              <w:ind w:left="140"/>
              <w:rPr>
                <w:rFonts w:ascii="Times New Roman" w:eastAsia="Times New Roman" w:hAnsi="Times New Roman" w:cs="Times New Roman"/>
                <w:b/>
                <w:bCs/>
                <w:sz w:val="24"/>
                <w:szCs w:val="24"/>
              </w:rPr>
            </w:pPr>
          </w:p>
          <w:p w14:paraId="304A89BF" w14:textId="77777777" w:rsidR="00315874" w:rsidRDefault="00315874">
            <w:pPr>
              <w:spacing w:line="240" w:lineRule="auto"/>
              <w:ind w:left="140"/>
              <w:rPr>
                <w:rFonts w:ascii="Times New Roman" w:eastAsia="Times New Roman" w:hAnsi="Times New Roman" w:cs="Times New Roman"/>
                <w:b/>
                <w:bCs/>
                <w:sz w:val="24"/>
                <w:szCs w:val="24"/>
              </w:rPr>
            </w:pPr>
          </w:p>
          <w:p w14:paraId="36933E9A" w14:textId="77777777" w:rsidR="00315874" w:rsidRDefault="00315874">
            <w:pPr>
              <w:spacing w:line="240" w:lineRule="auto"/>
              <w:ind w:left="140"/>
              <w:rPr>
                <w:rFonts w:ascii="Times New Roman" w:eastAsia="Times New Roman" w:hAnsi="Times New Roman" w:cs="Times New Roman"/>
                <w:b/>
                <w:bCs/>
                <w:sz w:val="24"/>
                <w:szCs w:val="24"/>
              </w:rPr>
            </w:pPr>
          </w:p>
          <w:p w14:paraId="49D56818" w14:textId="77777777" w:rsidR="00315874" w:rsidRDefault="00315874">
            <w:pPr>
              <w:spacing w:line="240" w:lineRule="auto"/>
              <w:ind w:left="140"/>
              <w:rPr>
                <w:rFonts w:ascii="Times New Roman" w:eastAsia="Times New Roman" w:hAnsi="Times New Roman" w:cs="Times New Roman"/>
                <w:b/>
                <w:bCs/>
                <w:sz w:val="24"/>
                <w:szCs w:val="24"/>
              </w:rPr>
            </w:pPr>
          </w:p>
          <w:p w14:paraId="1B074BDE" w14:textId="77777777" w:rsidR="00315874" w:rsidRDefault="00315874">
            <w:pPr>
              <w:spacing w:line="240" w:lineRule="auto"/>
              <w:ind w:left="140"/>
              <w:rPr>
                <w:rFonts w:ascii="Times New Roman" w:eastAsia="Times New Roman" w:hAnsi="Times New Roman" w:cs="Times New Roman"/>
                <w:b/>
                <w:bCs/>
                <w:sz w:val="24"/>
                <w:szCs w:val="24"/>
              </w:rPr>
            </w:pPr>
          </w:p>
          <w:p w14:paraId="01F653C0" w14:textId="77777777" w:rsidR="00315874" w:rsidRDefault="00315874">
            <w:pPr>
              <w:spacing w:line="240" w:lineRule="auto"/>
              <w:ind w:left="140"/>
              <w:rPr>
                <w:rFonts w:ascii="Times New Roman" w:eastAsia="Times New Roman" w:hAnsi="Times New Roman" w:cs="Times New Roman"/>
                <w:b/>
                <w:bCs/>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61F7A6E5"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 xml:space="preserve">Cu privire la articolul V (Dispozițiile privind concediul de odihnă anual), se propune completarea articolului XX (Dispoziții finale și tranzitorii) cu norme tranzitorii privind aplicarea noilor prevederi referitoare la concediul de odihnă anual. </w:t>
            </w:r>
          </w:p>
          <w:p w14:paraId="74CA773B"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În acest sens, se consideră necesară reglementarea expresă a modului de aplicare a noilor prevederi în cazul:</w:t>
            </w:r>
          </w:p>
          <w:p w14:paraId="164D13B0"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w:t>
            </w:r>
            <w:r>
              <w:rPr>
                <w:rFonts w:ascii="Times New Roman" w:eastAsia="Times New Roman" w:hAnsi="Times New Roman" w:cs="Times New Roman"/>
                <w:sz w:val="24"/>
                <w:szCs w:val="24"/>
                <w:highlight w:val="white"/>
              </w:rPr>
              <w:t xml:space="preserve"> modalității de calcul și acordare a concediului de odihnă anual în cazul în care acesta este acordat fracționat, iar o parte din concediu a fost utilizată înainte, iar partea rămasă urmează să fie acordată după intrarea în vigoare a legii;</w:t>
            </w:r>
          </w:p>
          <w:p w14:paraId="25F90727"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 </w:t>
            </w:r>
            <w:r>
              <w:rPr>
                <w:rFonts w:ascii="Times New Roman" w:eastAsia="Times New Roman" w:hAnsi="Times New Roman" w:cs="Times New Roman"/>
                <w:sz w:val="24"/>
                <w:szCs w:val="24"/>
                <w:highlight w:val="white"/>
              </w:rPr>
              <w:t>modului de determinare, după caz, a soldului zilelor de concediu de odihnă anual neutilizate la data intrării în vigoare a legii.</w:t>
            </w:r>
          </w:p>
          <w:p w14:paraId="5D943031"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În lipsa unor dispoziții tranzitorii exprese, pot apărea dificultăți de interpretare și aplicare privind exercitarea drepturilor la concediu aflate în curs de realizare. </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1909BD84"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Se acceptă.</w:t>
            </w:r>
          </w:p>
          <w:p w14:paraId="25B83225"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Se propune următoarea redacție a dispozițiilor tranzitorii:</w:t>
            </w:r>
          </w:p>
          <w:p w14:paraId="266869F8" w14:textId="77777777" w:rsidR="00315874"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Zilele de concediu de odihnă anual acumulate și neutilizate de către salariați până la intrarea în vigoare a prezentei legi se acordă și se calculează în zile calendaristice separat, până la epuizarea integrală a soldului de concediu restant, acordarea </w:t>
            </w:r>
            <w:r>
              <w:rPr>
                <w:rFonts w:ascii="Times New Roman" w:eastAsia="Times New Roman" w:hAnsi="Times New Roman" w:cs="Times New Roman"/>
                <w:sz w:val="24"/>
                <w:szCs w:val="24"/>
              </w:rPr>
              <w:lastRenderedPageBreak/>
              <w:t xml:space="preserve">acestora având prioritate față de metoda nouă de stabilire a concediilor. </w:t>
            </w:r>
          </w:p>
          <w:p w14:paraId="0EB60F3C" w14:textId="77777777" w:rsidR="00315874"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Pentru anul 2026, concediile vor fi acordate și calculate în zile calendaristice proporțional cu perioada pentru care a fost dobândit dreptul la acest concediu până la data de 31 decembrie 2026.</w:t>
            </w:r>
          </w:p>
          <w:p w14:paraId="797336DA" w14:textId="77777777" w:rsidR="00315874"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Începând cu data intrării în vigoare a prezentei legi, concediile de odihnă anuale și cele suplimentare plătite aferente anului 2027 și perioadelor următoare se acordă și se calculează în zile lucrătoare.”</w:t>
            </w:r>
          </w:p>
          <w:p w14:paraId="540C4307"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75744ADE"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Suplimentar art. 113/1 va fi modificat după cum urmează:</w:t>
            </w:r>
          </w:p>
          <w:p w14:paraId="09691300" w14:textId="77777777" w:rsidR="00315874" w:rsidRDefault="00000000">
            <w:pPr>
              <w:jc w:val="both"/>
              <w:rPr>
                <w:rFonts w:ascii="Times New Roman" w:eastAsia="Times New Roman" w:hAnsi="Times New Roman" w:cs="Times New Roman"/>
                <w:i/>
                <w:iCs/>
                <w:sz w:val="24"/>
                <w:szCs w:val="24"/>
                <w:highlight w:val="white"/>
              </w:rPr>
            </w:pPr>
            <w:r>
              <w:rPr>
                <w:rFonts w:ascii="Times New Roman" w:eastAsia="Times New Roman" w:hAnsi="Times New Roman" w:cs="Times New Roman"/>
                <w:sz w:val="24"/>
                <w:szCs w:val="24"/>
                <w:highlight w:val="white"/>
              </w:rPr>
              <w:t>„</w:t>
            </w:r>
            <w:r>
              <w:rPr>
                <w:rFonts w:ascii="Times New Roman" w:eastAsia="Times New Roman" w:hAnsi="Times New Roman" w:cs="Times New Roman"/>
                <w:i/>
                <w:iCs/>
                <w:sz w:val="24"/>
                <w:szCs w:val="24"/>
                <w:highlight w:val="white"/>
              </w:rPr>
              <w:t>(1) Anul de muncă pentru care se acordă concediul de odihnă anual corespunde perioadei cuprinsă între 1 ianuarie și 31 decembrie ale anului calendaristic. În cazul în care salariatul nu a prestat activitate pe întreaga durată a anului de muncă, concediul de odihnă anual se acordă proporțional cu perioada efectiv lucrată, în condițiile prevăzute de legislația în vigoare.”</w:t>
            </w:r>
          </w:p>
        </w:tc>
      </w:tr>
      <w:tr w:rsidR="00315874" w14:paraId="5D2CA1D7" w14:textId="77777777">
        <w:trPr>
          <w:trHeight w:val="1178"/>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72DB22C0"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5BD11BE8" w14:textId="77777777" w:rsidR="00315874" w:rsidRDefault="00315874">
            <w:pPr>
              <w:spacing w:line="240" w:lineRule="auto"/>
              <w:rPr>
                <w:rFonts w:ascii="Times New Roman" w:eastAsia="Times New Roman" w:hAnsi="Times New Roman" w:cs="Times New Roman"/>
                <w:b/>
                <w:bCs/>
                <w:sz w:val="24"/>
                <w:szCs w:val="24"/>
              </w:rPr>
            </w:pPr>
          </w:p>
        </w:tc>
        <w:tc>
          <w:tcPr>
            <w:tcW w:w="5700" w:type="dxa"/>
            <w:vMerge w:val="restart"/>
            <w:tcBorders>
              <w:top w:val="nil"/>
              <w:left w:val="nil"/>
              <w:bottom w:val="single" w:sz="6" w:space="0" w:color="000000"/>
              <w:right w:val="single" w:sz="6" w:space="0" w:color="000000"/>
            </w:tcBorders>
            <w:tcMar>
              <w:top w:w="0" w:type="dxa"/>
              <w:left w:w="100" w:type="dxa"/>
              <w:bottom w:w="0" w:type="dxa"/>
              <w:right w:w="100" w:type="dxa"/>
            </w:tcMar>
          </w:tcPr>
          <w:p w14:paraId="00286C60" w14:textId="77777777" w:rsidR="00315874" w:rsidRDefault="00000000">
            <w:pPr>
              <w:ind w:firstLine="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Articolul V pct. 11 din proiect prevede modificarea articolului 299 din Codul muncii al Republicii Moldova nr. 154/2003 (Monitorul Oficial al Republicii Moldova, </w:t>
            </w:r>
            <w:r>
              <w:rPr>
                <w:rFonts w:ascii="Times New Roman" w:eastAsia="Times New Roman" w:hAnsi="Times New Roman" w:cs="Times New Roman"/>
                <w:sz w:val="24"/>
                <w:szCs w:val="24"/>
              </w:rPr>
              <w:lastRenderedPageBreak/>
              <w:t xml:space="preserve">2003, nr. 159–162, art. 648), cu modificările ulterioare. În acest context, Ministerul Educației şi Cercetării propune următoarea modificare a articolului 299: </w:t>
            </w:r>
          </w:p>
          <w:p w14:paraId="29D2513A" w14:textId="77777777" w:rsidR="00315874" w:rsidRDefault="00000000">
            <w:pPr>
              <w:ind w:firstLine="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alineatul (2) va avea următorul cuprins:</w:t>
            </w:r>
          </w:p>
          <w:p w14:paraId="0482FA50" w14:textId="77777777" w:rsidR="00315874" w:rsidRDefault="00000000">
            <w:pPr>
              <w:ind w:firstLine="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 Cadrelor ştiințifico-didactice din instituțiile de învățământ superior li se acordă un concediu de odihnă anual plătit cu durata de 49 de zile lucrătoare." </w:t>
            </w:r>
          </w:p>
          <w:p w14:paraId="2FC98191" w14:textId="77777777" w:rsidR="00315874" w:rsidRDefault="00000000">
            <w:pPr>
              <w:ind w:firstLine="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Modificarea propusă este necesară pentru corelarea terminologiei Codului muncii cu cea a Coduiui educație: nr.152/2014 şi pentru înlăturarea unor lacune normative privind regimul concediului de odihnă al cadrelor ştiințifico-didactice din instituțiile de învățământ superior. </w:t>
            </w:r>
          </w:p>
          <w:p w14:paraId="607C5B7C" w14:textId="77777777" w:rsidR="00315874" w:rsidRDefault="00000000">
            <w:pPr>
              <w:ind w:firstLine="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Potrivit art. 117 alin. (1) lit. a) din Codul educației, personalul ştiințifico-didactic constituie o categorie distinctă de personal din învățământul superior. În acelaşi timp, această categorie nu este nominalizată expres în redacția actuală a art.299 din Codul muncii. Prin urmare, modificarea asigură reglementarea expresă a dreptului cadrelor ştiințifico-didactice la concediu anual prelungit, precum şi uniformizarea cadrului normativ aplicabil. </w:t>
            </w:r>
          </w:p>
          <w:p w14:paraId="1DCE8CA6" w14:textId="77777777" w:rsidR="00315874"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Totodată, potrivit art. 95 alin. (1) lit. h) din Codul cu privire la știință şi inovare nr.259/2004, instituțiile de învățământ superior fac parte din categoria organizațiilor din domeniile cercetării şi inovării. În consecință, actuala </w:t>
            </w:r>
            <w:r>
              <w:rPr>
                <w:rFonts w:ascii="Times New Roman" w:eastAsia="Times New Roman" w:hAnsi="Times New Roman" w:cs="Times New Roman"/>
                <w:sz w:val="24"/>
                <w:szCs w:val="24"/>
              </w:rPr>
              <w:lastRenderedPageBreak/>
              <w:t xml:space="preserve">redacție a art. 299 alin. (2) şi (3) din Codui muncii generează o suprapunere a sferei de aplicare a celor două norme, întrucat cadrele ştiințifice din instituțiile de învățământ superior pot fi încadrate, concomitent, atât în categoria cadrelor ştiințifice din instituțiile de învățământ, prevăzută la alin.(2), cât și în categoria cadrelor ştiințifice din organizațiile din sfera stiinței şi inovării, prevăzută la alin. (3), pentru care sunt stabilite durate diferite ale concediului de odihnă anual plātit. Modificarea propusă va elimina această suprapunere normativă, va delimita în mod clar categoriile de personal vizate de cele două alineate şi va asigura aplicarea unitară a prevederilor art. 299 din Codul muncii. </w:t>
            </w:r>
          </w:p>
        </w:tc>
        <w:tc>
          <w:tcPr>
            <w:tcW w:w="6210" w:type="dxa"/>
            <w:vMerge w:val="restart"/>
            <w:tcBorders>
              <w:top w:val="nil"/>
              <w:left w:val="single" w:sz="6" w:space="0" w:color="000000"/>
              <w:bottom w:val="single" w:sz="6" w:space="0" w:color="000000"/>
              <w:right w:val="single" w:sz="6" w:space="0" w:color="999999"/>
            </w:tcBorders>
            <w:tcMar>
              <w:top w:w="0" w:type="dxa"/>
              <w:left w:w="100" w:type="dxa"/>
              <w:bottom w:w="0" w:type="dxa"/>
              <w:right w:w="100" w:type="dxa"/>
            </w:tcMar>
          </w:tcPr>
          <w:p w14:paraId="17F685AA" w14:textId="77777777" w:rsidR="00315874" w:rsidRDefault="00000000">
            <w:pPr>
              <w:shd w:val="clear" w:color="auto" w:fill="FFFFFF"/>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Nu se acceptă.</w:t>
            </w:r>
          </w:p>
          <w:p w14:paraId="67727790" w14:textId="77777777" w:rsidR="00315874" w:rsidRDefault="00000000">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Durata de 49 de zile lucrătoare propusă pentru concediul de odihnă anual este prevăzută la art. VII pct. 11 din proiect. </w:t>
            </w:r>
          </w:p>
          <w:p w14:paraId="2D61C0FB" w14:textId="77777777" w:rsidR="00315874" w:rsidRDefault="00000000">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ceea ce privește reformularea integrală a art. 299 alin. (2), propunerea nu reprezintă doar o ajustare terminologică, întrucât înlocuirea categoriei «cadrele științifice din instituțiile de învățământ de toate nivelurile» cu «cadrele științifico-didactice din instituțiile de învățământ superior» modifică sfera beneficiarilor normei. Prin urmare, clarificarea suprapunerii semnalate între alin. (2) și (3) necesită examinarea regimului aplicabil tuturor categoriilor de personal vizate, pentru a evita omiterea unor beneficiari.</w:t>
            </w:r>
          </w:p>
          <w:p w14:paraId="1A3525B8" w14:textId="77777777" w:rsidR="00315874" w:rsidRDefault="00000000">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cadrul prezentului proiect se menține sfera beneficiarilor prevăzută la alin. (2), intervenția fiind limitată la exprimarea duratei concediului în zile lucrătoare.</w:t>
            </w:r>
          </w:p>
          <w:p w14:paraId="03F4B0BB" w14:textId="77777777" w:rsidR="00315874" w:rsidRDefault="00315874">
            <w:pPr>
              <w:shd w:val="clear" w:color="auto" w:fill="FFFFFF"/>
              <w:jc w:val="both"/>
              <w:rPr>
                <w:rFonts w:ascii="Times New Roman" w:eastAsia="Times New Roman" w:hAnsi="Times New Roman" w:cs="Times New Roman"/>
                <w:sz w:val="24"/>
                <w:szCs w:val="24"/>
              </w:rPr>
            </w:pPr>
          </w:p>
        </w:tc>
      </w:tr>
      <w:tr w:rsidR="00315874" w14:paraId="2A2381AA" w14:textId="77777777">
        <w:trPr>
          <w:trHeight w:val="1178"/>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14499FE2"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67874E5B" w14:textId="77777777" w:rsidR="00315874" w:rsidRDefault="00315874">
            <w:pPr>
              <w:spacing w:line="240" w:lineRule="auto"/>
              <w:rPr>
                <w:rFonts w:ascii="Times New Roman" w:eastAsia="Times New Roman" w:hAnsi="Times New Roman" w:cs="Times New Roman"/>
                <w:b/>
                <w:bCs/>
                <w:sz w:val="24"/>
                <w:szCs w:val="24"/>
              </w:rPr>
            </w:pPr>
          </w:p>
        </w:tc>
        <w:tc>
          <w:tcPr>
            <w:tcW w:w="5700" w:type="dxa"/>
            <w:vMerge/>
            <w:tcBorders>
              <w:top w:val="nil"/>
              <w:left w:val="nil"/>
              <w:bottom w:val="single" w:sz="6" w:space="0" w:color="000000"/>
              <w:right w:val="single" w:sz="6" w:space="0" w:color="000000"/>
            </w:tcBorders>
            <w:tcMar>
              <w:top w:w="0" w:type="dxa"/>
              <w:left w:w="100" w:type="dxa"/>
              <w:bottom w:w="0" w:type="dxa"/>
              <w:right w:w="100" w:type="dxa"/>
            </w:tcMar>
          </w:tcPr>
          <w:p w14:paraId="4CD5EE2C" w14:textId="77777777" w:rsidR="00315874" w:rsidRDefault="00315874">
            <w:pPr>
              <w:spacing w:line="240" w:lineRule="auto"/>
              <w:jc w:val="both"/>
              <w:rPr>
                <w:rFonts w:ascii="Times New Roman" w:eastAsia="Times New Roman" w:hAnsi="Times New Roman" w:cs="Times New Roman"/>
                <w:sz w:val="24"/>
                <w:szCs w:val="24"/>
              </w:rPr>
            </w:pPr>
          </w:p>
        </w:tc>
        <w:tc>
          <w:tcPr>
            <w:tcW w:w="6210" w:type="dxa"/>
            <w:vMerge/>
            <w:tcBorders>
              <w:top w:val="nil"/>
              <w:left w:val="single" w:sz="6" w:space="0" w:color="000000"/>
              <w:bottom w:val="single" w:sz="6" w:space="0" w:color="000000"/>
              <w:right w:val="single" w:sz="6" w:space="0" w:color="999999"/>
            </w:tcBorders>
            <w:tcMar>
              <w:top w:w="0" w:type="dxa"/>
              <w:left w:w="100" w:type="dxa"/>
              <w:bottom w:w="0" w:type="dxa"/>
              <w:right w:w="100" w:type="dxa"/>
            </w:tcMar>
          </w:tcPr>
          <w:p w14:paraId="461EE427" w14:textId="77777777" w:rsidR="00315874" w:rsidRDefault="00315874">
            <w:pPr>
              <w:shd w:val="clear" w:color="auto" w:fill="FFFFFF"/>
              <w:spacing w:line="240" w:lineRule="auto"/>
              <w:jc w:val="both"/>
              <w:rPr>
                <w:rFonts w:ascii="Times New Roman" w:eastAsia="Times New Roman" w:hAnsi="Times New Roman" w:cs="Times New Roman"/>
                <w:b/>
                <w:bCs/>
                <w:sz w:val="24"/>
                <w:szCs w:val="24"/>
                <w:highlight w:val="white"/>
              </w:rPr>
            </w:pPr>
          </w:p>
        </w:tc>
      </w:tr>
      <w:tr w:rsidR="00315874" w14:paraId="776F9466" w14:textId="77777777">
        <w:trPr>
          <w:trHeight w:val="840"/>
        </w:trPr>
        <w:tc>
          <w:tcPr>
            <w:tcW w:w="735" w:type="dxa"/>
            <w:vMerge w:val="restart"/>
            <w:tcBorders>
              <w:top w:val="single" w:sz="6" w:space="0" w:color="999999"/>
              <w:left w:val="single" w:sz="6" w:space="0" w:color="999999"/>
              <w:bottom w:val="single" w:sz="6" w:space="0" w:color="999999"/>
              <w:right w:val="single" w:sz="6" w:space="0" w:color="999999"/>
            </w:tcBorders>
            <w:tcMar>
              <w:top w:w="0" w:type="dxa"/>
              <w:bottom w:w="0" w:type="dxa"/>
            </w:tcMar>
          </w:tcPr>
          <w:p w14:paraId="2F3213E7" w14:textId="77777777" w:rsidR="00315874"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8.</w:t>
            </w:r>
          </w:p>
        </w:tc>
        <w:tc>
          <w:tcPr>
            <w:tcW w:w="2835" w:type="dxa"/>
            <w:vMerge w:val="restart"/>
            <w:tcBorders>
              <w:top w:val="single" w:sz="6" w:space="0" w:color="999999"/>
              <w:left w:val="single" w:sz="6" w:space="0" w:color="999999"/>
              <w:bottom w:val="single" w:sz="6" w:space="0" w:color="999999"/>
              <w:right w:val="single" w:sz="6" w:space="0" w:color="999999"/>
            </w:tcBorders>
            <w:tcMar>
              <w:top w:w="0" w:type="dxa"/>
              <w:bottom w:w="0" w:type="dxa"/>
            </w:tcMar>
          </w:tcPr>
          <w:p w14:paraId="2F3240C9" w14:textId="77777777" w:rsidR="00315874" w:rsidRDefault="00000000">
            <w:pPr>
              <w:spacing w:line="240" w:lineRule="auto"/>
              <w:ind w:left="14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Ministerul Justiției</w:t>
            </w:r>
          </w:p>
          <w:p w14:paraId="35EC3DE1" w14:textId="77777777" w:rsidR="00315874" w:rsidRDefault="00000000">
            <w:pPr>
              <w:spacing w:line="240" w:lineRule="auto"/>
              <w:ind w:left="140"/>
              <w:rPr>
                <w:rFonts w:ascii="Times New Roman" w:eastAsia="Times New Roman" w:hAnsi="Times New Roman" w:cs="Times New Roman"/>
                <w:i/>
                <w:iCs/>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Nr. 04/2-7397 din 03.06.2026</w:t>
            </w:r>
          </w:p>
        </w:tc>
        <w:tc>
          <w:tcPr>
            <w:tcW w:w="5700" w:type="dxa"/>
            <w:tcBorders>
              <w:top w:val="nil"/>
              <w:left w:val="nil"/>
              <w:bottom w:val="single" w:sz="6" w:space="0" w:color="000000"/>
              <w:right w:val="single" w:sz="6" w:space="0" w:color="000000"/>
            </w:tcBorders>
            <w:tcMar>
              <w:top w:w="0" w:type="dxa"/>
              <w:left w:w="100" w:type="dxa"/>
              <w:bottom w:w="0" w:type="dxa"/>
              <w:right w:w="100" w:type="dxa"/>
            </w:tcMar>
          </w:tcPr>
          <w:p w14:paraId="430EB8EE"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La </w:t>
            </w:r>
            <w:r>
              <w:rPr>
                <w:rFonts w:ascii="Times New Roman" w:eastAsia="Times New Roman" w:hAnsi="Times New Roman" w:cs="Times New Roman"/>
                <w:b/>
                <w:bCs/>
                <w:sz w:val="24"/>
                <w:szCs w:val="24"/>
                <w:highlight w:val="white"/>
              </w:rPr>
              <w:t>Art. II</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i/>
                <w:iCs/>
                <w:sz w:val="24"/>
                <w:szCs w:val="24"/>
                <w:highlight w:val="white"/>
              </w:rPr>
              <w:t>Legea nr. 544/1995 cu privire statutul judecătorului</w:t>
            </w:r>
            <w:r>
              <w:rPr>
                <w:rFonts w:ascii="Times New Roman" w:eastAsia="Times New Roman" w:hAnsi="Times New Roman" w:cs="Times New Roman"/>
                <w:sz w:val="24"/>
                <w:szCs w:val="24"/>
                <w:highlight w:val="white"/>
              </w:rPr>
              <w:t>):</w:t>
            </w:r>
          </w:p>
          <w:p w14:paraId="26D95449"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Eliminarea concediului pentru vechime în muncă (abrogarea alin. (2) al art. 29 este privită ca și reducerea unor garanții sociale, care afectează independența justiției.</w:t>
            </w:r>
          </w:p>
          <w:p w14:paraId="7A83357B"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În context amintim că, organismele internaționale (precum Comisia de la Veneția) a subliniat că, stabilitatea financiară și beneficiile magistraților sunt garanții ale independenței lor. Modificarea frecventă a regulilor de către puterea legislativă sau executivă creează sentimentul de nesiguranță juridică. Acest lucru poate fi </w:t>
            </w:r>
            <w:r>
              <w:rPr>
                <w:rFonts w:ascii="Times New Roman" w:eastAsia="Times New Roman" w:hAnsi="Times New Roman" w:cs="Times New Roman"/>
                <w:sz w:val="24"/>
                <w:szCs w:val="24"/>
                <w:highlight w:val="white"/>
              </w:rPr>
              <w:lastRenderedPageBreak/>
              <w:t>perceput ca o formă de presiune indirectă asupra corpului de judecători.</w:t>
            </w:r>
          </w:p>
          <w:p w14:paraId="16A79C08"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Totodată, semnalăm că, munca de magistrat implică un nivel extrem de ridicat de stres, responsabilitate decizională și uzură psihică. Zilele suplimentare nu erau un simplu privilegiu, ci o măsură de protecție a sănătății mintale pentru a preveni sindromul de </w:t>
            </w:r>
            <w:r>
              <w:rPr>
                <w:rFonts w:ascii="Times New Roman" w:eastAsia="Times New Roman" w:hAnsi="Times New Roman" w:cs="Times New Roman"/>
                <w:i/>
                <w:iCs/>
                <w:sz w:val="24"/>
                <w:szCs w:val="24"/>
                <w:highlight w:val="white"/>
              </w:rPr>
              <w:t>burnout</w:t>
            </w:r>
            <w:r>
              <w:rPr>
                <w:rFonts w:ascii="Times New Roman" w:eastAsia="Times New Roman" w:hAnsi="Times New Roman" w:cs="Times New Roman"/>
                <w:sz w:val="24"/>
                <w:szCs w:val="24"/>
                <w:highlight w:val="white"/>
              </w:rPr>
              <w:t xml:space="preserve"> (epuizare profesională).</w:t>
            </w:r>
          </w:p>
          <w:p w14:paraId="3719AB8F"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La fel, concediile extinse compensează interdicțiile severe pe care le au judecătorii (nu pot avea afaceri, nu pot exercita alte profesii) .</w:t>
            </w:r>
          </w:p>
          <w:p w14:paraId="6ED75FD1"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Complementar atenționăm că, eliminarea mecanismului de majorare a concediului de odihnă în funcție de vechime nu este suficient fundamentată și nu asigură un echilibru adecvat între obiectivele de politică în domeniul resurselor umane și necesitatea garantării și protejării drepturilor judecătorilor cu vechime în funcție.</w:t>
            </w:r>
          </w:p>
        </w:tc>
        <w:tc>
          <w:tcPr>
            <w:tcW w:w="6210" w:type="dxa"/>
            <w:tcBorders>
              <w:top w:val="nil"/>
              <w:left w:val="single" w:sz="6" w:space="0" w:color="000000"/>
              <w:bottom w:val="single" w:sz="6" w:space="0" w:color="000000"/>
              <w:right w:val="single" w:sz="6" w:space="0" w:color="999999"/>
            </w:tcBorders>
            <w:tcMar>
              <w:top w:w="0" w:type="dxa"/>
              <w:left w:w="100" w:type="dxa"/>
              <w:bottom w:w="0" w:type="dxa"/>
              <w:right w:w="100" w:type="dxa"/>
            </w:tcMar>
          </w:tcPr>
          <w:p w14:paraId="5783D115"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lastRenderedPageBreak/>
              <w:t>Nu se acceptă.</w:t>
            </w:r>
          </w:p>
          <w:p w14:paraId="76F8EBB7"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Proiectul nu urmărește diminuarea garanțiilor de independență ale judecătorilor. Mai mult, durata concediului anual de bază al judecătorilor a fost ajustată în proiect la 32 de zile lucrătoare, ceea ce asigură o perioadă efectivă de odihnă corespunzătoare statutului funcției.</w:t>
            </w:r>
          </w:p>
          <w:p w14:paraId="4677CA8F"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7CA2AC2F"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Concediul suplimentar acordat exclusiv pentru vechime în muncă nu constituie, prin natura sa, o garanție indispensabilă a independenței judecătorului, ci o măsură de politică socială și de management al resurselor umane. Independența judecătorilor este asigurată prin garanțiile constituționale și </w:t>
            </w:r>
            <w:r>
              <w:rPr>
                <w:rFonts w:ascii="Times New Roman" w:eastAsia="Times New Roman" w:hAnsi="Times New Roman" w:cs="Times New Roman"/>
                <w:sz w:val="24"/>
                <w:szCs w:val="24"/>
                <w:highlight w:val="white"/>
              </w:rPr>
              <w:lastRenderedPageBreak/>
              <w:t>statutare privind numirea, inamovibilitatea, răspunderea disciplinară, salarizarea și protecția împotriva ingerințelor nejustificate în activitatea jurisdicțională.</w:t>
            </w:r>
          </w:p>
          <w:p w14:paraId="07B477EC"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31693B21"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Totodată, menținerea unor concedii suplimentare extinse a contribuit în practică la acumularea soldurilor de concedii neutilizate, cu efecte financiare semnificative asupra bugetului public și cu diminuarea funcției reale a concediului, care trebuie să asigure odihna efectivă, nu acumularea unor compensații financiare ulterioare.</w:t>
            </w:r>
          </w:p>
          <w:p w14:paraId="2D0E22C7"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1258F234"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Prin urmare, abrogarea alin. (2) al art. 29 din Legea nr. 544/1995 se menține.</w:t>
            </w:r>
          </w:p>
          <w:p w14:paraId="79507A6C"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1F7570A8" w14:textId="77777777" w:rsidR="00315874" w:rsidRDefault="00315874">
            <w:pPr>
              <w:shd w:val="clear" w:color="auto" w:fill="FFFFFF"/>
              <w:jc w:val="both"/>
              <w:rPr>
                <w:rFonts w:ascii="Times New Roman" w:eastAsia="Times New Roman" w:hAnsi="Times New Roman" w:cs="Times New Roman"/>
                <w:sz w:val="24"/>
                <w:szCs w:val="24"/>
                <w:highlight w:val="white"/>
              </w:rPr>
            </w:pPr>
          </w:p>
        </w:tc>
      </w:tr>
      <w:tr w:rsidR="00315874" w14:paraId="75F1F998" w14:textId="77777777">
        <w:trPr>
          <w:trHeight w:val="840"/>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0E9D162D"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3B687F69" w14:textId="77777777" w:rsidR="00315874" w:rsidRDefault="00315874">
            <w:pPr>
              <w:spacing w:line="240" w:lineRule="auto"/>
              <w:jc w:val="center"/>
              <w:rPr>
                <w:rFonts w:ascii="Times New Roman" w:eastAsia="Times New Roman" w:hAnsi="Times New Roman" w:cs="Times New Roman"/>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32ECA86D"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La </w:t>
            </w:r>
            <w:r>
              <w:rPr>
                <w:rFonts w:ascii="Times New Roman" w:eastAsia="Times New Roman" w:hAnsi="Times New Roman" w:cs="Times New Roman"/>
                <w:b/>
                <w:bCs/>
                <w:sz w:val="24"/>
                <w:szCs w:val="24"/>
                <w:highlight w:val="white"/>
              </w:rPr>
              <w:t>Art. V</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i/>
                <w:iCs/>
                <w:sz w:val="24"/>
                <w:szCs w:val="24"/>
                <w:highlight w:val="white"/>
              </w:rPr>
              <w:t>Codul muncii</w:t>
            </w:r>
            <w:r>
              <w:rPr>
                <w:rFonts w:ascii="Times New Roman" w:eastAsia="Times New Roman" w:hAnsi="Times New Roman" w:cs="Times New Roman"/>
                <w:sz w:val="24"/>
                <w:szCs w:val="24"/>
                <w:highlight w:val="white"/>
              </w:rPr>
              <w:t>):</w:t>
            </w:r>
          </w:p>
          <w:p w14:paraId="3C0629CD"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Se vor revedea completările propuse la art. 32 și 37 în partea ce ține de obligația solicitării opiniei consultative a Ministerului Finanțelor în cazul contractelor colective și a convențiilor colective aplicabile sectorului bugetar sau al clauzelor care implică alocarea mijloacelor din bugetele componente ale bugetului public național. În forma propusă, norma instituie obligația părților de a solicita </w:t>
            </w:r>
            <w:r>
              <w:rPr>
                <w:rFonts w:ascii="Times New Roman" w:eastAsia="Times New Roman" w:hAnsi="Times New Roman" w:cs="Times New Roman"/>
                <w:b/>
                <w:bCs/>
                <w:sz w:val="24"/>
                <w:szCs w:val="24"/>
                <w:highlight w:val="white"/>
              </w:rPr>
              <w:lastRenderedPageBreak/>
              <w:t>opinia</w:t>
            </w:r>
            <w:r>
              <w:rPr>
                <w:rFonts w:ascii="Times New Roman" w:eastAsia="Times New Roman" w:hAnsi="Times New Roman" w:cs="Times New Roman"/>
                <w:sz w:val="24"/>
                <w:szCs w:val="24"/>
                <w:highlight w:val="white"/>
              </w:rPr>
              <w:t xml:space="preserve"> consultativă a Ministerului Finanțelor înainte de inițierea negocierilor colective, sau semnarea convențiilor colective aplicabile sectorului bugetar, însă nu stabilesc termenul în care opinia trebuie comunicată.</w:t>
            </w:r>
          </w:p>
          <w:p w14:paraId="537E6CE5"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Totodată, din redactarea propusă rezultă că obligația legală vizează exclusiv solicitarea opiniei consultative, fără a prevedea în mod expres că emiterea acesteia constituie o condiție obligatorie pentru semnarea contractului colectiv/ a convenției colective. În lipsa unei asemenea precizări, nu este clar dacă neprezentarea opiniei de către Ministerul Finanțelor împiedică sau nu continuarea procedurii, aspect ce poate genera interpretări divergente și dificultăți în aplicarea normei.</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34247BB6"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Se acceptă.</w:t>
            </w:r>
          </w:p>
          <w:p w14:paraId="76AACBE2"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115C83FB"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Observația este acoperită prin soluția legislativă acceptată la obiecția Ministerului Dezvoltării Economice și Digitalizării privind același mecanism de consultare a Ministerului Finanțelor.</w:t>
            </w:r>
          </w:p>
          <w:p w14:paraId="253FF6CC"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21EBB5F2"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În vederea asigurării unei redactări unitare, proiectul va fi modificat prin același text consolidat, care precizează caracterul consultativ al opiniei Ministerului Finanțelor, termenul de emitere și faptul că neemiterea acesteia nu împiedică inițierea, desfășurarea sau finalizarea negocierilor colective.</w:t>
            </w:r>
          </w:p>
          <w:p w14:paraId="6AAFC37A"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73EB12DB"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Astfel, se menține următoarea redacție pentru art. 32 alin. (1) din Codul muncii:</w:t>
            </w:r>
          </w:p>
          <w:p w14:paraId="1C3F5F36"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„În cazul contractelor colective din sectorul bugetar, angajatorul solicită, înainte de semnarea contractului, opinia consultativă a Ministerului Finanțelor, pentru clauzele care generează sau pot genera cheltuieli suplimentare din bugetele componente ale bugetului public național, cu anexarea calculelor justificative, a numărului estimativ de beneficiari și a sursei de acoperire financiară. Ministerul Finanțelor emite opinia consultativă în limita atribuțiilor sale, privind politica bugetar-fiscală, disciplina financiară și încadrarea eventualelor angajamente în alocațiile aprobate sau estimate, în termen de 10 zile lucrătoare de la data solicitării; neprezentarea opiniei în acest termen nu împiedică semnarea convenției colective.”</w:t>
            </w:r>
          </w:p>
          <w:p w14:paraId="463453A3"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607976D2"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Se menține următoarea redacție pentru art. 37 alin. (2) din Codul muncii:</w:t>
            </w:r>
          </w:p>
          <w:p w14:paraId="2ED031A1"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„În cazul convențiilor colective aplicabile sectorului bugetar sau al clauzelor care implică alocarea mijloacelor din bugetele componente ale bugetului public național, părțile solicită opinia consultativă a Ministerului Finanțelor pentru clauzele care generează sau pot genera cheltuieli suplimentare din bugetele componente ale bugetului public național, cu anexarea calculelor justificative, a numărului estimativ de beneficiari și a sursei de acoperire financiară, înainte de semnarea convenției. Ministerul Finanțelor emite opinia consultativă, în limita atribuțiilor sale privind politica bugetar-fiscală, disciplina financiară și încadrarea eventualelor angajamente în alocațiile aprobate sau estimate, în termen de 10 zile lucrătoare de la data solicitării; neprezentarea opiniei în acest termen nu împiedică semnarea convenției colective.”</w:t>
            </w:r>
          </w:p>
          <w:p w14:paraId="040CB114" w14:textId="77777777" w:rsidR="00315874" w:rsidRDefault="00315874">
            <w:pPr>
              <w:shd w:val="clear" w:color="auto" w:fill="FFFFFF"/>
              <w:jc w:val="both"/>
              <w:rPr>
                <w:rFonts w:ascii="Times New Roman" w:eastAsia="Times New Roman" w:hAnsi="Times New Roman" w:cs="Times New Roman"/>
                <w:sz w:val="24"/>
                <w:szCs w:val="24"/>
                <w:highlight w:val="white"/>
              </w:rPr>
            </w:pPr>
          </w:p>
        </w:tc>
      </w:tr>
      <w:tr w:rsidR="00315874" w14:paraId="16DDE1B0" w14:textId="77777777">
        <w:trPr>
          <w:trHeight w:val="840"/>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5F01384C"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4CD9B405" w14:textId="77777777" w:rsidR="00315874" w:rsidRDefault="00315874">
            <w:pPr>
              <w:spacing w:line="240" w:lineRule="auto"/>
              <w:jc w:val="center"/>
              <w:rPr>
                <w:rFonts w:ascii="Times New Roman" w:eastAsia="Times New Roman" w:hAnsi="Times New Roman" w:cs="Times New Roman"/>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56DBF9AF"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De asemenea, se impune clarificarea efectelor juridice ale opiniei consultative emise de Ministerul Finanțelor. Din moment ce proiectul califică expres această opinie drept una </w:t>
            </w:r>
            <w:r>
              <w:rPr>
                <w:rFonts w:ascii="Times New Roman" w:eastAsia="Times New Roman" w:hAnsi="Times New Roman" w:cs="Times New Roman"/>
                <w:b/>
                <w:bCs/>
                <w:sz w:val="24"/>
                <w:szCs w:val="24"/>
                <w:highlight w:val="white"/>
              </w:rPr>
              <w:t>consultativă,</w:t>
            </w:r>
            <w:r>
              <w:rPr>
                <w:rFonts w:ascii="Times New Roman" w:eastAsia="Times New Roman" w:hAnsi="Times New Roman" w:cs="Times New Roman"/>
                <w:sz w:val="24"/>
                <w:szCs w:val="24"/>
                <w:highlight w:val="white"/>
              </w:rPr>
              <w:t xml:space="preserve"> rezultă că aceasta nu are caracter obligatoriu și, prin urmare, o eventuală opinie nefavorabilă nu poate împiedica, prin ea însăși, semnarea contractului colectiv/ a convenției colective în redacția dorită. În lipsa unor prevederi exprese privind consecințele unei opinii negative, nu este clar care este finalitatea practică a instituirii acestei proceduri și în ce </w:t>
            </w:r>
            <w:r>
              <w:rPr>
                <w:rFonts w:ascii="Times New Roman" w:eastAsia="Times New Roman" w:hAnsi="Times New Roman" w:cs="Times New Roman"/>
                <w:sz w:val="24"/>
                <w:szCs w:val="24"/>
                <w:highlight w:val="white"/>
              </w:rPr>
              <w:lastRenderedPageBreak/>
              <w:t>măsură observațiile formulate de Ministerul Finanțelor urmează să fie valorificate de părți. Sub acest aspect, soluția normativă necesită o reglementare mai clară, pentru a evita transformarea unei formalități consultative într-un mecanism susceptibil de interpretări contradictorii.</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50068E8F"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Se acceptă.</w:t>
            </w:r>
          </w:p>
          <w:p w14:paraId="2697D194"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294FD523"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Observația este acoperită prin soluția legislativă acceptată la obiecția anterioară privind același mecanism de consultare a Ministerului Finanțelor.</w:t>
            </w:r>
          </w:p>
          <w:p w14:paraId="76B0664B"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68514F7E"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În vederea asigurării unei redactări unitare, proiectul va fi modificat prin același text consolidat, care precizează că opinia Ministerului Finanțelor are caracter consultativ, se emite în termen de 10 zile lucrătoare, nu are caracter obligatoriu, iar </w:t>
            </w:r>
            <w:r>
              <w:rPr>
                <w:rFonts w:ascii="Times New Roman" w:eastAsia="Times New Roman" w:hAnsi="Times New Roman" w:cs="Times New Roman"/>
                <w:sz w:val="24"/>
                <w:szCs w:val="24"/>
                <w:highlight w:val="white"/>
              </w:rPr>
              <w:lastRenderedPageBreak/>
              <w:t>neemiterea acesteia în termen nu împiedică inițierea, desfășurarea sau finalizarea negocierilor colective și nici semnarea contractului colectiv sau a convenției colective.</w:t>
            </w:r>
          </w:p>
          <w:p w14:paraId="1263858B"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0F06E723"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Redacția normelor în proiect a fost revizuită luând în considerare și opinia Ministerului Finanțelor.</w:t>
            </w:r>
          </w:p>
        </w:tc>
      </w:tr>
      <w:tr w:rsidR="00315874" w14:paraId="031E5EA2" w14:textId="77777777">
        <w:trPr>
          <w:trHeight w:val="840"/>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5927EAB6"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6B6436C9" w14:textId="77777777" w:rsidR="00315874" w:rsidRDefault="00315874">
            <w:pPr>
              <w:spacing w:line="240" w:lineRule="auto"/>
              <w:jc w:val="center"/>
              <w:rPr>
                <w:rFonts w:ascii="Times New Roman" w:eastAsia="Times New Roman" w:hAnsi="Times New Roman" w:cs="Times New Roman"/>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7E96A1B8"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Totodată, la art. 37 formularea potrivit căreia </w:t>
            </w:r>
            <w:r>
              <w:rPr>
                <w:rFonts w:ascii="Times New Roman" w:eastAsia="Times New Roman" w:hAnsi="Times New Roman" w:cs="Times New Roman"/>
                <w:b/>
                <w:bCs/>
                <w:sz w:val="24"/>
                <w:szCs w:val="24"/>
                <w:highlight w:val="white"/>
              </w:rPr>
              <w:t xml:space="preserve">„părțile </w:t>
            </w:r>
            <w:r>
              <w:rPr>
                <w:rFonts w:ascii="Times New Roman" w:eastAsia="Times New Roman" w:hAnsi="Times New Roman" w:cs="Times New Roman"/>
                <w:sz w:val="24"/>
                <w:szCs w:val="24"/>
                <w:highlight w:val="white"/>
              </w:rPr>
              <w:t>solicită opinia consultativă a Ministerului Finanțelor” necesită a fi precizată din perspectiva modalității de realizare a acestei obligații. Nu rezultă dacă solicitarea urmează să fie formulată printr-un demers comun al tuturor părților participante sau dacă fiecare parte are obligația de a transmite o solicitare distinctă. În cea de-a doua ipoteză, proiectul nu clarifică dacă Ministerul Finanțelor va emite câte o opinie pentru fiecare solicitare sau o singură opinie cu privire la aceeași convenție colectivă. Lipsa acestor precizări poate genera dificultăți practice și aplicarea neuniformă a normei, motiv pentru care se recomandă reglementarea expresă a procedurii de solicitare și emitere a opiniei consultative.</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73C714D7"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Se acceptă.</w:t>
            </w:r>
          </w:p>
          <w:p w14:paraId="377765D5"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7A8A5B3E"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Observația este acoperită prin soluția legislativă acceptată la obiecțiile anterioare privind același mecanism de consultare a Ministerului Finanțelor.</w:t>
            </w:r>
          </w:p>
          <w:p w14:paraId="28DB4293"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7E95CE5A"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În vederea asigurării unei redactări unitare, la art. 37 alin. (2) din Codul muncii se menține textul consolidat potrivit căruia </w:t>
            </w:r>
          </w:p>
          <w:p w14:paraId="541A4170"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Ministerul Finanțelor emite opinia consultativă, în limita atribuțiilor sale privind politica bugetar-fiscală, disciplina financiară și încadrarea eventualelor angajamente în alocațiile aprobate sau estimate, în termen de 10 zile lucrătoare de la data solicitării; neprezentarea opiniei în acest termen nu împiedică semnarea convenției colective.</w:t>
            </w:r>
          </w:p>
          <w:p w14:paraId="0E4D5183"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473CD0AD" w14:textId="77777777" w:rsidR="00315874" w:rsidRDefault="00315874">
            <w:pPr>
              <w:shd w:val="clear" w:color="auto" w:fill="FFFFFF"/>
              <w:jc w:val="both"/>
              <w:rPr>
                <w:rFonts w:ascii="Times New Roman" w:eastAsia="Times New Roman" w:hAnsi="Times New Roman" w:cs="Times New Roman"/>
                <w:sz w:val="24"/>
                <w:szCs w:val="24"/>
                <w:highlight w:val="white"/>
              </w:rPr>
            </w:pPr>
          </w:p>
        </w:tc>
      </w:tr>
      <w:tr w:rsidR="00315874" w14:paraId="690975C4" w14:textId="77777777">
        <w:trPr>
          <w:trHeight w:val="840"/>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3F2121E7"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751E6579" w14:textId="77777777" w:rsidR="00315874" w:rsidRDefault="00315874">
            <w:pPr>
              <w:spacing w:line="240" w:lineRule="auto"/>
              <w:jc w:val="center"/>
              <w:rPr>
                <w:rFonts w:ascii="Times New Roman" w:eastAsia="Times New Roman" w:hAnsi="Times New Roman" w:cs="Times New Roman"/>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2A27B989"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La </w:t>
            </w:r>
            <w:r>
              <w:rPr>
                <w:rFonts w:ascii="Times New Roman" w:eastAsia="Times New Roman" w:hAnsi="Times New Roman" w:cs="Times New Roman"/>
                <w:b/>
                <w:bCs/>
                <w:sz w:val="24"/>
                <w:szCs w:val="24"/>
                <w:highlight w:val="white"/>
              </w:rPr>
              <w:t>pct. 4</w:t>
            </w:r>
            <w:r>
              <w:rPr>
                <w:rFonts w:ascii="Times New Roman" w:eastAsia="Times New Roman" w:hAnsi="Times New Roman" w:cs="Times New Roman"/>
                <w:sz w:val="24"/>
                <w:szCs w:val="24"/>
                <w:highlight w:val="white"/>
              </w:rPr>
              <w:t xml:space="preserve"> se va revedea art. 38 alin. (2) în partea ce ține de sintagma „se remite de una dintre părțile semnatare”, </w:t>
            </w:r>
            <w:r>
              <w:rPr>
                <w:rFonts w:ascii="Times New Roman" w:eastAsia="Times New Roman" w:hAnsi="Times New Roman" w:cs="Times New Roman"/>
                <w:sz w:val="24"/>
                <w:szCs w:val="24"/>
                <w:highlight w:val="white"/>
              </w:rPr>
              <w:lastRenderedPageBreak/>
              <w:t>întrucât aceasta nu individualizează subiectul obligației de transmitere a unui exemplar al convenției colective.</w:t>
            </w:r>
          </w:p>
          <w:p w14:paraId="510589DF"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În redactarea propusă, norma lasă la latitudinea părților determinarea persoanei responsabile pentru îndeplinirea obligației, fără a stabili în mod expres cărei părți îi incumbă remiterea convenției către Ministerul Muncii și Protecției Sociale și, după caz, către Ministerul Finanțelor. O asemenea formulare poate genera incertitudini în aplicarea normei și riscul ca fiecare parte să considere că obligația revine celeilalte, ceea ce ar putea conduce la neexecutarea obligației de transmitere în termenul prevăzut de lege.</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5C870654"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Se acceptă.</w:t>
            </w:r>
          </w:p>
          <w:p w14:paraId="430AA7F2"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0AD9CA2E"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Pentru claritate și aplicare uniformă, proiectul va fi modificat prin individualizarea expresă a subiectului responsabil de remiterea convenției colective.</w:t>
            </w:r>
          </w:p>
          <w:p w14:paraId="602E0354"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60428554" w14:textId="1B811B8F"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Astfel, la art. 38 alin. (2) din Codul muncii se menține soluția legislativă consolidată potrivit căreia un exemplar al convenției colective de nivel ramural sau teritorial se remite, în termen de </w:t>
            </w:r>
            <w:r w:rsidR="008047B7">
              <w:rPr>
                <w:rFonts w:ascii="Times New Roman" w:eastAsia="Times New Roman" w:hAnsi="Times New Roman" w:cs="Times New Roman"/>
                <w:sz w:val="24"/>
                <w:szCs w:val="24"/>
                <w:highlight w:val="white"/>
              </w:rPr>
              <w:t>10</w:t>
            </w:r>
            <w:r>
              <w:rPr>
                <w:rFonts w:ascii="Times New Roman" w:eastAsia="Times New Roman" w:hAnsi="Times New Roman" w:cs="Times New Roman"/>
                <w:sz w:val="24"/>
                <w:szCs w:val="24"/>
                <w:highlight w:val="white"/>
              </w:rPr>
              <w:t xml:space="preserve"> zile calendaristice de la data încheierii, de către partea care a inițiat negocierea, la Ministerul Muncii și Protecției Sociale, iar în cazul convențiilor colective aplicabile sectorului bugetar, și la Ministerul Finanțelor.</w:t>
            </w:r>
          </w:p>
          <w:p w14:paraId="7301E338"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2C2D830E" w14:textId="188D968E" w:rsidR="0021239A"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Această redacție exclude incertitudinea privind partea responsabilă de transmiterea convenției și previne riscul neexecutării obligației în termenul prevăzut de lege.</w:t>
            </w:r>
          </w:p>
        </w:tc>
      </w:tr>
      <w:tr w:rsidR="00315874" w14:paraId="5E908C8A" w14:textId="77777777">
        <w:trPr>
          <w:trHeight w:val="840"/>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2AF7DD8F"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01FB8C5F" w14:textId="77777777" w:rsidR="00315874" w:rsidRDefault="00315874">
            <w:pPr>
              <w:spacing w:line="240" w:lineRule="auto"/>
              <w:jc w:val="center"/>
              <w:rPr>
                <w:rFonts w:ascii="Times New Roman" w:eastAsia="Times New Roman" w:hAnsi="Times New Roman" w:cs="Times New Roman"/>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2A44CEB0"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La </w:t>
            </w:r>
            <w:r>
              <w:rPr>
                <w:rFonts w:ascii="Times New Roman" w:eastAsia="Times New Roman" w:hAnsi="Times New Roman" w:cs="Times New Roman"/>
                <w:b/>
                <w:bCs/>
                <w:sz w:val="24"/>
                <w:szCs w:val="24"/>
                <w:highlight w:val="white"/>
              </w:rPr>
              <w:t>pct. 6 - 8</w:t>
            </w:r>
            <w:r>
              <w:rPr>
                <w:rFonts w:ascii="Times New Roman" w:eastAsia="Times New Roman" w:hAnsi="Times New Roman" w:cs="Times New Roman"/>
                <w:sz w:val="24"/>
                <w:szCs w:val="24"/>
                <w:highlight w:val="white"/>
              </w:rPr>
              <w:t xml:space="preserve"> se va revedea expresia „</w:t>
            </w:r>
            <w:r>
              <w:rPr>
                <w:rFonts w:ascii="Times New Roman" w:eastAsia="Times New Roman" w:hAnsi="Times New Roman" w:cs="Times New Roman"/>
                <w:i/>
                <w:iCs/>
                <w:sz w:val="24"/>
                <w:szCs w:val="24"/>
                <w:highlight w:val="white"/>
              </w:rPr>
              <w:t>două săptămâni lucrătoare”</w:t>
            </w:r>
            <w:r>
              <w:rPr>
                <w:rFonts w:ascii="Times New Roman" w:eastAsia="Times New Roman" w:hAnsi="Times New Roman" w:cs="Times New Roman"/>
                <w:sz w:val="24"/>
                <w:szCs w:val="24"/>
                <w:highlight w:val="white"/>
              </w:rPr>
              <w:t>, întrucât aceasta nu este suficient de clară și poate genera interpretări diferite.</w:t>
            </w:r>
          </w:p>
          <w:p w14:paraId="2CB9F5EE"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Nu rezultă cu suficientă claritate dacă prin expresia „</w:t>
            </w:r>
            <w:r>
              <w:rPr>
                <w:rFonts w:ascii="Times New Roman" w:eastAsia="Times New Roman" w:hAnsi="Times New Roman" w:cs="Times New Roman"/>
                <w:i/>
                <w:iCs/>
                <w:sz w:val="24"/>
                <w:szCs w:val="24"/>
                <w:highlight w:val="white"/>
              </w:rPr>
              <w:t>două săptămâni lucrătoare</w:t>
            </w:r>
            <w:r>
              <w:rPr>
                <w:rFonts w:ascii="Times New Roman" w:eastAsia="Times New Roman" w:hAnsi="Times New Roman" w:cs="Times New Roman"/>
                <w:sz w:val="24"/>
                <w:szCs w:val="24"/>
                <w:highlight w:val="white"/>
              </w:rPr>
              <w:t xml:space="preserve">” autorul urmărește menținerea duratei actuale de 14 zile calendaristice de concediu neîntrerupt sau instituirea unei perioade calculate exclusiv în raport cu zilele lucrătoare. </w:t>
            </w:r>
          </w:p>
          <w:p w14:paraId="751C7A95"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În prima ipoteză, modificarea apare lipsită de utilitate normativă, deoarece înlocuiește o noțiune clară cu una </w:t>
            </w:r>
            <w:r>
              <w:rPr>
                <w:rFonts w:ascii="Times New Roman" w:eastAsia="Times New Roman" w:hAnsi="Times New Roman" w:cs="Times New Roman"/>
                <w:sz w:val="24"/>
                <w:szCs w:val="24"/>
                <w:highlight w:val="white"/>
              </w:rPr>
              <w:lastRenderedPageBreak/>
              <w:t>susceptibilă de interpretări, fără a produce un efect juridic distinct.</w:t>
            </w:r>
          </w:p>
          <w:p w14:paraId="60979F23"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În cea de-a doua ipoteză, modificarea ar conduce la extinderea duratei minime a concediului neîntrerupt și nu rezultă în mod explicit din textul proiectului.</w:t>
            </w:r>
          </w:p>
          <w:p w14:paraId="33C0E90B"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Prin urmare, utilizarea calificativului „</w:t>
            </w:r>
            <w:r>
              <w:rPr>
                <w:rFonts w:ascii="Times New Roman" w:eastAsia="Times New Roman" w:hAnsi="Times New Roman" w:cs="Times New Roman"/>
                <w:i/>
                <w:iCs/>
                <w:sz w:val="24"/>
                <w:szCs w:val="24"/>
                <w:highlight w:val="white"/>
              </w:rPr>
              <w:t>lucrătoare</w:t>
            </w:r>
            <w:r>
              <w:rPr>
                <w:rFonts w:ascii="Times New Roman" w:eastAsia="Times New Roman" w:hAnsi="Times New Roman" w:cs="Times New Roman"/>
                <w:sz w:val="24"/>
                <w:szCs w:val="24"/>
                <w:highlight w:val="white"/>
              </w:rPr>
              <w:t>” generează ambiguitate cu privire la modalitatea de calcul a perioadei minime de concediu. În vederea evitării interpretărilor divergente, se recomandă menținerea sintagmei „</w:t>
            </w:r>
            <w:r>
              <w:rPr>
                <w:rFonts w:ascii="Times New Roman" w:eastAsia="Times New Roman" w:hAnsi="Times New Roman" w:cs="Times New Roman"/>
                <w:i/>
                <w:iCs/>
                <w:sz w:val="24"/>
                <w:szCs w:val="24"/>
                <w:highlight w:val="white"/>
              </w:rPr>
              <w:t>14 zile calendaristice</w:t>
            </w:r>
            <w:r>
              <w:rPr>
                <w:rFonts w:ascii="Times New Roman" w:eastAsia="Times New Roman" w:hAnsi="Times New Roman" w:cs="Times New Roman"/>
                <w:sz w:val="24"/>
                <w:szCs w:val="24"/>
                <w:highlight w:val="white"/>
              </w:rPr>
              <w:t>” sau excluderea cuvântului „</w:t>
            </w:r>
            <w:r>
              <w:rPr>
                <w:rFonts w:ascii="Times New Roman" w:eastAsia="Times New Roman" w:hAnsi="Times New Roman" w:cs="Times New Roman"/>
                <w:i/>
                <w:iCs/>
                <w:sz w:val="24"/>
                <w:szCs w:val="24"/>
                <w:highlight w:val="white"/>
              </w:rPr>
              <w:t>lucrătoare</w:t>
            </w:r>
            <w:r>
              <w:rPr>
                <w:rFonts w:ascii="Times New Roman" w:eastAsia="Times New Roman" w:hAnsi="Times New Roman" w:cs="Times New Roman"/>
                <w:sz w:val="24"/>
                <w:szCs w:val="24"/>
                <w:highlight w:val="white"/>
              </w:rPr>
              <w:t>” sau, dacă intenția legiuitorului este de a modifica modalitatea de calcul, aceasta urmează a fi reglementată în mod expres și neechivoc. Obiecția dată este valabilă și pentru restul cazurilor similare din proiect.</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0AB910FC"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Se acceptă.</w:t>
            </w:r>
          </w:p>
          <w:p w14:paraId="78CD39AF"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742AD9DE"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Pentru evitarea interpretărilor neuniforme, proiectul va fi modificat prin substituirea expresiei „două săptămâni lucrătoare” cu sintagma „10 zile lucrătoare” în toate cazurile similare.</w:t>
            </w:r>
          </w:p>
          <w:p w14:paraId="2AF51E0C"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188E8AB4"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Această redacție exprimă în mod clar intenția proiectului de a stabili perioada minimă de concediu neîntrerupt prin raportare la zile lucrătoare și exclude interpretările divergente privind </w:t>
            </w:r>
            <w:r>
              <w:rPr>
                <w:rFonts w:ascii="Times New Roman" w:eastAsia="Times New Roman" w:hAnsi="Times New Roman" w:cs="Times New Roman"/>
                <w:sz w:val="24"/>
                <w:szCs w:val="24"/>
                <w:highlight w:val="white"/>
              </w:rPr>
              <w:lastRenderedPageBreak/>
              <w:t>menținerea duratei de 14 zile calendaristice sau calcularea acesteia după o altă metodă.</w:t>
            </w:r>
          </w:p>
          <w:p w14:paraId="2F6BD4C9"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56CF021A" w14:textId="77777777" w:rsidR="00315874" w:rsidRDefault="00315874">
            <w:pPr>
              <w:shd w:val="clear" w:color="auto" w:fill="FFFFFF"/>
              <w:jc w:val="both"/>
              <w:rPr>
                <w:rFonts w:ascii="Times New Roman" w:eastAsia="Times New Roman" w:hAnsi="Times New Roman" w:cs="Times New Roman"/>
                <w:sz w:val="24"/>
                <w:szCs w:val="24"/>
                <w:highlight w:val="white"/>
              </w:rPr>
            </w:pPr>
          </w:p>
        </w:tc>
      </w:tr>
      <w:tr w:rsidR="00315874" w14:paraId="7013FDFE" w14:textId="77777777">
        <w:trPr>
          <w:trHeight w:val="840"/>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6A6C75F4"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5DF5FA17" w14:textId="77777777" w:rsidR="00315874" w:rsidRDefault="00315874">
            <w:pPr>
              <w:spacing w:line="240" w:lineRule="auto"/>
              <w:jc w:val="center"/>
              <w:rPr>
                <w:rFonts w:ascii="Times New Roman" w:eastAsia="Times New Roman" w:hAnsi="Times New Roman" w:cs="Times New Roman"/>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40882623"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La </w:t>
            </w:r>
            <w:r>
              <w:rPr>
                <w:rFonts w:ascii="Times New Roman" w:eastAsia="Times New Roman" w:hAnsi="Times New Roman" w:cs="Times New Roman"/>
                <w:b/>
                <w:bCs/>
                <w:sz w:val="24"/>
                <w:szCs w:val="24"/>
                <w:highlight w:val="white"/>
              </w:rPr>
              <w:t xml:space="preserve">Art. VI </w:t>
            </w:r>
            <w:r>
              <w:rPr>
                <w:rFonts w:ascii="Times New Roman" w:eastAsia="Times New Roman" w:hAnsi="Times New Roman" w:cs="Times New Roman"/>
                <w:i/>
                <w:iCs/>
                <w:sz w:val="24"/>
                <w:szCs w:val="24"/>
                <w:highlight w:val="white"/>
              </w:rPr>
              <w:t>(Legea nr. 162/2005 cu privire la statutul militarilor</w:t>
            </w:r>
            <w:r>
              <w:rPr>
                <w:rFonts w:ascii="Times New Roman" w:eastAsia="Times New Roman" w:hAnsi="Times New Roman" w:cs="Times New Roman"/>
                <w:sz w:val="24"/>
                <w:szCs w:val="24"/>
                <w:highlight w:val="white"/>
              </w:rPr>
              <w:t>):</w:t>
            </w:r>
          </w:p>
          <w:p w14:paraId="422BE821"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Se va revedea completarea propusă la art. 14 alin. (12), în partea ce ține de sintagma „</w:t>
            </w:r>
            <w:r>
              <w:rPr>
                <w:rFonts w:ascii="Times New Roman" w:eastAsia="Times New Roman" w:hAnsi="Times New Roman" w:cs="Times New Roman"/>
                <w:i/>
                <w:iCs/>
                <w:sz w:val="24"/>
                <w:szCs w:val="24"/>
                <w:highlight w:val="white"/>
              </w:rPr>
              <w:t>în limita alocațiilor bugetare aprobate și cu respectarea principiilor de sustenabilitate financiară</w:t>
            </w:r>
            <w:r>
              <w:rPr>
                <w:rFonts w:ascii="Times New Roman" w:eastAsia="Times New Roman" w:hAnsi="Times New Roman" w:cs="Times New Roman"/>
                <w:sz w:val="24"/>
                <w:szCs w:val="24"/>
                <w:highlight w:val="white"/>
              </w:rPr>
              <w:t>”, întrucât aceasta poate afecta exercitarea unui drept consacrat de lege.</w:t>
            </w:r>
          </w:p>
          <w:p w14:paraId="2975048B"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Din redactarea propusă nu rezultă cu claritate care este efectul juridic al condiționării acordării concediului de odihnă anual suplimentar de existența alocațiilor bugetare </w:t>
            </w:r>
            <w:r>
              <w:rPr>
                <w:rFonts w:ascii="Times New Roman" w:eastAsia="Times New Roman" w:hAnsi="Times New Roman" w:cs="Times New Roman"/>
                <w:sz w:val="24"/>
                <w:szCs w:val="24"/>
                <w:highlight w:val="white"/>
              </w:rPr>
              <w:lastRenderedPageBreak/>
              <w:t>aprobate. O asemenea formulare poate conduce la interpretarea că exercitarea dreptului la concediu anual suplimentar plătit este dependentă de disponibilitatea resurselor financiare ale autorității publice, ceea ce este incompatibil cu natura dreptului la concediu, odată ce acesta este recunoscut.</w:t>
            </w:r>
          </w:p>
          <w:p w14:paraId="093C1813"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În cazul în care cadrul normativ conferă militarilor dreptul la concediu de odihnă anual suplimentar plătit, insuficiența alocațiilor bugetare nu poate constitui, prin ea însăși, un temei pentru refuzul acordării acestuia sau pentru limitarea exercițiului dreptului. Aspectele ce țin de planificarea și asigurarea resurselor financiare necesare revin autorităților competente și nu pot fi transferate asupra titularilor dreptului. Sub acest aspect se vor revizui și restul prevederilor similare.</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617440A1"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Se acceptă parțial.</w:t>
            </w:r>
          </w:p>
          <w:p w14:paraId="43E05560" w14:textId="77777777" w:rsidR="00315874"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Prevederea nu se referă la limitarea acordării unor garanții suplimentare salariaților, </w:t>
            </w:r>
            <w:r>
              <w:rPr>
                <w:rFonts w:ascii="Times New Roman" w:eastAsia="Times New Roman" w:hAnsi="Times New Roman" w:cs="Times New Roman"/>
                <w:sz w:val="24"/>
                <w:szCs w:val="24"/>
                <w:highlight w:val="white"/>
              </w:rPr>
              <w:t xml:space="preserve">referința la limitele alocațiilor bugetare aprobate poate fi menținută doar ca criteriu aplicabil la stabilirea sau negocierea unor concedii suplimentare </w:t>
            </w:r>
            <w:r>
              <w:rPr>
                <w:rFonts w:ascii="Times New Roman" w:eastAsia="Times New Roman" w:hAnsi="Times New Roman" w:cs="Times New Roman"/>
                <w:sz w:val="24"/>
                <w:szCs w:val="24"/>
              </w:rPr>
              <w:t>prin contractele colective de muncă și convențiile colective,</w:t>
            </w:r>
            <w:r>
              <w:rPr>
                <w:rFonts w:ascii="Times New Roman" w:eastAsia="Times New Roman" w:hAnsi="Times New Roman" w:cs="Times New Roman"/>
                <w:sz w:val="24"/>
                <w:szCs w:val="24"/>
                <w:highlight w:val="white"/>
              </w:rPr>
              <w:t xml:space="preserve"> față de drepturile prevăzute expres de lege, nu ca temei pentru refuzul acordării unui concediu legal.</w:t>
            </w:r>
          </w:p>
          <w:p w14:paraId="10382B81" w14:textId="77777777" w:rsidR="00315874" w:rsidRDefault="00315874">
            <w:pPr>
              <w:jc w:val="both"/>
              <w:rPr>
                <w:rFonts w:ascii="Times New Roman" w:eastAsia="Times New Roman" w:hAnsi="Times New Roman" w:cs="Times New Roman"/>
                <w:sz w:val="24"/>
                <w:szCs w:val="24"/>
              </w:rPr>
            </w:pPr>
          </w:p>
          <w:p w14:paraId="55E9AF5B"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 xml:space="preserve">Prin urmare reprezentanții salariaților și angajatorii trebuie să se asigure ca la etapa de planificare și asumare a unor drepturi suplimentare aceste drepturi vor putea fi exercitate. </w:t>
            </w:r>
          </w:p>
          <w:p w14:paraId="00F91872"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6F2B6D7B" w14:textId="77777777" w:rsidR="00315874" w:rsidRDefault="00315874">
            <w:pPr>
              <w:shd w:val="clear" w:color="auto" w:fill="FFFFFF"/>
              <w:jc w:val="both"/>
              <w:rPr>
                <w:rFonts w:ascii="Times New Roman" w:eastAsia="Times New Roman" w:hAnsi="Times New Roman" w:cs="Times New Roman"/>
                <w:sz w:val="24"/>
                <w:szCs w:val="24"/>
                <w:highlight w:val="white"/>
              </w:rPr>
            </w:pPr>
          </w:p>
        </w:tc>
      </w:tr>
      <w:tr w:rsidR="00315874" w14:paraId="6226AD4F" w14:textId="77777777">
        <w:trPr>
          <w:trHeight w:val="840"/>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4A03FDD2"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162D4792" w14:textId="77777777" w:rsidR="00315874" w:rsidRDefault="00315874">
            <w:pPr>
              <w:spacing w:line="240" w:lineRule="auto"/>
              <w:jc w:val="center"/>
              <w:rPr>
                <w:rFonts w:ascii="Times New Roman" w:eastAsia="Times New Roman" w:hAnsi="Times New Roman" w:cs="Times New Roman"/>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621F5D31"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La </w:t>
            </w:r>
            <w:r>
              <w:rPr>
                <w:rFonts w:ascii="Times New Roman" w:eastAsia="Times New Roman" w:hAnsi="Times New Roman" w:cs="Times New Roman"/>
                <w:b/>
                <w:bCs/>
                <w:sz w:val="24"/>
                <w:szCs w:val="24"/>
                <w:highlight w:val="white"/>
              </w:rPr>
              <w:t>Art. IX</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i/>
                <w:iCs/>
                <w:sz w:val="24"/>
                <w:szCs w:val="24"/>
                <w:highlight w:val="white"/>
              </w:rPr>
              <w:t>Legea nr. 158/2008 cu privire la funcția publică și statutul funcționarului public</w:t>
            </w:r>
            <w:r>
              <w:rPr>
                <w:rFonts w:ascii="Times New Roman" w:eastAsia="Times New Roman" w:hAnsi="Times New Roman" w:cs="Times New Roman"/>
                <w:sz w:val="24"/>
                <w:szCs w:val="24"/>
                <w:highlight w:val="white"/>
              </w:rPr>
              <w:t>):</w:t>
            </w:r>
          </w:p>
          <w:p w14:paraId="684700A2"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Cu referire la modificarea propusă la art. 42 alin. (3), prin care textul „</w:t>
            </w:r>
            <w:r>
              <w:rPr>
                <w:rFonts w:ascii="Times New Roman" w:eastAsia="Times New Roman" w:hAnsi="Times New Roman" w:cs="Times New Roman"/>
                <w:i/>
                <w:iCs/>
                <w:sz w:val="24"/>
                <w:szCs w:val="24"/>
                <w:highlight w:val="white"/>
              </w:rPr>
              <w:t>15% din salariul de bază determinat conform clasei de salarizare</w:t>
            </w:r>
            <w:r>
              <w:rPr>
                <w:rFonts w:ascii="Times New Roman" w:eastAsia="Times New Roman" w:hAnsi="Times New Roman" w:cs="Times New Roman"/>
                <w:sz w:val="24"/>
                <w:szCs w:val="24"/>
                <w:highlight w:val="white"/>
              </w:rPr>
              <w:t>” se substituie cu textul „</w:t>
            </w:r>
            <w:r>
              <w:rPr>
                <w:rFonts w:ascii="Times New Roman" w:eastAsia="Times New Roman" w:hAnsi="Times New Roman" w:cs="Times New Roman"/>
                <w:i/>
                <w:iCs/>
                <w:sz w:val="24"/>
                <w:szCs w:val="24"/>
                <w:highlight w:val="white"/>
              </w:rPr>
              <w:t>15% din salariul lunar stabilit”</w:t>
            </w:r>
            <w:r>
              <w:rPr>
                <w:rFonts w:ascii="Times New Roman" w:eastAsia="Times New Roman" w:hAnsi="Times New Roman" w:cs="Times New Roman"/>
                <w:sz w:val="24"/>
                <w:szCs w:val="24"/>
                <w:highlight w:val="white"/>
              </w:rPr>
              <w:t>, se constată că propunerea necesită clarificări suplimentare sub aspectul determinării bazei de calcul a indemnizației.</w:t>
            </w:r>
          </w:p>
          <w:p w14:paraId="06F02CE8"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În prezent, norma stabilește expres că indemnizația unică se calculează din salariul de bază determinat conform </w:t>
            </w:r>
            <w:r>
              <w:rPr>
                <w:rFonts w:ascii="Times New Roman" w:eastAsia="Times New Roman" w:hAnsi="Times New Roman" w:cs="Times New Roman"/>
                <w:sz w:val="24"/>
                <w:szCs w:val="24"/>
                <w:highlight w:val="white"/>
              </w:rPr>
              <w:lastRenderedPageBreak/>
              <w:t>clasei de salarizare la data depunerii cererii. În schimb, proiectul utilizează noțiunea de „</w:t>
            </w:r>
            <w:r>
              <w:rPr>
                <w:rFonts w:ascii="Times New Roman" w:eastAsia="Times New Roman" w:hAnsi="Times New Roman" w:cs="Times New Roman"/>
                <w:i/>
                <w:iCs/>
                <w:sz w:val="24"/>
                <w:szCs w:val="24"/>
                <w:highlight w:val="white"/>
              </w:rPr>
              <w:t>salariul lunar stabilit”</w:t>
            </w:r>
            <w:r>
              <w:rPr>
                <w:rFonts w:ascii="Times New Roman" w:eastAsia="Times New Roman" w:hAnsi="Times New Roman" w:cs="Times New Roman"/>
                <w:sz w:val="24"/>
                <w:szCs w:val="24"/>
                <w:highlight w:val="white"/>
              </w:rPr>
              <w:t>, fără a defini conținutul acesteia și fără a preciza care elemente salariale sunt avute în vedere la determinarea bazei de calcul.</w:t>
            </w:r>
          </w:p>
          <w:p w14:paraId="46F782E4"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Din formularea propusă nu rezultă cu suficientă claritate care sunt componentele salariului lunar ce urmează a fi incluse în baza de calcul a indemnizației și nici modalitatea de determinare a acesteia la data depunerii cererii, în special în situațiile în care unele componente salariale au caracter variabil, se acordă periodic sau pot suferi modificări de la o lună la alta.</w:t>
            </w:r>
          </w:p>
          <w:p w14:paraId="20655107"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În lipsa acestor precizări, norma nu permite determinarea cu suficientă claritate și previzibilitate a bazei de calcul a indemnizației, ceea ce poate genera interpretări divergente și o aplicare neuniformă de către autoritățile publice.</w:t>
            </w:r>
          </w:p>
          <w:p w14:paraId="69E2381B"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Prin urmare, se recomandă completarea proiectului cu prevederi exprese privind elementele salariale care constituie baza de calcul a indemnizației și modalitatea de determinare a acesteia. </w:t>
            </w:r>
          </w:p>
          <w:p w14:paraId="268F575A"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În cazul în care intenția autorului este ca aceasta să fie determinată potrivit regulilor de calcul al salariului mediu, se consideră oportună corelarea modificărilor propuse cu Hotărârea Guvernului nr. 426/2004 privind </w:t>
            </w:r>
            <w:r>
              <w:rPr>
                <w:rFonts w:ascii="Times New Roman" w:eastAsia="Times New Roman" w:hAnsi="Times New Roman" w:cs="Times New Roman"/>
                <w:sz w:val="24"/>
                <w:szCs w:val="24"/>
                <w:highlight w:val="white"/>
              </w:rPr>
              <w:lastRenderedPageBreak/>
              <w:t>aprobarea Modului de calculare a salariului mediu, prin introducerea clarificărilor necesare referitoare la determinarea salariului lunar utilizat pentru calcularea indemnizației.</w:t>
            </w:r>
          </w:p>
          <w:p w14:paraId="6416CE9E" w14:textId="77777777" w:rsidR="00315874" w:rsidRDefault="00315874">
            <w:pPr>
              <w:jc w:val="both"/>
              <w:rPr>
                <w:rFonts w:ascii="Times New Roman" w:eastAsia="Times New Roman" w:hAnsi="Times New Roman" w:cs="Times New Roman"/>
                <w:sz w:val="24"/>
                <w:szCs w:val="24"/>
                <w:highlight w:val="white"/>
              </w:rPr>
            </w:pP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5A0162B5" w14:textId="77777777" w:rsidR="00315874" w:rsidRDefault="00000000">
            <w:pPr>
              <w:shd w:val="clear" w:color="auto" w:fill="FFFFFF"/>
              <w:spacing w:after="240"/>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Se acceptă.</w:t>
            </w:r>
          </w:p>
          <w:p w14:paraId="02349565" w14:textId="77777777" w:rsidR="00315874" w:rsidRDefault="00000000">
            <w:pPr>
              <w:shd w:val="clear" w:color="auto" w:fill="FFFFFF"/>
              <w:spacing w:before="240" w:after="24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Pentru claritate și aplicare uniformă, proiectul va fi modificat prin precizarea expresă a bazei de calcul a indemnizației unice prevăzute la art. 42 alin. (3) din Legea nr. 158/2008.</w:t>
            </w:r>
          </w:p>
          <w:p w14:paraId="3653FCCA" w14:textId="77777777" w:rsidR="00315874" w:rsidRDefault="00000000">
            <w:pPr>
              <w:shd w:val="clear" w:color="auto" w:fill="FFFFFF"/>
              <w:spacing w:before="240" w:after="24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Articolul va avea următorul cuprins:</w:t>
            </w:r>
          </w:p>
          <w:p w14:paraId="4F159498" w14:textId="77777777" w:rsidR="00315874" w:rsidRDefault="00000000">
            <w:pPr>
              <w:shd w:val="clear" w:color="auto" w:fill="FFFFFF"/>
              <w:spacing w:before="240" w:after="24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„1. La articolul 42 alineatul (3), textul „15% din salariul de bază determinat conform clasei de salarizare” se substituie cu </w:t>
            </w:r>
            <w:r>
              <w:rPr>
                <w:rFonts w:ascii="Times New Roman" w:eastAsia="Times New Roman" w:hAnsi="Times New Roman" w:cs="Times New Roman"/>
                <w:sz w:val="24"/>
                <w:szCs w:val="24"/>
                <w:highlight w:val="white"/>
              </w:rPr>
              <w:t>textul „15% din salariul de bază lunar stabilit pentru funcția deținută, determinat conform clasei de salarizare, la data depunerii cererii”.”</w:t>
            </w:r>
          </w:p>
          <w:p w14:paraId="09F27971" w14:textId="77777777" w:rsidR="00315874" w:rsidRDefault="00000000">
            <w:pPr>
              <w:shd w:val="clear" w:color="auto" w:fill="FFFFFF"/>
              <w:spacing w:before="240" w:after="24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Această redacție menține caracterul previzibil al bazei de calcul și exclude interpretarea potrivit căreia în baza de calcul ar urma să fie incluse sporurile, suplimentele, premiile, plățile compensatorii sau alte componente salariale cu caracter variabil ori ocazional. Prin urmare, nu este necesară aplicarea regulilor privind calcularea salariului mediu potrivit Hotărârii Guvernului nr. 426/2004.</w:t>
            </w:r>
          </w:p>
          <w:p w14:paraId="36299EF2"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75C37AE9"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674F240B" w14:textId="77777777" w:rsidR="00315874" w:rsidRDefault="00315874">
            <w:pPr>
              <w:shd w:val="clear" w:color="auto" w:fill="FFFFFF"/>
              <w:jc w:val="both"/>
              <w:rPr>
                <w:rFonts w:ascii="Times New Roman" w:eastAsia="Times New Roman" w:hAnsi="Times New Roman" w:cs="Times New Roman"/>
                <w:sz w:val="24"/>
                <w:szCs w:val="24"/>
                <w:highlight w:val="white"/>
              </w:rPr>
            </w:pPr>
          </w:p>
        </w:tc>
      </w:tr>
      <w:tr w:rsidR="00315874" w14:paraId="72274990" w14:textId="77777777">
        <w:trPr>
          <w:trHeight w:val="840"/>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00D39E73"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517240B9" w14:textId="77777777" w:rsidR="00315874" w:rsidRDefault="00315874">
            <w:pPr>
              <w:spacing w:line="240" w:lineRule="auto"/>
              <w:jc w:val="center"/>
              <w:rPr>
                <w:rFonts w:ascii="Times New Roman" w:eastAsia="Times New Roman" w:hAnsi="Times New Roman" w:cs="Times New Roman"/>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2729D3B9"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Subsidiar, considerăm că abrogarea garanției sociale privind acordarea zilelor suplimentare de concediu pentru vechimea în serviciul public (art. 43 alin. (2)) afectează una dintre puținele garanții sociale de care beneficiau funcționarilor publici. Prevederea normativă prin care se acordau zile suplimentare de concediu în funcție de vechimea în serviciul public reprezintă o recunoaștere firească a loialității, experienței și contribuției funcționarilor publici pe termen lung. </w:t>
            </w:r>
          </w:p>
          <w:p w14:paraId="0AAC2F56"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În sectorul bugetar, această măsură are rolul de a stimula funcționarii să rămână în sistem pe termen lung. Ea compensează, de asemenea, responsabilitățile administrative mari și restricțiile legale stricte pe care le implică statutul de funcționar public.</w:t>
            </w:r>
          </w:p>
          <w:p w14:paraId="0AA0A287"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Egalarea zilelor de concediu între un debutant și un funcționar cu 25 de ani de experiență anulează o formă importantă de recunoaștere a loialității și a uzurii profesionale. Or, un angajat cu 25 de ani de vechime în administrația publică are un nivel de uzură acumulat considerabil mai mare decât un tânăr de 23 de ani și, prin </w:t>
            </w:r>
            <w:r>
              <w:rPr>
                <w:rFonts w:ascii="Times New Roman" w:eastAsia="Times New Roman" w:hAnsi="Times New Roman" w:cs="Times New Roman"/>
                <w:sz w:val="24"/>
                <w:szCs w:val="24"/>
                <w:highlight w:val="white"/>
              </w:rPr>
              <w:lastRenderedPageBreak/>
              <w:t>urmare, timpul suplimentar de refacere era justificat medical și biologic pentru menținerea productivității pe termen lung la vârste mai înaintate.</w:t>
            </w:r>
          </w:p>
          <w:p w14:paraId="4F87D5EE" w14:textId="77777777" w:rsidR="00315874" w:rsidRDefault="00000000">
            <w:pPr>
              <w:jc w:val="both"/>
              <w:rPr>
                <w:rFonts w:ascii="Times New Roman" w:eastAsia="Times New Roman" w:hAnsi="Times New Roman" w:cs="Times New Roman"/>
                <w:i/>
                <w:iCs/>
                <w:sz w:val="24"/>
                <w:szCs w:val="24"/>
                <w:highlight w:val="white"/>
              </w:rPr>
            </w:pPr>
            <w:r>
              <w:rPr>
                <w:rFonts w:ascii="Times New Roman" w:eastAsia="Times New Roman" w:hAnsi="Times New Roman" w:cs="Times New Roman"/>
                <w:sz w:val="24"/>
                <w:szCs w:val="24"/>
                <w:highlight w:val="white"/>
              </w:rPr>
              <w:t xml:space="preserve">Totodată, abrogarea totală a zilelor de concediu suplimentar încalcă principiul încrederii legitime și al securității juridice care reprezintă un pilon fundamental al statului de drept, garantat de </w:t>
            </w:r>
            <w:r>
              <w:rPr>
                <w:rFonts w:ascii="Times New Roman" w:eastAsia="Times New Roman" w:hAnsi="Times New Roman" w:cs="Times New Roman"/>
                <w:i/>
                <w:iCs/>
                <w:sz w:val="24"/>
                <w:szCs w:val="24"/>
                <w:highlight w:val="white"/>
              </w:rPr>
              <w:t>Constituția Republicii Moldova.</w:t>
            </w:r>
          </w:p>
          <w:p w14:paraId="2926F0D7"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Prin urmare, considerăm că menținerea alin. (2) este esențială pentru respectarea principiilor de echitate și stabilitate, iar abrogarea acestuia ar reprezenta un regres în materia garanțiilor sociale ale funcționarilor publici.</w:t>
            </w:r>
          </w:p>
          <w:p w14:paraId="55F238BA"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La fel, semnalăm că, soluția normativă privind abrogarea garanției sociale privind acordarea zilelor suplimentare de concediu pentru vechimea în serviciul public este discutabilă în raport cu art. 54 din </w:t>
            </w:r>
            <w:r>
              <w:rPr>
                <w:rFonts w:ascii="Times New Roman" w:eastAsia="Times New Roman" w:hAnsi="Times New Roman" w:cs="Times New Roman"/>
                <w:i/>
                <w:iCs/>
                <w:sz w:val="24"/>
                <w:szCs w:val="24"/>
                <w:highlight w:val="white"/>
              </w:rPr>
              <w:t>Constituție</w:t>
            </w:r>
            <w:r>
              <w:rPr>
                <w:rFonts w:ascii="Times New Roman" w:eastAsia="Times New Roman" w:hAnsi="Times New Roman" w:cs="Times New Roman"/>
                <w:sz w:val="24"/>
                <w:szCs w:val="24"/>
                <w:highlight w:val="white"/>
              </w:rPr>
              <w:t xml:space="preserve"> (restrângerea exercițiului unor drepturi). Pentru a fi constituțională, restrângerea unui drept social trebuie să fie proporțională, temporară și justificată de un pericol public iminent. Art. 54 alin. (2) permiterestrângerea unor drepturi doar dacă este necesară pentru: securitatea națională, ordinea publică, protecția sănătății sau a moralei publice.</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4877227E" w14:textId="77777777" w:rsidR="00315874" w:rsidRDefault="00000000">
            <w:pPr>
              <w:shd w:val="clear" w:color="auto" w:fill="FFFFFF"/>
              <w:spacing w:after="240"/>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Nu se acceptă.</w:t>
            </w:r>
          </w:p>
          <w:p w14:paraId="1D731D55" w14:textId="77777777" w:rsidR="00315874" w:rsidRDefault="00000000">
            <w:pPr>
              <w:shd w:val="clear" w:color="auto" w:fill="FFFFFF"/>
              <w:spacing w:before="240" w:after="24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Observația reia argumentele formulate anterior privind menținerea concediilor suplimentare pentru vechime în serviciul public. Se menține soluția proiectului de abrogare a art. 43 alin. (2) din Legea nr. 158/2008.</w:t>
            </w:r>
          </w:p>
          <w:p w14:paraId="64390C62" w14:textId="77777777" w:rsidR="00315874" w:rsidRDefault="00000000">
            <w:pPr>
              <w:shd w:val="clear" w:color="auto" w:fill="FFFFFF"/>
              <w:spacing w:before="240" w:after="24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Concediul suplimentar acordat exclusiv în funcție de vechimea în serviciul public nu constituie o garanție indispensabilă a statutului funcționarului public și nici un drept constituțional distinct, ci o măsură de politică socială și de management al resurselor umane, care poate fi reevaluată de legiuitor în funcție de obiectivele urmărite.</w:t>
            </w:r>
          </w:p>
          <w:p w14:paraId="7B9D08E1" w14:textId="77777777" w:rsidR="00315874" w:rsidRDefault="00000000">
            <w:pPr>
              <w:shd w:val="clear" w:color="auto" w:fill="FFFFFF"/>
              <w:spacing w:before="240" w:after="24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Proiectul nu suprimă dreptul la concediu de odihnă anual plătit al funcționarilor publici. Dimpotrivă, acesta menține concediul anual de bază, exprimat în zile lucrătoare, și urmărește uniformizarea modului de calcul al concediilor, precum și orientarea acestora spre utilizarea efectivă a perioadei de odihnă.</w:t>
            </w:r>
          </w:p>
          <w:p w14:paraId="526A948D" w14:textId="77777777" w:rsidR="00315874" w:rsidRDefault="00000000">
            <w:pPr>
              <w:shd w:val="clear" w:color="auto" w:fill="FFFFFF"/>
              <w:spacing w:before="240" w:after="24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Invocarea art. 54 din Constituție nu este incidentă, întrucât proiectul nu restrânge exercițiul dreptului constituțional la odihnă, ci modifică regimul legal al unui beneficiu suplimentar acordat pentru vechime. Dreptul la odihnă rămâne garantat prin concediul anual plătit, iar durata minimă a acestuia este păstrată în condițiile stabilite de Codul muncii și legislația specială.</w:t>
            </w:r>
          </w:p>
          <w:p w14:paraId="5DD1C5F4" w14:textId="77777777" w:rsidR="00315874" w:rsidRDefault="00000000">
            <w:pPr>
              <w:shd w:val="clear" w:color="auto" w:fill="FFFFFF"/>
              <w:spacing w:before="240" w:after="24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Totodată, menținerea concediilor suplimentare acordate automat pentru vechime a contribuit în practică la acumularea soldurilor mari de concedii neutilizate, cu efecte financiare semnificative asupra bugetului public și cu diminuarea funcției reale a concediului, care trebuie să asigure odihna efectivă a salariatului.</w:t>
            </w:r>
          </w:p>
          <w:p w14:paraId="53A40E96" w14:textId="77777777" w:rsidR="00315874" w:rsidRDefault="00000000">
            <w:pPr>
              <w:shd w:val="clear" w:color="auto" w:fill="FFFFFF"/>
              <w:spacing w:before="240" w:after="24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Recunoașterea experienței, loialității și complexității atribuțiilor funcționarilor publici urmează a fi realizată prin politici salariale și mecanisme de motivare corespunzătoare, nu prin majorarea automată a soldurilor de concediu.</w:t>
            </w:r>
          </w:p>
          <w:p w14:paraId="57D06E60" w14:textId="77777777" w:rsidR="00315874" w:rsidRDefault="00315874">
            <w:pPr>
              <w:shd w:val="clear" w:color="auto" w:fill="FFFFFF"/>
              <w:jc w:val="both"/>
              <w:rPr>
                <w:rFonts w:ascii="Times New Roman" w:eastAsia="Times New Roman" w:hAnsi="Times New Roman" w:cs="Times New Roman"/>
                <w:sz w:val="24"/>
                <w:szCs w:val="24"/>
                <w:highlight w:val="white"/>
              </w:rPr>
            </w:pPr>
          </w:p>
        </w:tc>
      </w:tr>
      <w:tr w:rsidR="00315874" w14:paraId="6CC1A8B5" w14:textId="77777777">
        <w:trPr>
          <w:trHeight w:val="840"/>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683E20B5"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3279A249" w14:textId="77777777" w:rsidR="00315874" w:rsidRDefault="00315874">
            <w:pPr>
              <w:spacing w:line="240" w:lineRule="auto"/>
              <w:jc w:val="center"/>
              <w:rPr>
                <w:rFonts w:ascii="Times New Roman" w:eastAsia="Times New Roman" w:hAnsi="Times New Roman" w:cs="Times New Roman"/>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7F539EE3"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Referitor la argumentele autorului proiectului prin care se justifică reforma prin reducerea cheltuielilor de salarizare atenționăm că, în jurisprudența sa Curtea Constituțională a stabilit deja că rațiunile pur financiare sau de economie bugetară nu reprezintă un motiv constituțional valid pentru tăierea sau diminuarea unor drepturi sociale dobândite.</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46035889"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Nu se acceptă.</w:t>
            </w:r>
          </w:p>
          <w:p w14:paraId="0968532B"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024B5278"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Proiectul nu este fundamentat exclusiv pe rațiuni de economie bugetară și nu urmărește tăierea sau diminuarea unor drepturi sociale dobândite. Obiectivul principal al proiectului este uniformizarea modului de calcul al concediilor, trecerea de la exprimarea acestora în zile calendaristice la zile lucrătoare și orientarea concediului spre funcția sa reală: asigurarea odihnei efective a salariatului.</w:t>
            </w:r>
          </w:p>
          <w:p w14:paraId="1EA781C3"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1B29EA37"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Referințele la impactul financiar al soldurilor de concedii neutilizate nu constituie temeiul unic al intervenției legislative, ci descriu una dintre consecințele practice ale regimului actual, în care zilele suplimentare de concediu acordate automat au contribuit la acumularea unor solduri mari, reportate de la un an la altul, care ajung să fie compensate financiar la încetarea raporturilor de muncă.</w:t>
            </w:r>
          </w:p>
          <w:p w14:paraId="320AF854"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69E578C4"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Prin urmare, proiectul nu operează o restrângere a dreptului constituțional la odihnă și nu se întemeiază pe simpla insuficiență a mijloacelor bugetare. Dreptul la concediu anual plătit rămâne garantat, iar modificarea vizează regimul legal al unor beneficii suplimentare acordate pentru vechime, care pot fi reevaluate de legiuitor în cadrul politicilor de resurse umane.</w:t>
            </w:r>
          </w:p>
          <w:p w14:paraId="2356F7A2"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5A66C210"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În acest context, jurisprudența Curții Constituționale privind inadmisibilitatea justificării restrângerii unor drepturi exclusiv prin rațiuni financiare nu este incidentă, întrucât proiectul urmărește un obiectiv normativ mai larg, legat de claritatea, uniformitatea și funcționalitatea regimului concediilor.</w:t>
            </w:r>
          </w:p>
          <w:p w14:paraId="332FD334"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4CC6413D" w14:textId="77777777" w:rsidR="00315874" w:rsidRDefault="00315874">
            <w:pPr>
              <w:shd w:val="clear" w:color="auto" w:fill="FFFFFF"/>
              <w:jc w:val="both"/>
              <w:rPr>
                <w:rFonts w:ascii="Times New Roman" w:eastAsia="Times New Roman" w:hAnsi="Times New Roman" w:cs="Times New Roman"/>
                <w:sz w:val="24"/>
                <w:szCs w:val="24"/>
                <w:highlight w:val="white"/>
              </w:rPr>
            </w:pPr>
          </w:p>
        </w:tc>
      </w:tr>
      <w:tr w:rsidR="00315874" w14:paraId="1A5B2AD4" w14:textId="77777777">
        <w:trPr>
          <w:trHeight w:val="840"/>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5C722901"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229BF1F1" w14:textId="77777777" w:rsidR="00315874" w:rsidRDefault="00315874">
            <w:pPr>
              <w:spacing w:line="240" w:lineRule="auto"/>
              <w:jc w:val="center"/>
              <w:rPr>
                <w:rFonts w:ascii="Times New Roman" w:eastAsia="Times New Roman" w:hAnsi="Times New Roman" w:cs="Times New Roman"/>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539D7794"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Cu privire la mijloacele bugetare disponibile, Curtea a stabilit că, insuficiența declarată a resurselor bugetare nu reprezintă un considerent obiectiv și rezonabil pentru restrângerea exercițiului drepturilor constituționale (Hotărârea Curții Constituționale nr. 6 din 10 martie 2020, § 82, Hotărârea Curții Constituționale nr. 3 din 24 februarie 2022, § 49 ). În situații similare, și Curtea Europeană a Drepturilor Omului a reținut că nici complexitatea sistemului bugetar de stat, nici lipsa de fonduri sau alte resurse nu pot exonera statul de obligațiile sale în baza Convenției (a se vedea, mutatis mutandis, </w:t>
            </w:r>
            <w:r>
              <w:rPr>
                <w:rFonts w:ascii="Times New Roman" w:eastAsia="Times New Roman" w:hAnsi="Times New Roman" w:cs="Times New Roman"/>
                <w:i/>
                <w:iCs/>
                <w:sz w:val="24"/>
                <w:szCs w:val="24"/>
                <w:highlight w:val="white"/>
              </w:rPr>
              <w:t>Burdov v. Rusia</w:t>
            </w:r>
            <w:r>
              <w:rPr>
                <w:rFonts w:ascii="Times New Roman" w:eastAsia="Times New Roman" w:hAnsi="Times New Roman" w:cs="Times New Roman"/>
                <w:sz w:val="24"/>
                <w:szCs w:val="24"/>
                <w:highlight w:val="white"/>
              </w:rPr>
              <w:t xml:space="preserve"> (nr. 2), 15 ianuarie 2019, § 70; </w:t>
            </w:r>
            <w:r>
              <w:rPr>
                <w:rFonts w:ascii="Times New Roman" w:eastAsia="Times New Roman" w:hAnsi="Times New Roman" w:cs="Times New Roman"/>
                <w:i/>
                <w:iCs/>
                <w:sz w:val="24"/>
                <w:szCs w:val="24"/>
                <w:highlight w:val="white"/>
              </w:rPr>
              <w:t>Fedulov v. Rusia</w:t>
            </w:r>
            <w:r>
              <w:rPr>
                <w:rFonts w:ascii="Times New Roman" w:eastAsia="Times New Roman" w:hAnsi="Times New Roman" w:cs="Times New Roman"/>
                <w:sz w:val="24"/>
                <w:szCs w:val="24"/>
                <w:highlight w:val="white"/>
              </w:rPr>
              <w:t>, 8 octombrie 2019, §§ 79-80) (Hotărârea Curții Constituționale nr. 16 din 20 mai 2021, § 69).</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5B01381D"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Nu se acceptă.</w:t>
            </w:r>
          </w:p>
          <w:p w14:paraId="58D29816"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22215EE2"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Jurisprudența invocată nu este incidentă în prezenta situație, întrucât proiectul nu instituie posibilitatea refuzului acordării unui drept legal pe motiv de insuficiență a mijloacelor bugetare și nu condiționează exercitarea dreptului la concediu de existența resurselor financiare disponibile.</w:t>
            </w:r>
          </w:p>
          <w:p w14:paraId="7541C43D"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77124494"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Proiectul nu se întemeiază pe lipsa fondurilor ca motiv de restrângere a unui drept constituțional, ci urmărește uniformizarea modului de calcul al concediilor, trecerea de la zile calendaristice la zile lucrătoare și descurajarea acumulării soldurilor mari de concedii neutilizate.</w:t>
            </w:r>
          </w:p>
          <w:p w14:paraId="12DDDBAD"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644143B4"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Referințele la impactul bugetar al soldurilor de concedii neutilizate descriu consecințele practice ale regimului actual și justifică necesitatea unei politici publice mai coerente în </w:t>
            </w:r>
            <w:r>
              <w:rPr>
                <w:rFonts w:ascii="Times New Roman" w:eastAsia="Times New Roman" w:hAnsi="Times New Roman" w:cs="Times New Roman"/>
                <w:sz w:val="24"/>
                <w:szCs w:val="24"/>
                <w:highlight w:val="white"/>
              </w:rPr>
              <w:lastRenderedPageBreak/>
              <w:t>administrarea concediilor, fără a transforma criteriul bugetar într-un temei de refuz al dreptului la odihnă.</w:t>
            </w:r>
          </w:p>
          <w:p w14:paraId="36CF31A6"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45B07E4D"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Dreptul la concediu anual plătit rămâne garantat. Modificarea vizează regimul unor beneficii suplimentare acordate prin lege, care pot fi reevaluate de legiuitor în funcție de obiectivele de politică socială, management al resurselor umane și utilizare efectivă a concediului.</w:t>
            </w:r>
          </w:p>
          <w:p w14:paraId="1EEA3760" w14:textId="77777777" w:rsidR="00315874" w:rsidRDefault="00315874">
            <w:pPr>
              <w:shd w:val="clear" w:color="auto" w:fill="FFFFFF"/>
              <w:jc w:val="both"/>
              <w:rPr>
                <w:rFonts w:ascii="Times New Roman" w:eastAsia="Times New Roman" w:hAnsi="Times New Roman" w:cs="Times New Roman"/>
                <w:sz w:val="24"/>
                <w:szCs w:val="24"/>
                <w:highlight w:val="white"/>
              </w:rPr>
            </w:pPr>
          </w:p>
        </w:tc>
      </w:tr>
      <w:tr w:rsidR="00315874" w14:paraId="7165F983" w14:textId="77777777">
        <w:trPr>
          <w:trHeight w:val="840"/>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3686CF66"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6CCF415C" w14:textId="77777777" w:rsidR="00315874" w:rsidRDefault="00315874">
            <w:pPr>
              <w:spacing w:line="240" w:lineRule="auto"/>
              <w:jc w:val="center"/>
              <w:rPr>
                <w:rFonts w:ascii="Times New Roman" w:eastAsia="Times New Roman" w:hAnsi="Times New Roman" w:cs="Times New Roman"/>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660B674C"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Obiecțiile conceptuale expuse sunt valabile soluțiilor normative propuse în celelalte acte normative din proiect referitor la abrogarea garanției sociale privind acordarea zilelor suplimentare de concediu pentru vechime.</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5E86B8A2"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Se ia act</w:t>
            </w:r>
          </w:p>
        </w:tc>
      </w:tr>
      <w:tr w:rsidR="00315874" w14:paraId="19C8E0E7" w14:textId="77777777">
        <w:trPr>
          <w:trHeight w:val="1245"/>
        </w:trPr>
        <w:tc>
          <w:tcPr>
            <w:tcW w:w="735" w:type="dxa"/>
            <w:vMerge w:val="restart"/>
            <w:tcBorders>
              <w:top w:val="single" w:sz="6" w:space="0" w:color="999999"/>
              <w:left w:val="single" w:sz="6" w:space="0" w:color="999999"/>
              <w:bottom w:val="single" w:sz="6" w:space="0" w:color="999999"/>
              <w:right w:val="single" w:sz="6" w:space="0" w:color="999999"/>
            </w:tcBorders>
            <w:tcMar>
              <w:top w:w="0" w:type="dxa"/>
              <w:bottom w:w="0" w:type="dxa"/>
            </w:tcMar>
          </w:tcPr>
          <w:p w14:paraId="70220E8C" w14:textId="77777777" w:rsidR="00315874"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9.</w:t>
            </w:r>
          </w:p>
        </w:tc>
        <w:tc>
          <w:tcPr>
            <w:tcW w:w="2835" w:type="dxa"/>
            <w:vMerge w:val="restart"/>
            <w:tcBorders>
              <w:top w:val="single" w:sz="6" w:space="0" w:color="999999"/>
              <w:left w:val="single" w:sz="6" w:space="0" w:color="999999"/>
              <w:bottom w:val="single" w:sz="6" w:space="0" w:color="999999"/>
              <w:right w:val="single" w:sz="6" w:space="0" w:color="999999"/>
            </w:tcBorders>
            <w:tcMar>
              <w:top w:w="0" w:type="dxa"/>
              <w:bottom w:w="0" w:type="dxa"/>
            </w:tcMar>
          </w:tcPr>
          <w:p w14:paraId="659509B7" w14:textId="77777777" w:rsidR="00315874" w:rsidRDefault="00000000">
            <w:pPr>
              <w:spacing w:line="240" w:lineRule="auto"/>
              <w:ind w:left="14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Ministerul Infrastructurii și Dezvoltării Regionale</w:t>
            </w:r>
          </w:p>
          <w:p w14:paraId="21A2B13C" w14:textId="77777777" w:rsidR="00315874" w:rsidRDefault="00000000">
            <w:pPr>
              <w:spacing w:line="240" w:lineRule="auto"/>
              <w:ind w:left="140"/>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Nr. 22-3737 din 03.06.2026</w:t>
            </w: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79761905"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La </w:t>
            </w:r>
            <w:r>
              <w:rPr>
                <w:rFonts w:ascii="Times New Roman" w:eastAsia="Times New Roman" w:hAnsi="Times New Roman" w:cs="Times New Roman"/>
                <w:b/>
                <w:bCs/>
                <w:sz w:val="24"/>
                <w:szCs w:val="24"/>
                <w:highlight w:val="white"/>
              </w:rPr>
              <w:t>Art.V</w:t>
            </w:r>
            <w:r>
              <w:rPr>
                <w:rFonts w:ascii="Times New Roman" w:eastAsia="Times New Roman" w:hAnsi="Times New Roman" w:cs="Times New Roman"/>
                <w:sz w:val="24"/>
                <w:szCs w:val="24"/>
                <w:highlight w:val="white"/>
              </w:rPr>
              <w:t xml:space="preserve"> propunem excluderea </w:t>
            </w:r>
            <w:r>
              <w:rPr>
                <w:rFonts w:ascii="Times New Roman" w:eastAsia="Times New Roman" w:hAnsi="Times New Roman" w:cs="Times New Roman"/>
                <w:b/>
                <w:bCs/>
                <w:sz w:val="24"/>
                <w:szCs w:val="24"/>
                <w:highlight w:val="white"/>
              </w:rPr>
              <w:t xml:space="preserve">pct. 2 </w:t>
            </w:r>
            <w:r>
              <w:rPr>
                <w:rFonts w:ascii="Times New Roman" w:eastAsia="Times New Roman" w:hAnsi="Times New Roman" w:cs="Times New Roman"/>
                <w:sz w:val="24"/>
                <w:szCs w:val="24"/>
                <w:highlight w:val="white"/>
              </w:rPr>
              <w:t>din proiect (referitor la completarea art. 32 alin. (1) din Codul muncii), deoarece acesta contravine principiului autonomiei partenerilor sociali în cadrul negocierii colective.</w:t>
            </w:r>
          </w:p>
          <w:p w14:paraId="42AAC6EF"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Potrivit art. 16 alin. (1) și (2) din Codul muncii, părțile parteneriatului social la nivel de unitate sunt salariații și angajatorii, reprezentați de persoanele împuternicite în modul stabilit de lege. Totodată, conform art. 30 alin. (1) din Codul muncii, contractul colectiv de muncă reprezintă actul juridic prin care se reglementează raporturile de muncă și alte raporturi sociale din unitate, fiind încheiat </w:t>
            </w:r>
            <w:r>
              <w:rPr>
                <w:rFonts w:ascii="Times New Roman" w:eastAsia="Times New Roman" w:hAnsi="Times New Roman" w:cs="Times New Roman"/>
                <w:sz w:val="24"/>
                <w:szCs w:val="24"/>
                <w:highlight w:val="white"/>
              </w:rPr>
              <w:lastRenderedPageBreak/>
              <w:t>în formă scrisă între salariați și angajator, prin reprezentanții acestora. În acest context, instituirea obligației angajatorului de a solicita, anterior inițierii negocierilor colective, opinia consultativă a Ministerului Finanțelor cu privire la cadrul bugetar disponibil introduce intervenția unei autorități publice care nu este parte a raporturilor de parteneriat social și nici parte la negocierea contractului colectiv de muncă.</w:t>
            </w:r>
          </w:p>
          <w:p w14:paraId="2C9E8AE1"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Deși opinia Ministerului Finanțelor este calificată drept consultativă, instituirea acestei obligații poate influența în mod semnificativ desfășurarea negocierilor colective, limitând autonomia de negociere a părților și afectând exercitarea efectivă a dreptului la negociere colectivă. Totodată, această cerință poate conduce la tergiversarea procesului de negociere și la introducerea unei condiții procedurale suplimentare care nu este prevăzută de principiile parteneriatului social prevăzute de Codul muncii.</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59429B39"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Nu se acceptă.</w:t>
            </w:r>
          </w:p>
          <w:p w14:paraId="6B49D077"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09CF619D"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Completarea propusă la art. 32 alin. (1) din Codul muncii se menține, cu ajustările acceptate anterior privind caracterul exclusiv consultativ al opiniei Ministerului Finanțelor.</w:t>
            </w:r>
          </w:p>
          <w:p w14:paraId="73E08B97"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08580B9B"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Mecanismul propus nu introduce Ministerul Finanțelor ca parte a negocierilor colective și nu îi conferă competențe de aprobare, autorizare sau blocare a contractului colectiv de muncă. Părțile contractului colectiv rămân salariații și angajatorul, prin reprezentanții acestora, potrivit art. 16 și art. 30 din Codul muncii.</w:t>
            </w:r>
          </w:p>
          <w:p w14:paraId="34C1F494"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0FD09F3F"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Solicitarea opiniei consultative are ca obiect exclusiv cadrul bugetar de resurse financiare disponibil în cazul contractelor colective din sectorul bugetar. Aceasta urmărește informarea angajatorului bugetar asupra limitelor financiare în care pot fi asumate angajamente cu impact bugetar, fără a afecta autonomia negocierii colective și fără a condiționa inițierea sau desfășurarea negocierilor.</w:t>
            </w:r>
          </w:p>
          <w:p w14:paraId="5179E052"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4B9F789D"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Pentru evitarea oricăror interpretări restrictive, proiectul a fost revizuit. </w:t>
            </w:r>
          </w:p>
          <w:p w14:paraId="3FE2FC2C"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Prin urmare, norma nu limitează autonomia partenerilor sociali, ci instituie un mecanism de informare financiar-bugetară aplicabil exclusiv sectorului bugetar, necesar pentru asumarea responsabilă a angajamentelor cu impact asupra bugetului public.</w:t>
            </w:r>
          </w:p>
          <w:p w14:paraId="01F0F55C"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140187F1" w14:textId="77777777" w:rsidR="00315874" w:rsidRDefault="00315874">
            <w:pPr>
              <w:shd w:val="clear" w:color="auto" w:fill="FFFFFF"/>
              <w:jc w:val="both"/>
              <w:rPr>
                <w:rFonts w:ascii="Times New Roman" w:eastAsia="Times New Roman" w:hAnsi="Times New Roman" w:cs="Times New Roman"/>
                <w:sz w:val="24"/>
                <w:szCs w:val="24"/>
                <w:highlight w:val="white"/>
              </w:rPr>
            </w:pPr>
          </w:p>
        </w:tc>
      </w:tr>
      <w:tr w:rsidR="00315874" w14:paraId="6510C3EA" w14:textId="77777777">
        <w:trPr>
          <w:trHeight w:val="1245"/>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4A68B8D0"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2E86D490" w14:textId="77777777" w:rsidR="00315874" w:rsidRDefault="00315874">
            <w:pPr>
              <w:spacing w:line="240" w:lineRule="auto"/>
              <w:jc w:val="center"/>
              <w:rPr>
                <w:rFonts w:ascii="Times New Roman" w:eastAsia="Times New Roman" w:hAnsi="Times New Roman" w:cs="Times New Roman"/>
                <w:sz w:val="24"/>
                <w:szCs w:val="24"/>
              </w:rPr>
            </w:pPr>
          </w:p>
        </w:tc>
        <w:tc>
          <w:tcPr>
            <w:tcW w:w="5700" w:type="dxa"/>
            <w:vMerge w:val="restart"/>
            <w:tcBorders>
              <w:top w:val="nil"/>
              <w:left w:val="nil"/>
              <w:bottom w:val="single" w:sz="6" w:space="0" w:color="000000"/>
              <w:right w:val="single" w:sz="6" w:space="0" w:color="999999"/>
            </w:tcBorders>
            <w:tcMar>
              <w:top w:w="0" w:type="dxa"/>
              <w:left w:w="100" w:type="dxa"/>
              <w:bottom w:w="0" w:type="dxa"/>
              <w:right w:w="100" w:type="dxa"/>
            </w:tcMar>
          </w:tcPr>
          <w:p w14:paraId="0595595B"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La Art. </w:t>
            </w:r>
            <w:r>
              <w:rPr>
                <w:rFonts w:ascii="Times New Roman" w:eastAsia="Times New Roman" w:hAnsi="Times New Roman" w:cs="Times New Roman"/>
                <w:b/>
                <w:bCs/>
                <w:sz w:val="24"/>
                <w:szCs w:val="24"/>
                <w:highlight w:val="white"/>
              </w:rPr>
              <w:t>IX, pct. 2</w:t>
            </w:r>
            <w:r>
              <w:rPr>
                <w:rFonts w:ascii="Times New Roman" w:eastAsia="Times New Roman" w:hAnsi="Times New Roman" w:cs="Times New Roman"/>
                <w:sz w:val="24"/>
                <w:szCs w:val="24"/>
                <w:highlight w:val="white"/>
              </w:rPr>
              <w:t xml:space="preserve"> se propune menținerea alin. (2) din art. 43 din Legea nr. 158/2008 cu privire la funcția publică și statutul funcționarului public.</w:t>
            </w:r>
          </w:p>
          <w:p w14:paraId="4D919EA5"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Considerăm că abrogarea garanției sociale privind acordarea zilelor suplimentare de concediu pentru vechimea în serviciul public afectează una dintre puținele garanții sociale rămase funcționarilor publici. Prevederea normativă prin care se acordau zile suplimentare de concediu în funcție de vechimea în serviciul public reprezintă o recunoaștere firească a loialității, experienței și contribuției funcționarilor publici pe termen lung. Eliminarea acestui beneficiu reduce atractivitatea carierei în serviciul public și diminuează motivația personalului cu vechime, care se confruntă adesea cu un volum mai mare de responsabilități și sarcini complexe. În plus, dreptul la concediu suplimentar constituie o garanție socială menită să protejeze sănătatea și echilibrul dintre viața profesională și cea personală.</w:t>
            </w:r>
          </w:p>
          <w:p w14:paraId="66800EAF"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Prin urmare, considerăm că menținerea alin. (2) este esențială pentru respectarea principiilor de echitate și stabilitate, iar abrogarea acestuia ar reprezenta un regres în materia garanțiilor sociale ale funcționarilor publici.</w:t>
            </w:r>
          </w:p>
        </w:tc>
        <w:tc>
          <w:tcPr>
            <w:tcW w:w="6210" w:type="dxa"/>
            <w:vMerge w:val="restart"/>
            <w:tcBorders>
              <w:top w:val="nil"/>
              <w:left w:val="nil"/>
              <w:bottom w:val="single" w:sz="6" w:space="0" w:color="000000"/>
              <w:right w:val="single" w:sz="6" w:space="0" w:color="999999"/>
            </w:tcBorders>
            <w:tcMar>
              <w:top w:w="0" w:type="dxa"/>
              <w:left w:w="100" w:type="dxa"/>
              <w:bottom w:w="0" w:type="dxa"/>
              <w:right w:w="100" w:type="dxa"/>
            </w:tcMar>
          </w:tcPr>
          <w:p w14:paraId="59C03B3F"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Nu se acceptă.</w:t>
            </w:r>
          </w:p>
          <w:p w14:paraId="3EADBA67"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29D4C514"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Se menține soluția proiectului privind abrogarea art. 43 alin. (2) din Legea nr. 158/2008.</w:t>
            </w:r>
          </w:p>
          <w:p w14:paraId="62996AED"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32A7FE0F"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Concediul suplimentar acordat exclusiv în funcție de vechimea în serviciul public reprezintă o măsură de politică socială și de management al resurselor umane, nu o garanție indispensabilă a statutului funcționarului public. Această măsură poate fi reevaluată de legiuitor în funcție de obiectivele urmărite prin reforma regimului concediilor.</w:t>
            </w:r>
          </w:p>
          <w:p w14:paraId="71CA57DE"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Proiectul nu suprimă dreptul funcționarilor publici la concediu de odihnă anual plătit. Dreptul la concediu anual rămâne garantat, fiind exprimat în zile lucrătoare, potrivit noii metodologii de calcul aplicabile în mod uniform.</w:t>
            </w:r>
          </w:p>
          <w:p w14:paraId="7A99D85B"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Totodată, menținerea concediilor suplimentare acordate automat pentru vechime a contribuit în practică la acumularea soldurilor mari de concedii neutilizate, ceea ce afectează funcția reală a concediului anual, care trebuie să asigure odihna efectivă a salariatului.</w:t>
            </w:r>
          </w:p>
          <w:p w14:paraId="7B0E0CDF"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Recunoașterea loialității, experienței și complexității atribuțiilor funcționarilor publici urmează a fi realizată prin politici salariale și mecanisme de motivare corespunzătoare, nu prin majorarea automată a duratei concediului și acumularea unor solduri suplimentare.</w:t>
            </w:r>
          </w:p>
        </w:tc>
      </w:tr>
      <w:tr w:rsidR="00315874" w14:paraId="33A01E69" w14:textId="77777777">
        <w:trPr>
          <w:trHeight w:val="1245"/>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4F38E06B"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54063EBD" w14:textId="77777777" w:rsidR="00315874" w:rsidRDefault="00315874">
            <w:pPr>
              <w:spacing w:line="240" w:lineRule="auto"/>
              <w:jc w:val="center"/>
              <w:rPr>
                <w:rFonts w:ascii="Times New Roman" w:eastAsia="Times New Roman" w:hAnsi="Times New Roman" w:cs="Times New Roman"/>
                <w:sz w:val="24"/>
                <w:szCs w:val="24"/>
              </w:rPr>
            </w:pPr>
          </w:p>
        </w:tc>
        <w:tc>
          <w:tcPr>
            <w:tcW w:w="5700" w:type="dxa"/>
            <w:vMerge/>
            <w:tcBorders>
              <w:top w:val="nil"/>
              <w:left w:val="nil"/>
              <w:bottom w:val="single" w:sz="6" w:space="0" w:color="000000"/>
              <w:right w:val="single" w:sz="6" w:space="0" w:color="999999"/>
            </w:tcBorders>
            <w:tcMar>
              <w:top w:w="0" w:type="dxa"/>
              <w:left w:w="100" w:type="dxa"/>
              <w:bottom w:w="0" w:type="dxa"/>
              <w:right w:w="100" w:type="dxa"/>
            </w:tcMar>
          </w:tcPr>
          <w:p w14:paraId="0EA1B8A6" w14:textId="77777777" w:rsidR="00315874" w:rsidRDefault="00315874">
            <w:pPr>
              <w:spacing w:line="240" w:lineRule="auto"/>
              <w:jc w:val="both"/>
              <w:rPr>
                <w:rFonts w:ascii="Times New Roman" w:eastAsia="Times New Roman" w:hAnsi="Times New Roman" w:cs="Times New Roman"/>
                <w:sz w:val="24"/>
                <w:szCs w:val="24"/>
                <w:highlight w:val="white"/>
              </w:rPr>
            </w:pPr>
          </w:p>
        </w:tc>
        <w:tc>
          <w:tcPr>
            <w:tcW w:w="6210" w:type="dxa"/>
            <w:vMerge/>
            <w:tcBorders>
              <w:top w:val="nil"/>
              <w:left w:val="nil"/>
              <w:bottom w:val="single" w:sz="6" w:space="0" w:color="000000"/>
              <w:right w:val="single" w:sz="6" w:space="0" w:color="999999"/>
            </w:tcBorders>
            <w:tcMar>
              <w:top w:w="0" w:type="dxa"/>
              <w:left w:w="100" w:type="dxa"/>
              <w:bottom w:w="0" w:type="dxa"/>
              <w:right w:w="100" w:type="dxa"/>
            </w:tcMar>
          </w:tcPr>
          <w:p w14:paraId="6D355F91" w14:textId="77777777" w:rsidR="00315874" w:rsidRDefault="00315874">
            <w:pPr>
              <w:shd w:val="clear" w:color="auto" w:fill="FFFFFF"/>
              <w:spacing w:line="240" w:lineRule="auto"/>
              <w:jc w:val="both"/>
              <w:rPr>
                <w:rFonts w:ascii="Times New Roman" w:eastAsia="Times New Roman" w:hAnsi="Times New Roman" w:cs="Times New Roman"/>
                <w:b/>
                <w:bCs/>
                <w:sz w:val="24"/>
                <w:szCs w:val="24"/>
                <w:highlight w:val="white"/>
              </w:rPr>
            </w:pPr>
          </w:p>
        </w:tc>
      </w:tr>
      <w:tr w:rsidR="00315874" w14:paraId="34FFE541" w14:textId="77777777">
        <w:trPr>
          <w:trHeight w:val="1200"/>
        </w:trPr>
        <w:tc>
          <w:tcPr>
            <w:tcW w:w="735" w:type="dxa"/>
            <w:tcBorders>
              <w:top w:val="single" w:sz="6" w:space="0" w:color="999999"/>
              <w:left w:val="single" w:sz="6" w:space="0" w:color="999999"/>
              <w:bottom w:val="single" w:sz="6" w:space="0" w:color="999999"/>
              <w:right w:val="single" w:sz="6" w:space="0" w:color="999999"/>
            </w:tcBorders>
            <w:tcMar>
              <w:top w:w="0" w:type="dxa"/>
              <w:bottom w:w="0" w:type="dxa"/>
            </w:tcMar>
          </w:tcPr>
          <w:p w14:paraId="20BB68CE" w14:textId="77777777" w:rsidR="00315874"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10.</w:t>
            </w:r>
          </w:p>
        </w:tc>
        <w:tc>
          <w:tcPr>
            <w:tcW w:w="2835" w:type="dxa"/>
            <w:tcBorders>
              <w:top w:val="single" w:sz="6" w:space="0" w:color="999999"/>
              <w:left w:val="single" w:sz="6" w:space="0" w:color="999999"/>
              <w:bottom w:val="single" w:sz="6" w:space="0" w:color="999999"/>
              <w:right w:val="single" w:sz="6" w:space="0" w:color="999999"/>
            </w:tcBorders>
            <w:tcMar>
              <w:top w:w="0" w:type="dxa"/>
              <w:bottom w:w="0" w:type="dxa"/>
            </w:tcMar>
          </w:tcPr>
          <w:p w14:paraId="50B06553" w14:textId="77777777" w:rsidR="00315874" w:rsidRDefault="00000000">
            <w:pPr>
              <w:spacing w:line="240" w:lineRule="auto"/>
              <w:ind w:left="14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Ministerul Agriculturii și Industriei Alimentare</w:t>
            </w:r>
          </w:p>
          <w:p w14:paraId="1A2C0DBA" w14:textId="77777777" w:rsidR="00315874" w:rsidRDefault="00000000">
            <w:pPr>
              <w:spacing w:line="240" w:lineRule="auto"/>
              <w:ind w:left="140"/>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Nr. 23-02/1840 din 25.06.2026</w:t>
            </w: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2717539E"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Lipsă de obiecții și propuneri.</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44EF8CF8"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Se ia act</w:t>
            </w:r>
          </w:p>
        </w:tc>
      </w:tr>
      <w:tr w:rsidR="00315874" w14:paraId="17C16308" w14:textId="77777777">
        <w:trPr>
          <w:trHeight w:val="4473"/>
        </w:trPr>
        <w:tc>
          <w:tcPr>
            <w:tcW w:w="735" w:type="dxa"/>
            <w:tcBorders>
              <w:top w:val="single" w:sz="6" w:space="0" w:color="999999"/>
              <w:left w:val="single" w:sz="6" w:space="0" w:color="999999"/>
              <w:bottom w:val="single" w:sz="6" w:space="0" w:color="999999"/>
              <w:right w:val="single" w:sz="6" w:space="0" w:color="999999"/>
            </w:tcBorders>
            <w:tcMar>
              <w:top w:w="0" w:type="dxa"/>
              <w:bottom w:w="0" w:type="dxa"/>
            </w:tcMar>
          </w:tcPr>
          <w:p w14:paraId="580ABC50" w14:textId="77777777" w:rsidR="00315874"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11.</w:t>
            </w:r>
          </w:p>
        </w:tc>
        <w:tc>
          <w:tcPr>
            <w:tcW w:w="2835" w:type="dxa"/>
            <w:tcBorders>
              <w:top w:val="single" w:sz="6" w:space="0" w:color="999999"/>
              <w:left w:val="single" w:sz="6" w:space="0" w:color="999999"/>
              <w:bottom w:val="single" w:sz="6" w:space="0" w:color="999999"/>
              <w:right w:val="single" w:sz="6" w:space="0" w:color="999999"/>
            </w:tcBorders>
            <w:tcMar>
              <w:top w:w="0" w:type="dxa"/>
              <w:bottom w:w="0" w:type="dxa"/>
            </w:tcMar>
          </w:tcPr>
          <w:p w14:paraId="2EE730C4" w14:textId="77777777" w:rsidR="00315874" w:rsidRDefault="00000000">
            <w:pPr>
              <w:ind w:left="14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Ministerul Mediului</w:t>
            </w:r>
          </w:p>
          <w:p w14:paraId="764691A9" w14:textId="77777777" w:rsidR="00315874" w:rsidRDefault="00000000">
            <w:pPr>
              <w:ind w:left="140"/>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Nr.13-05/2161 din 02.07.2026</w:t>
            </w: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0C4F0505"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Cu titlu de recomandare, pe marginea propunerilor din cadrul proiectului de excludere a concediilor de odihnă anuale suplimentare acordate în funcție de vechimea în muncă, considerăm că protecția drepturilor legal recunoscute (drepturi câștigate) reprezintă un pilon fundamental al stabilității raporturilor de serviciu și de muncă.</w:t>
            </w:r>
          </w:p>
          <w:p w14:paraId="4E8057C6"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În acest sens, eliminarea unei facilități corelate direct cu anii dedicați activității profesionale poate fi percepută ca o diminuare a nivelului de protecție socială a salariaților și ca un regres în raport cu standardele de predictibilitate, motiv pentru care considerăm imperativă reevaluarea oportunității menținerii acestei garanții.</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2CB4214B" w14:textId="77777777" w:rsidR="00315874" w:rsidRDefault="00000000">
            <w:pPr>
              <w:shd w:val="clear" w:color="auto" w:fill="FFFFFF"/>
              <w:spacing w:before="240" w:after="240"/>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Nu se acceptă.</w:t>
            </w:r>
          </w:p>
          <w:p w14:paraId="156E1656" w14:textId="77777777" w:rsidR="00315874" w:rsidRDefault="00000000">
            <w:pPr>
              <w:shd w:val="clear" w:color="auto" w:fill="FFFFFF"/>
              <w:spacing w:before="240" w:after="24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Observația reia argumentele formulate anterior privind menținerea concediilor de odihnă anuale suplimentare acordate în funcție de vechimea în muncă sau în serviciu. Se menține soluția proiectului privind excluderea acestor concedii suplimentare.</w:t>
            </w:r>
          </w:p>
          <w:p w14:paraId="3B5B9DC9" w14:textId="77777777" w:rsidR="00315874" w:rsidRDefault="00000000">
            <w:pPr>
              <w:shd w:val="clear" w:color="auto" w:fill="FFFFFF"/>
              <w:spacing w:before="240" w:after="24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Concediul suplimentar acordat exclusiv în funcție de vechime nu constituie un drept câștigat în sensul imposibilității modificării sale pentru viitor, ci o garanție socială suplimentară instituită prin lege, care poate fi reevaluată de legiuitor în funcție de obiectivele de politică socială, de management al resurselor umane și de asigurare a utilizării efective a concediului.</w:t>
            </w:r>
          </w:p>
          <w:p w14:paraId="44C0F8DE" w14:textId="77777777" w:rsidR="00315874" w:rsidRDefault="00000000">
            <w:pPr>
              <w:shd w:val="clear" w:color="auto" w:fill="FFFFFF"/>
              <w:spacing w:before="240" w:after="24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Proiectul nu afectează drepturile la concediu deja dobândite și neutilizate până la intrarea în vigoare a noilor reglementări. Acestea vor fi protejate prin norme tranzitorii și se vor acorda </w:t>
            </w:r>
            <w:r>
              <w:rPr>
                <w:rFonts w:ascii="Times New Roman" w:eastAsia="Times New Roman" w:hAnsi="Times New Roman" w:cs="Times New Roman"/>
                <w:sz w:val="24"/>
                <w:szCs w:val="24"/>
                <w:highlight w:val="white"/>
              </w:rPr>
              <w:lastRenderedPageBreak/>
              <w:t>potrivit regimului aplicabil la momentul dobândirii lor, până la epuizarea soldului restant.</w:t>
            </w:r>
          </w:p>
          <w:p w14:paraId="3A18361D" w14:textId="77777777" w:rsidR="00315874" w:rsidRDefault="00000000">
            <w:pPr>
              <w:shd w:val="clear" w:color="auto" w:fill="FFFFFF"/>
              <w:spacing w:before="240" w:after="24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Prin urmare, principiul securității juridice și al încrederii legitime este respectat, întrucât modificarea se aplică pentru viitor și nu suprimă soldurile de concediu deja acumulate.</w:t>
            </w:r>
          </w:p>
          <w:p w14:paraId="4DE0CBBA" w14:textId="77777777" w:rsidR="00315874" w:rsidRDefault="00000000">
            <w:pPr>
              <w:shd w:val="clear" w:color="auto" w:fill="FFFFFF"/>
              <w:spacing w:before="240" w:after="24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Totodată, dreptul la concediu anual plătit rămâne garantat. Proiectul urmărește uniformizarea modului de calcul al concediilor, trecerea la exprimarea acestora în zile lucrătoare și descurajarea acumulării unor solduri mari de concedii neutilizate, care îndepărtează concediul de la funcția sa principală, asigurarea odihnei efective a salariatului.</w:t>
            </w:r>
          </w:p>
          <w:p w14:paraId="43F48C91" w14:textId="77777777" w:rsidR="00315874" w:rsidRDefault="00315874">
            <w:pPr>
              <w:shd w:val="clear" w:color="auto" w:fill="FFFFFF"/>
              <w:jc w:val="both"/>
              <w:rPr>
                <w:rFonts w:ascii="Times New Roman" w:eastAsia="Times New Roman" w:hAnsi="Times New Roman" w:cs="Times New Roman"/>
                <w:sz w:val="24"/>
                <w:szCs w:val="24"/>
                <w:highlight w:val="white"/>
              </w:rPr>
            </w:pPr>
          </w:p>
        </w:tc>
      </w:tr>
      <w:tr w:rsidR="00315874" w14:paraId="24226599" w14:textId="77777777">
        <w:trPr>
          <w:trHeight w:val="1065"/>
        </w:trPr>
        <w:tc>
          <w:tcPr>
            <w:tcW w:w="735" w:type="dxa"/>
            <w:vMerge w:val="restart"/>
            <w:tcBorders>
              <w:top w:val="single" w:sz="6" w:space="0" w:color="999999"/>
              <w:left w:val="single" w:sz="6" w:space="0" w:color="999999"/>
              <w:bottom w:val="single" w:sz="6" w:space="0" w:color="999999"/>
              <w:right w:val="single" w:sz="6" w:space="0" w:color="999999"/>
            </w:tcBorders>
            <w:tcMar>
              <w:top w:w="0" w:type="dxa"/>
              <w:bottom w:w="0" w:type="dxa"/>
            </w:tcMar>
          </w:tcPr>
          <w:p w14:paraId="7100E0E7" w14:textId="77777777" w:rsidR="00315874"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12.</w:t>
            </w:r>
          </w:p>
        </w:tc>
        <w:tc>
          <w:tcPr>
            <w:tcW w:w="2835" w:type="dxa"/>
            <w:vMerge w:val="restart"/>
            <w:tcBorders>
              <w:top w:val="single" w:sz="6" w:space="0" w:color="999999"/>
              <w:left w:val="single" w:sz="6" w:space="0" w:color="999999"/>
              <w:bottom w:val="single" w:sz="6" w:space="0" w:color="999999"/>
              <w:right w:val="single" w:sz="6" w:space="0" w:color="999999"/>
            </w:tcBorders>
            <w:tcMar>
              <w:top w:w="0" w:type="dxa"/>
              <w:bottom w:w="0" w:type="dxa"/>
            </w:tcMar>
          </w:tcPr>
          <w:p w14:paraId="49C0E432" w14:textId="77777777" w:rsidR="00315874" w:rsidRDefault="00000000">
            <w:pPr>
              <w:spacing w:line="240" w:lineRule="auto"/>
              <w:ind w:left="14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Ministerul Afacerilor Externe</w:t>
            </w:r>
          </w:p>
          <w:p w14:paraId="07FF29C2" w14:textId="77777777" w:rsidR="00315874" w:rsidRDefault="00000000">
            <w:pPr>
              <w:spacing w:line="240" w:lineRule="auto"/>
              <w:ind w:left="140"/>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Nr. DI/3/041-7677 din 01.07.2026</w:t>
            </w: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62F1B7EA"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Se recomandă ca în cazul modificării salariului de bază sau a altor drepturi salariale în cursul anului, indemnizația de concediu să se calculeze proporțional perioadelor în care au fost aplicabile salariile respective, conform unei Metodologii aprobate de Guvern.</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6E296DF0"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Se ia act</w:t>
            </w:r>
          </w:p>
          <w:p w14:paraId="466B7989"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Normele cu privire la calcularea indemnizației de concediu vor fi ajustate corespunzător urmând scopul principal de a nu diminua drepturile existente</w:t>
            </w:r>
          </w:p>
        </w:tc>
      </w:tr>
      <w:tr w:rsidR="00315874" w14:paraId="10CE5C60" w14:textId="77777777">
        <w:trPr>
          <w:trHeight w:val="1065"/>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56A0567A"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6022737D" w14:textId="77777777" w:rsidR="00315874" w:rsidRDefault="00315874">
            <w:pPr>
              <w:spacing w:line="240" w:lineRule="auto"/>
              <w:jc w:val="center"/>
              <w:rPr>
                <w:rFonts w:ascii="Times New Roman" w:eastAsia="Times New Roman" w:hAnsi="Times New Roman" w:cs="Times New Roman"/>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24B57534"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Se sugerează stabilirea conversiei concediilor exprimate în zile calendaristice în zile lucrătoare, fără diminuarea duratei efective a concediului, potrivit unei Metodologii</w:t>
            </w:r>
          </w:p>
          <w:p w14:paraId="605E09DB"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aprobate de Guvern.</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12ACF8B8"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Se ia act. </w:t>
            </w:r>
            <w:r>
              <w:rPr>
                <w:rFonts w:ascii="Times New Roman" w:eastAsia="Times New Roman" w:hAnsi="Times New Roman" w:cs="Times New Roman"/>
                <w:sz w:val="24"/>
                <w:szCs w:val="24"/>
                <w:highlight w:val="white"/>
              </w:rPr>
              <w:t>Formula de calcul a fost explicată în nota de fundamentare.</w:t>
            </w:r>
          </w:p>
        </w:tc>
      </w:tr>
      <w:tr w:rsidR="00315874" w14:paraId="541A73D4" w14:textId="77777777">
        <w:trPr>
          <w:trHeight w:val="1148"/>
        </w:trPr>
        <w:tc>
          <w:tcPr>
            <w:tcW w:w="735" w:type="dxa"/>
            <w:vMerge w:val="restart"/>
            <w:tcBorders>
              <w:top w:val="single" w:sz="6" w:space="0" w:color="999999"/>
              <w:left w:val="single" w:sz="6" w:space="0" w:color="999999"/>
              <w:bottom w:val="single" w:sz="6" w:space="0" w:color="999999"/>
              <w:right w:val="single" w:sz="6" w:space="0" w:color="999999"/>
            </w:tcBorders>
            <w:tcMar>
              <w:top w:w="0" w:type="dxa"/>
              <w:bottom w:w="0" w:type="dxa"/>
            </w:tcMar>
          </w:tcPr>
          <w:p w14:paraId="57BA84D2" w14:textId="77777777" w:rsidR="00315874"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13.</w:t>
            </w:r>
          </w:p>
        </w:tc>
        <w:tc>
          <w:tcPr>
            <w:tcW w:w="2835" w:type="dxa"/>
            <w:vMerge w:val="restart"/>
            <w:tcBorders>
              <w:top w:val="single" w:sz="6" w:space="0" w:color="999999"/>
              <w:left w:val="single" w:sz="6" w:space="0" w:color="999999"/>
              <w:bottom w:val="single" w:sz="6" w:space="0" w:color="999999"/>
              <w:right w:val="single" w:sz="6" w:space="0" w:color="999999"/>
            </w:tcBorders>
            <w:tcMar>
              <w:top w:w="0" w:type="dxa"/>
              <w:bottom w:w="0" w:type="dxa"/>
            </w:tcMar>
          </w:tcPr>
          <w:p w14:paraId="2986641A" w14:textId="77777777" w:rsidR="00315874" w:rsidRDefault="00000000">
            <w:pPr>
              <w:spacing w:line="240" w:lineRule="auto"/>
              <w:ind w:left="14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Ministerul Afacerilor Interne</w:t>
            </w:r>
          </w:p>
          <w:p w14:paraId="23BAFDEF" w14:textId="77777777" w:rsidR="00315874" w:rsidRDefault="00000000">
            <w:pPr>
              <w:spacing w:line="240" w:lineRule="auto"/>
              <w:ind w:left="140"/>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Nr. 42/2648 din 01.07.2026</w:t>
            </w: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57AC6E0C"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Cu privire la </w:t>
            </w:r>
            <w:r>
              <w:rPr>
                <w:rFonts w:ascii="Times New Roman" w:eastAsia="Times New Roman" w:hAnsi="Times New Roman" w:cs="Times New Roman"/>
                <w:b/>
                <w:bCs/>
                <w:sz w:val="24"/>
                <w:szCs w:val="24"/>
                <w:highlight w:val="white"/>
              </w:rPr>
              <w:t>art. XV</w:t>
            </w:r>
            <w:r>
              <w:rPr>
                <w:rFonts w:ascii="Times New Roman" w:eastAsia="Times New Roman" w:hAnsi="Times New Roman" w:cs="Times New Roman"/>
                <w:sz w:val="24"/>
                <w:szCs w:val="24"/>
                <w:highlight w:val="white"/>
              </w:rPr>
              <w:t xml:space="preserve"> se menționează că nu se susține modificarea propusă la art. 40 din Legea nr. 288/2016 privind funcționarul public cu statut special din cadrul Ministerului Afacerilor Interne, prin care durata concediului de odihnă anual al funcționarilor publici cu statut special din cadrul Ministerului Afacerilor Interne se reduce de la 35 de zile calendaristice la 28 de zile lucrătoare și excludea mecanismului majorării duratei concediului în funcție de vechimea în serviciu al funcționarilor publici cu statut special.</w:t>
            </w:r>
          </w:p>
          <w:p w14:paraId="0D06B35B"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Pornind de la principiul uniformizării cadrului normativ, invocat de autor, se constată că, pentru alte categorii de personal aflate în raporturi de serviciu speciale sau care exercită atribuții cu un grad comparabil, ori chiar inferior de complexitate și responsabilitate sunt prevăzute durate diferite ale concediului anual, inclusiv de 30, 32 sau 34 de zile lucrătoare. Sub acest aspect, proiectul nu explică de ce funcționarii publici cu statut special din cadrul Ministerului Afacerilor Interne urmează să beneficieze de un concediu anual inferior celui acordat altor categorii de personal din sectorul public, în condițiile în care activitatea acestora este caracterizată prin regim special de serviciu, expunere la riscuri profesionale sporite, program de muncă imprevizibil și restrângeri specifice ale unor drepturi și libertăți.</w:t>
            </w:r>
          </w:p>
          <w:p w14:paraId="551B5A3D"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Lipsa unei fundamentări obiective și rezonabile a acestor diferențe poate genera percepția unei inechități legislative și poate ridica semne de întrebare sub aspectul respectării principiului egalității de tratament pentru persoane aflate în situații comparabile. Potrivit principiilor generale ale dreptului, tratamentul juridic diferențiat este admisibil numai în măsura în care se întemeiază pe criterii obiective, rezonabile și proporționale cu scopul urmărit. Or, din documentele care însoțesc proiectul nu rezultă care sunt criteriile utilizate pentru stabilirea noilor durate ale concediilor și nici motivele pentru care anumite categorii profesionale beneficiază de un regim mai favorabil decât altele.</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1561A822"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Nu se acceptă</w:t>
            </w:r>
          </w:p>
          <w:p w14:paraId="223AE0E9" w14:textId="77777777" w:rsidR="00607B56"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Mecanismul de calculare a fost uniformizat la nivelul tuturor instituțiilor. </w:t>
            </w:r>
          </w:p>
          <w:p w14:paraId="5E7BEF40" w14:textId="1757E6B8" w:rsidR="00315874" w:rsidRDefault="00607B56">
            <w:pPr>
              <w:shd w:val="clear" w:color="auto" w:fill="FFFFFF"/>
              <w:jc w:val="both"/>
              <w:rPr>
                <w:rFonts w:ascii="Times New Roman" w:eastAsia="Times New Roman" w:hAnsi="Times New Roman" w:cs="Times New Roman"/>
                <w:sz w:val="24"/>
                <w:szCs w:val="24"/>
                <w:highlight w:val="white"/>
              </w:rPr>
            </w:pPr>
            <w:r w:rsidRPr="00607B56">
              <w:rPr>
                <w:rFonts w:ascii="Times New Roman" w:eastAsia="Times New Roman" w:hAnsi="Times New Roman" w:cs="Times New Roman"/>
                <w:sz w:val="24"/>
                <w:szCs w:val="24"/>
                <w:highlight w:val="white"/>
              </w:rPr>
              <w:t>Pentru funcționarii cu statut special din MAI (Legea nr. 288/2016) se aplică 28 de zile lucrătoare prin conversia celor 35 de zile calendaristice, iar Legea nr. 288/2016 art.40 alin. (4) permite concedii suplimentare prin contracte și convenții colective, în limita alocațiilor bugetare.</w:t>
            </w:r>
          </w:p>
          <w:p w14:paraId="53964E5A" w14:textId="5CB0BB75"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Pentru militarii prin contract, duratele diferențiate în funcție de vechime sunt înlocuite cu o durată unică de 28 de zile lucrătoare uniformizată cu alte categorii, cum ar fi ofițerii de informații și securitate, angajații Serviciului de Protecție și Pază de Stat, angajații Serviciului cu privire la prevenirea și combaterea spălării banilor și finanțării terorismului, funcționarii vamali, etc. </w:t>
            </w:r>
            <w:r w:rsidRPr="008047B7">
              <w:rPr>
                <w:rFonts w:ascii="Times New Roman" w:eastAsia="Times New Roman" w:hAnsi="Times New Roman" w:cs="Times New Roman"/>
                <w:sz w:val="24"/>
                <w:szCs w:val="24"/>
                <w:highlight w:val="white"/>
              </w:rPr>
              <w:t>Totodată, aceștia pot beneficia de concediu de stimulare de până la 8 zile lucrătoare (Legea nr. 52/2007), acordat discreționar.</w:t>
            </w:r>
            <w:r>
              <w:rPr>
                <w:rFonts w:ascii="Times New Roman" w:eastAsia="Times New Roman" w:hAnsi="Times New Roman" w:cs="Times New Roman"/>
                <w:i/>
                <w:color w:val="FF0000"/>
                <w:sz w:val="24"/>
                <w:szCs w:val="24"/>
              </w:rPr>
              <w:t xml:space="preserve"> </w:t>
            </w:r>
          </w:p>
          <w:p w14:paraId="4848C64F"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06523244" w14:textId="77777777" w:rsidR="008047B7" w:rsidRDefault="008047B7">
            <w:pPr>
              <w:shd w:val="clear" w:color="auto" w:fill="FFFFFF"/>
              <w:jc w:val="both"/>
              <w:rPr>
                <w:i/>
                <w:color w:val="FF0000"/>
              </w:rPr>
            </w:pPr>
          </w:p>
          <w:p w14:paraId="2AECA8F4" w14:textId="145926CE" w:rsidR="0021239A" w:rsidRDefault="0021239A">
            <w:pPr>
              <w:shd w:val="clear" w:color="auto" w:fill="FFFFFF"/>
              <w:jc w:val="both"/>
              <w:rPr>
                <w:rFonts w:ascii="Times New Roman" w:eastAsia="Times New Roman" w:hAnsi="Times New Roman" w:cs="Times New Roman"/>
                <w:sz w:val="24"/>
                <w:szCs w:val="24"/>
                <w:highlight w:val="white"/>
              </w:rPr>
            </w:pPr>
          </w:p>
        </w:tc>
      </w:tr>
      <w:tr w:rsidR="00315874" w14:paraId="375280B4" w14:textId="77777777">
        <w:trPr>
          <w:trHeight w:val="1148"/>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15DA6808"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76D5B07A" w14:textId="77777777" w:rsidR="00315874" w:rsidRDefault="00315874">
            <w:pPr>
              <w:spacing w:line="240" w:lineRule="auto"/>
              <w:jc w:val="center"/>
              <w:rPr>
                <w:rFonts w:ascii="Times New Roman" w:eastAsia="Times New Roman" w:hAnsi="Times New Roman" w:cs="Times New Roman"/>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7EE033A6"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Analiza comparativă dintre prevederile art. 40 din Lege nr. 288/2016 și soluția propusă în proiect relevă că intervenția autorului nu se limitează la schimbarea concediului de odihnă anual din zile calendaristice în zile lucrătoare (obiectiv declarat), ci conduce direct la diminuarea efectivă și determinabilă a garanțiilor sociale atribuite acestei categorii de personal. În prezent, un funcționar public cu statut special care a acumulat o vechime în serviciu de peste 20 de ani beneficiază de un concediu de odihnă anual de 50 de zile calendaristice, echivalentul a aprox. 35-36 de zile lucrătoare efective de repaus. Proiectul propune reducerea acestuia la 28 de zile </w:t>
            </w:r>
            <w:r>
              <w:rPr>
                <w:rFonts w:ascii="Times New Roman" w:eastAsia="Times New Roman" w:hAnsi="Times New Roman" w:cs="Times New Roman"/>
                <w:sz w:val="24"/>
                <w:szCs w:val="24"/>
                <w:highlight w:val="white"/>
              </w:rPr>
              <w:lastRenderedPageBreak/>
              <w:t>lucrătoare, ceea ce reprezintă o diminuare reală a dreptului la odihnă de aproximativ 7–8 zile lucrătoare (aproximativ 22 % din mărimea concediului de care beneficiază la moment). Măsura propusă nu poate fi prezentată drept un „efect tehnic” al conversiei unității de măsură, ci constituie o intervenție directă asupra conținutului unei garanții sociale consacrate de cadrul normativ sectorial.</w:t>
            </w:r>
          </w:p>
          <w:p w14:paraId="7A2A66E8" w14:textId="77777777" w:rsidR="00315874" w:rsidRDefault="00315874">
            <w:pPr>
              <w:jc w:val="both"/>
              <w:rPr>
                <w:rFonts w:ascii="Times New Roman" w:eastAsia="Times New Roman" w:hAnsi="Times New Roman" w:cs="Times New Roman"/>
                <w:sz w:val="24"/>
                <w:szCs w:val="24"/>
                <w:highlight w:val="white"/>
              </w:rPr>
            </w:pPr>
          </w:p>
          <w:p w14:paraId="47BAB902"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Mecanismul de majorare a concediului anual în funcție de vechimea în serviciu nu reprezintă un privilegiu acordat arbitrar, ci o garanție socială instituită de legiuitor în considerarea particularităților obiective care caracterizează raportul de serviciu al funcționarului public cu statut special. Exercitarea atribuțiilor în domeniul ordinii și securității publice presupune desfășurarea activității în condiții permanente de solicitare fizică și psihică, disponibilitate continuă pentru executarea obligațiilor de serviciu, inclusiv în afara programului normal de lucru, precum și suportarea unor restrângeri ale exercițiului unor drepturi și libertăți fundamentale inerente statutului juridic special. Zilele suplimentare acordate în funcție de vechime nu reprezintă un beneficiu discreționar, ci o necesitate condiționată de capacitatea biologică de recuperare a organismului: ele </w:t>
            </w:r>
            <w:r>
              <w:rPr>
                <w:rFonts w:ascii="Times New Roman" w:eastAsia="Times New Roman" w:hAnsi="Times New Roman" w:cs="Times New Roman"/>
                <w:sz w:val="24"/>
                <w:szCs w:val="24"/>
                <w:highlight w:val="white"/>
              </w:rPr>
              <w:lastRenderedPageBreak/>
              <w:t>compensează uzura profesională acumulată, asigură recuperarea psiho-fizică a personalului expus la stres, traume profesionale și previn epuizarea profesională. Acest aspect este cu atât mai critic în cazul personalului a cărui activitate implică participarea directă la intervenții de salvare, la lichidarea consecințelor situațiilor excepționale, a incendiilor și a accidentelor tehnogene, în condiții de risc extrem pentru viață și sănătate.</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61585CC3"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Nu se acceptă.</w:t>
            </w:r>
          </w:p>
          <w:p w14:paraId="15EB9948"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0A641CFA"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Observația propune, în esență, menținerea mecanismului actual de majorare a concediului de odihnă anual în funcție de vechimea în serviciu pentru funcționarii publici cu statut special. O asemenea soluție ar schimba conceptual proiectul de lege, care urmărește uniformizarea regimului concediilor și excluderea majorărilor automate ale concediului acordate exclusiv în funcție de vechime.</w:t>
            </w:r>
          </w:p>
          <w:p w14:paraId="3DB850AD"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62FBDCFB"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Proiectul nu neagă specificul activității funcționarilor publici cu statut special și nici nivelul sporit de responsabilitate, </w:t>
            </w:r>
            <w:r>
              <w:rPr>
                <w:rFonts w:ascii="Times New Roman" w:eastAsia="Times New Roman" w:hAnsi="Times New Roman" w:cs="Times New Roman"/>
                <w:sz w:val="24"/>
                <w:szCs w:val="24"/>
                <w:highlight w:val="white"/>
              </w:rPr>
              <w:t>solicitare fizică și psihică sau riscurile aferente anumitor funcții. Totuși, aceste particularități trebuie reflectate prin mecanisme salariale, măsuri de protecție profesională, condiții speciale de muncă și alte garanții sectoriale adecvate, nu prin menținerea unui mecanism automat de acumulare a zilelor suplimentare de concediu în funcție de vechime.</w:t>
            </w:r>
          </w:p>
          <w:p w14:paraId="735964BE"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477ACBE0"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Menținerea concediilor suplimentare acordate automat pentru vechime a contribuit în practică la acumularea unor solduri mari de concedii neutilizate, ceea ce îndepărtează concediul de la funcția sa principală, odihna efectivă a salariatului și îl transformă într-o obligație financiară ulterioară pentru angajatorul public.</w:t>
            </w:r>
          </w:p>
          <w:p w14:paraId="4CEC3E25"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1E18EF41"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Totodată, proiectul nu afectează dreptul la concediu anual plătit deja dobândit și neutilizat până la intrarea în vigoare a noilor reglementări, acesta urmând a fi protejat prin norme tranzitorii. Modificarea se aplică pentru viitor și vizează regimul legal al unor beneficii suplimentare, care pot fi reevaluate de legiuitor în cadrul politicilor de resurse umane.</w:t>
            </w:r>
          </w:p>
          <w:p w14:paraId="3D9F53F9"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24655C9D"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Prin urmare, soluția normativă propusă la art. 40 din Legea nr. 288/2016 se menține.</w:t>
            </w:r>
          </w:p>
          <w:p w14:paraId="5F9EAEC0"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65A2F309" w14:textId="77777777" w:rsidR="00315874" w:rsidRDefault="00315874">
            <w:pPr>
              <w:shd w:val="clear" w:color="auto" w:fill="FFFFFF"/>
              <w:jc w:val="both"/>
              <w:rPr>
                <w:rFonts w:ascii="Times New Roman" w:eastAsia="Times New Roman" w:hAnsi="Times New Roman" w:cs="Times New Roman"/>
                <w:sz w:val="24"/>
                <w:szCs w:val="24"/>
                <w:highlight w:val="white"/>
              </w:rPr>
            </w:pPr>
          </w:p>
        </w:tc>
      </w:tr>
      <w:tr w:rsidR="00315874" w14:paraId="50027126" w14:textId="77777777">
        <w:trPr>
          <w:trHeight w:val="1148"/>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73204A76"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38D57F3D" w14:textId="77777777" w:rsidR="00315874" w:rsidRDefault="00315874">
            <w:pPr>
              <w:spacing w:line="240" w:lineRule="auto"/>
              <w:jc w:val="center"/>
              <w:rPr>
                <w:rFonts w:ascii="Times New Roman" w:eastAsia="Times New Roman" w:hAnsi="Times New Roman" w:cs="Times New Roman"/>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717F1010"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Nota de fundamentare nu conțin o analiză distinctă privind impactul eliminării concediilor suplimentare acordate pentru vechime în muncă a funcționarilor publici cu statut special și nici o evaluare efectelor asupra stabilității operaționale ale instituției. De altfel, obiectivele declarate ale proiectului pot fi atinse și fără eliminarea acestei garanții sociale, întrucât conversia concediului anual din zile calendaristice în zile lucrătoare nu presupune renunțarea la mecanismul de majorare în funcție de vechime, acesta putând fi adaptat noii modalități de calcul prin reconvertirea corespunzătoare a zilelor suplimentare acordate în prezent.</w:t>
            </w:r>
          </w:p>
          <w:p w14:paraId="32982BE7"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La caz este relevant exemplul practicii din România, care la art. 1 din Hotărârea Guvernului nr. 1578/2002 privind condițiile în baza cărora polițistul are dreptul la concedii de odihnă, concedii de studii și învoiri plătite, concedii fără plată, bilete de odihnă, tratament și recuperare, </w:t>
            </w:r>
            <w:r>
              <w:rPr>
                <w:rFonts w:ascii="Times New Roman" w:eastAsia="Times New Roman" w:hAnsi="Times New Roman" w:cs="Times New Roman"/>
                <w:sz w:val="24"/>
                <w:szCs w:val="24"/>
                <w:highlight w:val="white"/>
              </w:rPr>
              <w:lastRenderedPageBreak/>
              <w:t>prevede că polițiștii au dreptul, în fiecare an calendaristic, la un concediu de odihnă plătit, a cărui durată se stabilește în raport cu vechimea lor în serviciu, după cum urmează: a) 32 de zile calendaristice, pentru cei cu o vechime în serviciu de până la 10 ani și b) 38 de zile calendaristice, pentru cei cu o vechime în serviciu de peste 10 ani.</w:t>
            </w:r>
          </w:p>
          <w:p w14:paraId="12D8FA96"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În acest sens, MAI propune păstrarea mecanismului de majorare a concediului în funcție de vechimea în muncă conform prevederilor art. 40 alin. (2) din Legea nr. 288/2016.</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291212C7"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 xml:space="preserve">Nu se acceptă. </w:t>
            </w:r>
          </w:p>
          <w:p w14:paraId="35671E4E"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 se vedea răspunsul de la punctul precedent din prezentul aviz, referitor la art. 40 din Legea nr. 288/2016 (pct. 13). </w:t>
            </w:r>
          </w:p>
        </w:tc>
      </w:tr>
      <w:tr w:rsidR="00315874" w14:paraId="460D0C19" w14:textId="77777777">
        <w:trPr>
          <w:trHeight w:val="1148"/>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08BB9E58"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20B639C9" w14:textId="77777777" w:rsidR="00315874" w:rsidRDefault="00315874">
            <w:pPr>
              <w:spacing w:line="240" w:lineRule="auto"/>
              <w:jc w:val="center"/>
              <w:rPr>
                <w:rFonts w:ascii="Times New Roman" w:eastAsia="Times New Roman" w:hAnsi="Times New Roman" w:cs="Times New Roman"/>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09D3A71E"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În același context, nu se susțin modificările propuse la Legea nr. 162/2005 la art. VI din proiect, inclusiv stabilirea concediului de odihnă anual pentru militarii prin contract în cuantum de 28 de zile lucrătoare și modificarea alin. (12), potrivit căruia concediile de odihnă anuale suplimentare plătite urmează să fie acordate în funcție de specificul activității desfășurate, în limita alocațiilor bugetare aprobate și cu respectarea principiilor de sustenabilitate financiară.</w:t>
            </w:r>
          </w:p>
          <w:p w14:paraId="17BEEE3C"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Excluderea garanțiilor legale privind concediile suplimentare acordate militarilor prin contract și condiționarea acestora exclusiv de disponibilitatea resurselor financiare. Serviciul militar, la fel ca și funcția publică cu statut special are un caracter distinct, fiind asociat cu restrângerea unor drepturi și libertăți </w:t>
            </w:r>
            <w:r>
              <w:rPr>
                <w:rFonts w:ascii="Times New Roman" w:eastAsia="Times New Roman" w:hAnsi="Times New Roman" w:cs="Times New Roman"/>
                <w:sz w:val="24"/>
                <w:szCs w:val="24"/>
                <w:highlight w:val="white"/>
              </w:rPr>
              <w:lastRenderedPageBreak/>
              <w:t>constituționale, exercitarea atribuțiilor în regim permanent, inclusiv pe timp de noapte, în zile de repaus și de sărbătoare, precum și cu un nivel sporit de responsabilitate și risc.</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12C64074"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lastRenderedPageBreak/>
              <w:t>Nu se acceptă</w:t>
            </w:r>
            <w:r>
              <w:rPr>
                <w:rFonts w:ascii="Times New Roman" w:eastAsia="Times New Roman" w:hAnsi="Times New Roman" w:cs="Times New Roman"/>
                <w:sz w:val="24"/>
                <w:szCs w:val="24"/>
                <w:highlight w:val="white"/>
              </w:rPr>
              <w:t xml:space="preserve">. </w:t>
            </w:r>
          </w:p>
          <w:p w14:paraId="5AA34EA6"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Poziția MMPS privind acest art. din proiect (Legea nr. 162/2005) este cea expusă la pct. 14 (avizul Ministerului Apărării) din prezenta Sinteză, aplicabilă prezentei obiecții a Ministerului Afacerilor Interne. </w:t>
            </w:r>
          </w:p>
        </w:tc>
      </w:tr>
      <w:tr w:rsidR="00315874" w14:paraId="618A1021" w14:textId="77777777">
        <w:trPr>
          <w:trHeight w:val="1148"/>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7D95F418"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7CC234D3" w14:textId="77777777" w:rsidR="00315874" w:rsidRDefault="00315874">
            <w:pPr>
              <w:spacing w:line="240" w:lineRule="auto"/>
              <w:jc w:val="center"/>
              <w:rPr>
                <w:rFonts w:ascii="Times New Roman" w:eastAsia="Times New Roman" w:hAnsi="Times New Roman" w:cs="Times New Roman"/>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41718973"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Totodată, se obiectează asupra propunerii de modificare a modului de acordare a concediului anual de odihnă prin înlocuirea zilelor calendaristice cu zile lucrătoare, în lipsa unor ajustări corespunzătoare ale mecanismului de calculare a indemnizației de concediu.</w:t>
            </w:r>
          </w:p>
          <w:p w14:paraId="3BB2D1ED"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Proiectul operează o modificare conceptuală a modului de acordare a concediului anual de odihnă, fără a fi însoțit de intervenții legislative și normative corelative privind metodologia de calculare a salariului mediu utilizat la stabilirea indemnizației de concediu.</w:t>
            </w:r>
          </w:p>
          <w:p w14:paraId="562C4012"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Potrivit Hotărârii Guvernului nr.426/2004 privind aprobarea Modului de calculare a salariului mediu, la determinarea indemnizației de concediu se utilizează coeficientul timpului de muncă. Menținerea actualei metodologii de calcul în condițiile trecerii la acordarea concediului în zile lucrătoare va diminua cuantumul indemnizației de concediu și, implicit, la reducerea veniturilor efective ale salariaților în perioada exercitării dreptului la odihnă anuală.</w:t>
            </w:r>
          </w:p>
          <w:p w14:paraId="7AA2DD9C"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Actualul mecanism de calcul, construit pe acordarea concediului în zile calendaristice, asigură o corelare </w:t>
            </w:r>
            <w:r>
              <w:rPr>
                <w:rFonts w:ascii="Times New Roman" w:eastAsia="Times New Roman" w:hAnsi="Times New Roman" w:cs="Times New Roman"/>
                <w:sz w:val="24"/>
                <w:szCs w:val="24"/>
                <w:highlight w:val="white"/>
              </w:rPr>
              <w:lastRenderedPageBreak/>
              <w:t>rezonabilă între indemnizația de concediu și salariul lunar al angajatului. În schimb, modificarea propusă riscă să producă efecte financiare negative asupra salariaților, fără ca nota de fundamentare să conțină o evaluare clară a impactului economic și social al acestei intervenții.</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551C992A"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Se ia act</w:t>
            </w:r>
          </w:p>
          <w:p w14:paraId="452CC4E3"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Normele cu privire la calcularea indemnizației de concediu vor fi ajustate corespunzător urmând scopul principal de a nu diminua drepturile existente</w:t>
            </w:r>
          </w:p>
        </w:tc>
      </w:tr>
      <w:tr w:rsidR="00315874" w14:paraId="1A602D21" w14:textId="77777777">
        <w:trPr>
          <w:trHeight w:val="1148"/>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0899AFC3"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0AF8834A" w14:textId="77777777" w:rsidR="00315874" w:rsidRDefault="00315874">
            <w:pPr>
              <w:spacing w:line="240" w:lineRule="auto"/>
              <w:jc w:val="center"/>
              <w:rPr>
                <w:rFonts w:ascii="Times New Roman" w:eastAsia="Times New Roman" w:hAnsi="Times New Roman" w:cs="Times New Roman"/>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7AD1713D"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Concomitent, noțiunea „</w:t>
            </w:r>
            <w:r>
              <w:rPr>
                <w:rFonts w:ascii="Times New Roman" w:eastAsia="Times New Roman" w:hAnsi="Times New Roman" w:cs="Times New Roman"/>
                <w:i/>
                <w:iCs/>
                <w:sz w:val="24"/>
                <w:szCs w:val="24"/>
                <w:highlight w:val="white"/>
              </w:rPr>
              <w:t>cu respectarea principiilor de sustenabilitate financiară”</w:t>
            </w:r>
            <w:r>
              <w:rPr>
                <w:rFonts w:ascii="Times New Roman" w:eastAsia="Times New Roman" w:hAnsi="Times New Roman" w:cs="Times New Roman"/>
                <w:sz w:val="24"/>
                <w:szCs w:val="24"/>
                <w:highlight w:val="white"/>
              </w:rPr>
              <w:t>, nu este definită nici în proiectul de lege și nici în actul normativ care se modifică. În lipsa unei definiții legale, expresia are un caracter vag și poate genera interpretări subiective în procesul de aplicare a normei. Pentru asigurarea previzibilității reglementării, se recomandă fie definirea expresă a noțiunii, fie utilizarea unor concepte consacrate de legislația financiar-bugetară.</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4FF23CAD"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Se acceptă</w:t>
            </w:r>
          </w:p>
          <w:p w14:paraId="1B0E9B15"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Sintagma a fost exclusă din proiect.</w:t>
            </w:r>
          </w:p>
        </w:tc>
      </w:tr>
      <w:tr w:rsidR="00315874" w14:paraId="18853300" w14:textId="77777777">
        <w:trPr>
          <w:trHeight w:val="1148"/>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76AFFCD0"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5882AFBF" w14:textId="77777777" w:rsidR="00315874" w:rsidRDefault="00315874">
            <w:pPr>
              <w:spacing w:line="240" w:lineRule="auto"/>
              <w:jc w:val="center"/>
              <w:rPr>
                <w:rFonts w:ascii="Times New Roman" w:eastAsia="Times New Roman" w:hAnsi="Times New Roman" w:cs="Times New Roman"/>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289D19B7"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La punctele </w:t>
            </w:r>
            <w:r>
              <w:rPr>
                <w:rFonts w:ascii="Times New Roman" w:eastAsia="Times New Roman" w:hAnsi="Times New Roman" w:cs="Times New Roman"/>
                <w:b/>
                <w:bCs/>
                <w:sz w:val="24"/>
                <w:szCs w:val="24"/>
                <w:highlight w:val="white"/>
              </w:rPr>
              <w:t>2 și 3 din articolul V</w:t>
            </w:r>
            <w:r>
              <w:rPr>
                <w:rFonts w:ascii="Times New Roman" w:eastAsia="Times New Roman" w:hAnsi="Times New Roman" w:cs="Times New Roman"/>
                <w:sz w:val="24"/>
                <w:szCs w:val="24"/>
                <w:highlight w:val="white"/>
              </w:rPr>
              <w:t xml:space="preserve"> al proiectului de lege, prin care se propune completarea articolelor 32 și 37 din Codul muncii, cu obligația solicitării opiniei consultative a Ministerului Finanțelor, se constată că proiectul nu reglementează efectele juridice ale neprezentării acestei opinii și nici termenul în care aceasta urmează să fie emisă. În lipsa unor asemenea precizări, norma poate genera incertitudini privind validitatea negocierilor colective și poate conduce la tergiversarea procesului de negociere. Se recomandă completarea normelor cu </w:t>
            </w:r>
            <w:r>
              <w:rPr>
                <w:rFonts w:ascii="Times New Roman" w:eastAsia="Times New Roman" w:hAnsi="Times New Roman" w:cs="Times New Roman"/>
                <w:sz w:val="24"/>
                <w:szCs w:val="24"/>
                <w:highlight w:val="white"/>
              </w:rPr>
              <w:lastRenderedPageBreak/>
              <w:t>prevederi care să stabilească termenul de emitere a opiniei și efectele neprezentării acesteia în termen.</w:t>
            </w:r>
          </w:p>
          <w:p w14:paraId="2DF04777" w14:textId="77777777" w:rsidR="00315874" w:rsidRDefault="00315874">
            <w:pPr>
              <w:jc w:val="both"/>
              <w:rPr>
                <w:rFonts w:ascii="Times New Roman" w:eastAsia="Times New Roman" w:hAnsi="Times New Roman" w:cs="Times New Roman"/>
                <w:sz w:val="24"/>
                <w:szCs w:val="24"/>
                <w:highlight w:val="white"/>
              </w:rPr>
            </w:pPr>
          </w:p>
          <w:p w14:paraId="75F26CBB"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Cu referire la completările operate la art. 32, art. 37 și art. 38 din Codul muncii, se propune excluderea acestora. Prin modificările propuse, autorul instituie obligația angajatorului de a solicita opinia consultativă a Ministerului Finanțelor anterior inițierii negocierilor colective, obligația părților de a solicita aceeași opinie anterior semnării convențiilor colective care implică alocarea mijloacelor din bugetul public național, precum și obligația transmiterii convențiilor colective către Ministerul Finanțelor în vederea monitorizării. În acest mod, Ministerului Finanțelor îi este atribuit un rol procedural distinct în mecanismul negocierii colective, deși acesta nu deține calitatea de parte a raporturilor colective de muncă. Negocierea colectivă este, prin natura sa, un proces bilateral, desfășurat între angajatori și reprezentanții salariaților; introducerea obligației de solicitare a opiniei Ministerului Finanțelor instituie un filtru administrativ suplimentar care modifică echilibrul dintre partenerii sociali și extinde competențele unei autorități publice asupra unui proces în care aceasta nu are calitatea de parte. </w:t>
            </w:r>
          </w:p>
          <w:p w14:paraId="70422D3A"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 xml:space="preserve">Deși autorul califică intervenția drept „consultativă”, redactarea normelor nu permite determinarea efectelor pe care această opinie le produce (dacă negocierile pot fi inițiate ori finalizate în lipsa opiniei, dacă părțile pot încheia convenția în situația unei opinii negative). </w:t>
            </w:r>
          </w:p>
          <w:p w14:paraId="35CE0E78"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Mai mult, condiționarea acordării concediilor suplimentare de „limita alocațiilor bugetare aprobate”, dublată de obligativitatea opiniilor consultative prealabile ale Ministerului Finanțelor, contravine Convenției Organizației Internaționale a Muncii nr. 98 privind aplicarea principiilor dreptului de organizare și de negociere colectivă. Obiectivul declarat al disciplinei financiar-bugetare poate fi realizat prin mecanismele deja existente (stabilirea limitelor de cheltuieli prin legea bugetului de stat și alte instrumente de planificare bugetară), fără a modifica mecanismul juridic al negocierii colective.</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3D0DE9EF"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Se acceptă parțial.</w:t>
            </w:r>
          </w:p>
          <w:p w14:paraId="59D45595"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Se acceptă completarea art. 32 și art. 37 din Codul muncii cu precizări privind termenul de emitere a opiniei consultative a Ministerului Finanțelor (10 zile lucrătoare de la solicitare) și efectul juridic al neprezentării acesteia în termen: negocierile colective pot continua, iar convenția/contractul colectiv poate fi semnat, opinia neexprimată în termen echivalând cu absența unor obiecții.</w:t>
            </w:r>
          </w:p>
          <w:p w14:paraId="41E41437"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Nu se acceptă excluderea integrală a obligației de solicitare a opiniei consultative a Ministerului Finanțelor. Măsura vizează exclusiv negocierile colective aplicabile sectorului bugetar sau </w:t>
            </w:r>
            <w:r>
              <w:rPr>
                <w:rFonts w:ascii="Times New Roman" w:eastAsia="Times New Roman" w:hAnsi="Times New Roman" w:cs="Times New Roman"/>
                <w:sz w:val="24"/>
                <w:szCs w:val="24"/>
                <w:highlight w:val="white"/>
              </w:rPr>
              <w:t>clauzele care implică alocarea de mijloace din bugetul public național și urmărește asigurarea disciplinei bugetar-fiscale, fără a afecta caracterul bilateral al negocierii colective: opinia este consultativă, nu obligă părțile și nu condiționează validitatea negocierii sau a convenției/contractului colectiv.</w:t>
            </w:r>
          </w:p>
          <w:p w14:paraId="65E848B6"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Prin urmare, art. 32, art. 37 și art. 38 din proiect se mențin, cu completările indicate mai sus.</w:t>
            </w:r>
          </w:p>
          <w:p w14:paraId="1B3A59F1"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289934A4" w14:textId="77777777" w:rsidR="00315874" w:rsidRDefault="00315874">
            <w:pPr>
              <w:shd w:val="clear" w:color="auto" w:fill="FFFFFF"/>
              <w:jc w:val="both"/>
              <w:rPr>
                <w:rFonts w:ascii="Times New Roman" w:eastAsia="Times New Roman" w:hAnsi="Times New Roman" w:cs="Times New Roman"/>
                <w:sz w:val="24"/>
                <w:szCs w:val="24"/>
                <w:highlight w:val="white"/>
              </w:rPr>
            </w:pPr>
          </w:p>
        </w:tc>
      </w:tr>
      <w:tr w:rsidR="00315874" w14:paraId="14405C65" w14:textId="77777777">
        <w:trPr>
          <w:trHeight w:val="1148"/>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49023C0D"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75C68946" w14:textId="77777777" w:rsidR="00315874" w:rsidRDefault="00315874">
            <w:pPr>
              <w:spacing w:line="240" w:lineRule="auto"/>
              <w:jc w:val="center"/>
              <w:rPr>
                <w:rFonts w:ascii="Times New Roman" w:eastAsia="Times New Roman" w:hAnsi="Times New Roman" w:cs="Times New Roman"/>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5C8D385E"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În continuarea analizei articolului </w:t>
            </w:r>
            <w:r>
              <w:rPr>
                <w:rFonts w:ascii="Times New Roman" w:eastAsia="Times New Roman" w:hAnsi="Times New Roman" w:cs="Times New Roman"/>
                <w:b/>
                <w:bCs/>
                <w:sz w:val="24"/>
                <w:szCs w:val="24"/>
                <w:highlight w:val="white"/>
              </w:rPr>
              <w:t>V,</w:t>
            </w:r>
            <w:r>
              <w:rPr>
                <w:rFonts w:ascii="Times New Roman" w:eastAsia="Times New Roman" w:hAnsi="Times New Roman" w:cs="Times New Roman"/>
                <w:sz w:val="24"/>
                <w:szCs w:val="24"/>
                <w:highlight w:val="white"/>
              </w:rPr>
              <w:t xml:space="preserve"> la </w:t>
            </w:r>
            <w:r>
              <w:rPr>
                <w:rFonts w:ascii="Times New Roman" w:eastAsia="Times New Roman" w:hAnsi="Times New Roman" w:cs="Times New Roman"/>
                <w:b/>
                <w:bCs/>
                <w:sz w:val="24"/>
                <w:szCs w:val="24"/>
                <w:highlight w:val="white"/>
              </w:rPr>
              <w:t>pct. 5</w:t>
            </w:r>
            <w:r>
              <w:rPr>
                <w:rFonts w:ascii="Times New Roman" w:eastAsia="Times New Roman" w:hAnsi="Times New Roman" w:cs="Times New Roman"/>
                <w:sz w:val="24"/>
                <w:szCs w:val="24"/>
                <w:highlight w:val="white"/>
              </w:rPr>
              <w:t xml:space="preserve"> din proiect, prin care se propune modificarea art. 113 alin. (1) din Codul muncii, se obiectează asupra lipsei unei justificări normative suficiente privind substituirea duratei concediului de odihnă anual exprimată anterior în zile calendaristice cu durata exprimată în zile lucrătoare. </w:t>
            </w:r>
          </w:p>
          <w:p w14:paraId="30B84464"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Din cuprinsul proiectului și al modificărilor operate asupra diferitelor acte normative nu rezultă metodologia </w:t>
            </w:r>
            <w:r>
              <w:rPr>
                <w:rFonts w:ascii="Times New Roman" w:eastAsia="Times New Roman" w:hAnsi="Times New Roman" w:cs="Times New Roman"/>
                <w:sz w:val="24"/>
                <w:szCs w:val="24"/>
                <w:highlight w:val="white"/>
              </w:rPr>
              <w:lastRenderedPageBreak/>
              <w:t xml:space="preserve">utilizată pentru conversia zilelor calendaristice în zile lucrătoare și nici criteriile care au stat la baza stabilirii noilor durate ale concediilor. În aceste condiții, nu poate fi verificat dacă modificările propuse reprezintă o simplă adaptare tehnică a unității de măsură sau dacă acestea conduc la diminuarea ori majorarea efectivă a garanțiilor sociale existente. </w:t>
            </w:r>
          </w:p>
          <w:p w14:paraId="28248CCB"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În vederea respectării principiilor transparenței și securității juridice, se recomandă completarea notei de fundamentare cu o explicație detaliată privind mecanismul de conversie utilizat și demonstrarea echivalenței drepturilor existente cu cele propuse.</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1D3A00C5"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lastRenderedPageBreak/>
              <w:t>Se acceptă parțial</w:t>
            </w:r>
            <w:r>
              <w:rPr>
                <w:rFonts w:ascii="Times New Roman" w:eastAsia="Times New Roman" w:hAnsi="Times New Roman" w:cs="Times New Roman"/>
                <w:sz w:val="24"/>
                <w:szCs w:val="24"/>
                <w:highlight w:val="white"/>
              </w:rPr>
              <w:t>, completarea Notei de fundamentare cu explicarea metodologiei de conversie.</w:t>
            </w:r>
          </w:p>
          <w:p w14:paraId="553C41CF"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Proiectul utilizează două metodologii de conversie, aplicate consecvent:</w:t>
            </w:r>
          </w:p>
          <w:p w14:paraId="03B57D8A"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(i) pentru durata de bază a concediilor anuale, coeficientul de conversie este raportul 22/28 dintre zilele lucrătoare și zilele calendaristice (a se vedea pct. 3, avizul Cancelariei de Stat), </w:t>
            </w:r>
            <w:r>
              <w:rPr>
                <w:rFonts w:ascii="Times New Roman" w:eastAsia="Times New Roman" w:hAnsi="Times New Roman" w:cs="Times New Roman"/>
                <w:sz w:val="24"/>
                <w:szCs w:val="24"/>
                <w:highlight w:val="white"/>
              </w:rPr>
              <w:lastRenderedPageBreak/>
              <w:t>aplicat prin înmulțire, cu rotunjire la numărul întreg imediat superior;</w:t>
            </w:r>
          </w:p>
          <w:p w14:paraId="649DDAB7"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(ii) pentru perioadele exprimate ca multipli de săptămâni calendaristice (de exemplu, „14 zile calendaristice” = 2 săptămâni), echivalentul este calculat ca număr de săptămâni lucrătoare corespunzător (2 săptămâni × 5 zile lucrătoare = 10 zile lucrătoare), întrucât aceste praguri denotă o perioadă de timp continuă, nu un cuantum proporțional al concediului.</w:t>
            </w:r>
          </w:p>
          <w:p w14:paraId="16DC988B"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Nota de fundamentare a fost completată cu prezentarea explicită a acestor două metodologii și cu aplicarea lor pe fiecare categorie de personal vizată de proiect.</w:t>
            </w:r>
          </w:p>
          <w:p w14:paraId="27D4BBDA"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27376C3E" w14:textId="77777777" w:rsidR="00315874" w:rsidRDefault="00315874">
            <w:pPr>
              <w:shd w:val="clear" w:color="auto" w:fill="FFFFFF"/>
              <w:jc w:val="both"/>
              <w:rPr>
                <w:rFonts w:ascii="Times New Roman" w:eastAsia="Times New Roman" w:hAnsi="Times New Roman" w:cs="Times New Roman"/>
                <w:sz w:val="24"/>
                <w:szCs w:val="24"/>
                <w:highlight w:val="white"/>
              </w:rPr>
            </w:pPr>
          </w:p>
        </w:tc>
      </w:tr>
      <w:tr w:rsidR="00315874" w14:paraId="5A81518F" w14:textId="77777777">
        <w:trPr>
          <w:trHeight w:val="1148"/>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04254851"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2553F2B1" w14:textId="77777777" w:rsidR="00315874" w:rsidRDefault="00315874">
            <w:pPr>
              <w:spacing w:line="240" w:lineRule="auto"/>
              <w:jc w:val="center"/>
              <w:rPr>
                <w:rFonts w:ascii="Times New Roman" w:eastAsia="Times New Roman" w:hAnsi="Times New Roman" w:cs="Times New Roman"/>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20922AAC"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La articolul VI, în noua redacție a art. 14 alin. (12) din Legea nr.162/2005 cu privire la statutul militarilor, se obiectează asupra utilizării sintagmei „</w:t>
            </w:r>
            <w:r>
              <w:rPr>
                <w:rFonts w:ascii="Times New Roman" w:eastAsia="Times New Roman" w:hAnsi="Times New Roman" w:cs="Times New Roman"/>
                <w:i/>
                <w:iCs/>
                <w:sz w:val="24"/>
                <w:szCs w:val="24"/>
                <w:highlight w:val="white"/>
              </w:rPr>
              <w:t>cu respectarea principiilor de sustenabilitate financiară”</w:t>
            </w:r>
            <w:r>
              <w:rPr>
                <w:rFonts w:ascii="Times New Roman" w:eastAsia="Times New Roman" w:hAnsi="Times New Roman" w:cs="Times New Roman"/>
                <w:sz w:val="24"/>
                <w:szCs w:val="24"/>
                <w:highlight w:val="white"/>
              </w:rPr>
              <w:t xml:space="preserve">. Noțiunea respectivă nu este definită nici în proiectul de lege și nici în actul normativ care se modifică. În lipsa unei definiții legale, expresia are un caracter vag și poate genera interpretări subiective în procesul de aplicare a normei. </w:t>
            </w:r>
          </w:p>
          <w:p w14:paraId="227BCF12"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Pentru asigurarea previzibilității reglementării, se recomandă fie definirea expresă a noțiunii, fie utilizarea unor concepte consacrate de legislația financiar-bugetară.</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02C39D11"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Se acceptă parțial.</w:t>
            </w:r>
          </w:p>
          <w:p w14:paraId="256D3925"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6A35FB1C"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Observația privind lipsa unei definiții legale a sintagmei „cu respectarea principiilor de sustenabilitate financiară” este întemeiată. Într-adevăr, utilizarea unei noțiuni generale, nedefinite în proiect și nici în actul normativ care se modifică, poate genera interpretări neuniforme în procesul de aplicare a normei.</w:t>
            </w:r>
          </w:p>
          <w:p w14:paraId="33EF5AA2"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0074BD31"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Totodată, nu se acceptă excluderea completă a referinței la necesitatea corelării concediilor suplimentare cu resursele bugetare disponibile, întrucât stabilirea unor garanții </w:t>
            </w:r>
            <w:r>
              <w:rPr>
                <w:rFonts w:ascii="Times New Roman" w:eastAsia="Times New Roman" w:hAnsi="Times New Roman" w:cs="Times New Roman"/>
                <w:sz w:val="24"/>
                <w:szCs w:val="24"/>
                <w:highlight w:val="white"/>
              </w:rPr>
              <w:lastRenderedPageBreak/>
              <w:t>suplimentare față de cele prevăzute expres de lege, în special în sectorul bugetar, trebuie realizată cu respectarea cadrului financiar-bugetar aplicabil.</w:t>
            </w:r>
          </w:p>
          <w:p w14:paraId="198AA718"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7738F039"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Pentru asigurarea clarității și previzibilității reglementării, sintagma „cu respectarea principiilor de sustenabilitate financiară” va fi exclusă și substituită cu o formulare consacrată de legislația financiar-bugetară, respectiv „în limitele alocațiilor bugetare aprobate”.</w:t>
            </w:r>
          </w:p>
          <w:p w14:paraId="5E64C25D" w14:textId="77777777" w:rsidR="00315874" w:rsidRDefault="00315874">
            <w:pPr>
              <w:shd w:val="clear" w:color="auto" w:fill="FFFFFF"/>
              <w:jc w:val="both"/>
              <w:rPr>
                <w:rFonts w:ascii="Times New Roman" w:eastAsia="Times New Roman" w:hAnsi="Times New Roman" w:cs="Times New Roman"/>
                <w:sz w:val="24"/>
                <w:szCs w:val="24"/>
                <w:highlight w:val="white"/>
              </w:rPr>
            </w:pPr>
          </w:p>
        </w:tc>
      </w:tr>
      <w:tr w:rsidR="00315874" w14:paraId="56301A1A" w14:textId="77777777">
        <w:trPr>
          <w:trHeight w:val="1148"/>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2E22CABE"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07C8B52A" w14:textId="77777777" w:rsidR="00315874" w:rsidRDefault="00315874">
            <w:pPr>
              <w:spacing w:line="240" w:lineRule="auto"/>
              <w:jc w:val="center"/>
              <w:rPr>
                <w:rFonts w:ascii="Times New Roman" w:eastAsia="Times New Roman" w:hAnsi="Times New Roman" w:cs="Times New Roman"/>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39DAD371"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Referitor la completarea</w:t>
            </w:r>
            <w:r>
              <w:rPr>
                <w:rFonts w:ascii="Times New Roman" w:eastAsia="Times New Roman" w:hAnsi="Times New Roman" w:cs="Times New Roman"/>
                <w:b/>
                <w:bCs/>
                <w:sz w:val="24"/>
                <w:szCs w:val="24"/>
                <w:highlight w:val="white"/>
              </w:rPr>
              <w:t xml:space="preserve"> articolului 113</w:t>
            </w:r>
            <w:r>
              <w:rPr>
                <w:rFonts w:ascii="Times New Roman" w:eastAsia="Times New Roman" w:hAnsi="Times New Roman" w:cs="Times New Roman"/>
                <w:sz w:val="24"/>
                <w:szCs w:val="24"/>
                <w:highlight w:val="white"/>
              </w:rPr>
              <w:t xml:space="preserve"> cu alineatul (1</w:t>
            </w:r>
            <w:r>
              <w:rPr>
                <w:rFonts w:ascii="Times New Roman" w:eastAsia="Times New Roman" w:hAnsi="Times New Roman" w:cs="Times New Roman"/>
                <w:sz w:val="24"/>
                <w:szCs w:val="24"/>
                <w:highlight w:val="white"/>
                <w:vertAlign w:val="superscript"/>
              </w:rPr>
              <w:t>1</w:t>
            </w:r>
            <w:r>
              <w:rPr>
                <w:rFonts w:ascii="Times New Roman" w:eastAsia="Times New Roman" w:hAnsi="Times New Roman" w:cs="Times New Roman"/>
                <w:sz w:val="24"/>
                <w:szCs w:val="24"/>
                <w:highlight w:val="white"/>
              </w:rPr>
              <w:t>), se constată că formularea „Durata efectivă a concediului de odihnă anual se stabilește în contractul individual de muncă [...] precum și a regulamentului intern (...) și a contractului colectiv de muncă” poate genera dificultăți de interpretare sub aspectul raportului dintre aceste acte juridice. Norma nu precizează dacă durata concediului urmează să fie stabilită cumulativ prin toate actele enumerate sau dacă este suficientă reglementarea acesteia prin unul dintre acestea.</w:t>
            </w:r>
          </w:p>
          <w:p w14:paraId="1AEE5EF5" w14:textId="77777777" w:rsidR="00315874" w:rsidRDefault="00315874">
            <w:pPr>
              <w:jc w:val="both"/>
              <w:rPr>
                <w:rFonts w:ascii="Times New Roman" w:eastAsia="Times New Roman" w:hAnsi="Times New Roman" w:cs="Times New Roman"/>
                <w:sz w:val="24"/>
                <w:szCs w:val="24"/>
                <w:highlight w:val="white"/>
              </w:rPr>
            </w:pPr>
          </w:p>
          <w:p w14:paraId="45BDACBA"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Totodată, expresia „cu respectarea [...] regulamentului intern” este improprie din punct de vedere semantic, întrucât regulamentul intern nu constituie un reper legal superior contractului individual de muncă. În vederea </w:t>
            </w:r>
            <w:r>
              <w:rPr>
                <w:rFonts w:ascii="Times New Roman" w:eastAsia="Times New Roman" w:hAnsi="Times New Roman" w:cs="Times New Roman"/>
                <w:sz w:val="24"/>
                <w:szCs w:val="24"/>
                <w:highlight w:val="white"/>
              </w:rPr>
              <w:lastRenderedPageBreak/>
              <w:t>evitării interpretărilor divergente, se recomandă reformularea normei prin delimitarea clară a rolului fiecărui act juridic în stabilirea duratei concediului.</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18983F9A"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Se acceptă.</w:t>
            </w:r>
          </w:p>
          <w:p w14:paraId="23CCBD3B"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Art. 113 alin. (1¹) va fi reformulat pentru a elimina ambiguitatea semnalată, prin eliminarea referirii la regulamentul intern și clarificarea raportului dintre contractul individual de muncă și contractul colectiv de muncă, cu următorul cuprins:</w:t>
            </w:r>
          </w:p>
          <w:p w14:paraId="00844273"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„(1¹) Durata efectivă a concediului de odihnă anual se stabilește în contractul individual de muncă, cu respectarea duratei minime prevăzute la alin. (1) și, după caz, a contractului colectiv de muncă sau a convenției colective aplicabile.”</w:t>
            </w:r>
          </w:p>
          <w:p w14:paraId="6CF5EA3A"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3127929B" w14:textId="77777777" w:rsidR="00315874" w:rsidRDefault="00315874">
            <w:pPr>
              <w:shd w:val="clear" w:color="auto" w:fill="FFFFFF"/>
              <w:jc w:val="both"/>
              <w:rPr>
                <w:rFonts w:ascii="Times New Roman" w:eastAsia="Times New Roman" w:hAnsi="Times New Roman" w:cs="Times New Roman"/>
                <w:sz w:val="24"/>
                <w:szCs w:val="24"/>
                <w:highlight w:val="white"/>
              </w:rPr>
            </w:pPr>
          </w:p>
        </w:tc>
      </w:tr>
      <w:tr w:rsidR="00315874" w14:paraId="2C1B8DBA" w14:textId="77777777">
        <w:trPr>
          <w:trHeight w:val="1148"/>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0E663077"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015DF09E" w14:textId="77777777" w:rsidR="00315874" w:rsidRDefault="00315874">
            <w:pPr>
              <w:spacing w:line="240" w:lineRule="auto"/>
              <w:jc w:val="center"/>
              <w:rPr>
                <w:rFonts w:ascii="Times New Roman" w:eastAsia="Times New Roman" w:hAnsi="Times New Roman" w:cs="Times New Roman"/>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0BE49765"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La punctele 6-8 din același articol al proiectului de lege prin care sintagma „14 zile calendaristice” este substituită cu sintagma „două săptămâni lucrătoare de concediu neîntrerupt”, se obiectează asupra utilizării unei noțiuni susceptibile de interpretări diferite.</w:t>
            </w:r>
          </w:p>
          <w:p w14:paraId="5B90C7CC"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Expresia „două săptămâni lucrătoare” poate avea un conținut diferit în funcție de regimul de muncă aplicabil salariatului, respectiv săptămâna de muncă de cinci zile sau de șase zile. În consecință, norma nu oferă un criteriu suficient de clar pentru determinarea duratei efective a concediului. În vederea asigurării previzibilității și aplicării uniforme a legii, se recomandă exprimarea duratei în număr exact de zile lucrătoare.</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5C4DB4BD"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Se acceptă, proiectul se va modifica cu indicarea a 10 zile lucrătoare.</w:t>
            </w:r>
          </w:p>
        </w:tc>
      </w:tr>
      <w:tr w:rsidR="00315874" w14:paraId="5981358A" w14:textId="77777777">
        <w:trPr>
          <w:trHeight w:val="1148"/>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3818F4F5"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307A336C" w14:textId="77777777" w:rsidR="00315874" w:rsidRDefault="00315874">
            <w:pPr>
              <w:spacing w:line="240" w:lineRule="auto"/>
              <w:jc w:val="center"/>
              <w:rPr>
                <w:rFonts w:ascii="Times New Roman" w:eastAsia="Times New Roman" w:hAnsi="Times New Roman" w:cs="Times New Roman"/>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5B137699"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În același context, se notifică că, specificul activităţii funcționarilor publici cu statut special, dar și a altor categorii de profesii, cum ar fi militari, medici, etc., impune un regim de muncă diversificat, motiv pentru care o parte considerabilă a personalului prestează munca în schimburi apar un şir de nuanţe juridice şi organizatorice: pentru această categorie de personal, zilele de sâmbătă și </w:t>
            </w:r>
            <w:r>
              <w:rPr>
                <w:rFonts w:ascii="Times New Roman" w:eastAsia="Times New Roman" w:hAnsi="Times New Roman" w:cs="Times New Roman"/>
                <w:sz w:val="24"/>
                <w:szCs w:val="24"/>
                <w:highlight w:val="white"/>
              </w:rPr>
              <w:lastRenderedPageBreak/>
              <w:t>duminică nu reprezintă, în mod necesar, zile de repaus, acestea fiind frecvent zile de serviciu în anumite cazuri.</w:t>
            </w:r>
          </w:p>
          <w:p w14:paraId="14B9A68C"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De asemenea, în cazul instituirii stării de alarmă, desfășurării operațiunilor speciale sau apariției unor situații excepționale, efectivul poate fi atras la serviciu, inclusiv în zilele de repaus, iar neprezentarea nejustificată constituie abatere disciplinară și poate determina inițierea anchetei de serviciu. Prin urmare, acordarea concediului exclusiv pentru zilele lucrătoare (luni–vineri) creează premisele apariției unor situații juridice și practice neclare. </w:t>
            </w:r>
          </w:p>
          <w:p w14:paraId="31370FF8"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Astfel, un funcționar public cu statut special aflat în concediu peste hotarele Republicii Moldova, poate fi considerat, formal, în afara concediului în zilele de repaus săptămânal și, implicit, susceptibil de a fi chemat pe alarmă, deși se află în imposibilitate obiectivă de a se prezenta. </w:t>
            </w:r>
          </w:p>
          <w:p w14:paraId="286C5F08"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O asemenea reglementare afectează securitatea raporturilor de serviciu și este incompatibilă cu necesitatea asigurării unei perioade continue și efective de recuperare fizică și psihică.</w:t>
            </w:r>
          </w:p>
          <w:p w14:paraId="608689C0" w14:textId="77777777" w:rsidR="00315874" w:rsidRDefault="00315874">
            <w:pPr>
              <w:jc w:val="both"/>
              <w:rPr>
                <w:rFonts w:ascii="Times New Roman" w:eastAsia="Times New Roman" w:hAnsi="Times New Roman" w:cs="Times New Roman"/>
                <w:sz w:val="24"/>
                <w:szCs w:val="24"/>
                <w:highlight w:val="white"/>
              </w:rPr>
            </w:pPr>
          </w:p>
          <w:p w14:paraId="245F6E68"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Astfel, pentru a evita confuziile şi riscurile apariţiei unor litigii în instanţa de judecată, este imperios ca autorul proiectului să facă o claritate (prin completarea Codului </w:t>
            </w:r>
            <w:r>
              <w:rPr>
                <w:rFonts w:ascii="Times New Roman" w:eastAsia="Times New Roman" w:hAnsi="Times New Roman" w:cs="Times New Roman"/>
                <w:sz w:val="24"/>
                <w:szCs w:val="24"/>
                <w:highlight w:val="white"/>
              </w:rPr>
              <w:lastRenderedPageBreak/>
              <w:t>muncii) ,,ce înseamnă zile lucrătoare pentru munca în schimburi”, de exemplu ,,prin zi lucrătoare se înțelege orice zi în care salariatul avea obligația de a presta munca conform graficului de muncă (în schimburi), cu excluderea zilelor de odihnă după schimb şi a zilelor de sărbătoare nelucrătoare.” sau ,,Calculul concediului se efectuează în zile lucrătoare, raportat la regimul săptămânii de muncă de 5 zile (luni-vineri), sâmbăta și duminica nefiind incluse în durata concediului, indiferent de graficul schimburilor.”.</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7C1B5595"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 xml:space="preserve">Se acceptă. </w:t>
            </w:r>
          </w:p>
          <w:p w14:paraId="3FAF321C"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Proiectul a fost modificat după cum urmează:</w:t>
            </w:r>
          </w:p>
          <w:p w14:paraId="3F22351D" w14:textId="77777777" w:rsidR="00315874" w:rsidRDefault="00000000">
            <w:pPr>
              <w:shd w:val="clear" w:color="auto" w:fill="FFFFFF"/>
              <w:ind w:firstLine="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Tuturor salariaților li se acordă anual un concediu de odihnă plătit, cu o durată de cel puțin 22 de zile lucrătoare, cu exceptând zilele de sărbătoare nelucrătoare, în condițiile unei săptămâni de muncă de 5 zile și cel puțin 24 de zile lucrătoare în condițiile unei săptămâni de muncă de 6 zile.”</w:t>
            </w:r>
          </w:p>
          <w:p w14:paraId="1E5C6451" w14:textId="77777777" w:rsidR="00315874" w:rsidRDefault="00000000">
            <w:pPr>
              <w:shd w:val="clear" w:color="auto" w:fill="FFFFFF"/>
              <w:ind w:firstLine="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Totodată art. 113 este completat cu prevederi suplimentare în ceea ce ține de concediul pentru alte categorii de salariați. </w:t>
            </w:r>
          </w:p>
        </w:tc>
      </w:tr>
      <w:tr w:rsidR="00315874" w14:paraId="1E97CD95" w14:textId="77777777">
        <w:trPr>
          <w:trHeight w:val="1148"/>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4CEFDF3A"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295383B9" w14:textId="77777777" w:rsidR="00315874" w:rsidRDefault="00315874">
            <w:pPr>
              <w:spacing w:line="240" w:lineRule="auto"/>
              <w:jc w:val="center"/>
              <w:rPr>
                <w:rFonts w:ascii="Times New Roman" w:eastAsia="Times New Roman" w:hAnsi="Times New Roman" w:cs="Times New Roman"/>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03F106E9"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La articolul XX alineatul (2) din proiectul de lege supus avizării, referitor la regimul tranzitoriu al concediilor de odihnă acumulate și nefolosite până la intrarea în vigoare a legii, întrucât legea urmează să intre în vigoare la 1 ianuarie 2027, proiectul trebuie completat cu dispoziții tranzitorii exprese care să ofere o formulă clară de calcul pentru anul de muncă aflat în curs. În prezent, proiectul nu reglementează situațiile practice de tranziție, precum: utilizarea integrală a dreptului la concediu (de exemplu, 45 de zile calendaristice) înainte de intrarea în vigoare a legii; utilizarea parțială a concediului și trecerea soldului din zile calendaristice în zile lucrătoare; ori situația concediului acordat în avans, atât pentru anul în curs, cât și pentru anul următor, calculate în zile calendaristice. </w:t>
            </w:r>
            <w:r>
              <w:rPr>
                <w:rFonts w:ascii="Times New Roman" w:eastAsia="Times New Roman" w:hAnsi="Times New Roman" w:cs="Times New Roman"/>
                <w:sz w:val="24"/>
                <w:szCs w:val="24"/>
                <w:highlight w:val="white"/>
              </w:rPr>
              <w:lastRenderedPageBreak/>
              <w:t>Lipsa acestor clarificări este de natură a genera interpretări neuniforme și litigii.</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50A2BCAF"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Se acceptă</w:t>
            </w:r>
          </w:p>
          <w:p w14:paraId="0E2D6D94"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Se propune următoarea redacție la prevederile tranzitorii :</w:t>
            </w:r>
          </w:p>
          <w:p w14:paraId="7FD17EBC"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”Zilele de concediu de odihnă anual acumulate și neutilizate  de către salariați până la intrarea în vigoare a prezentei legi se acordă și se calculează în zile calendaristice până la epuizarea integrală a soldului de concediu restant. </w:t>
            </w:r>
          </w:p>
          <w:p w14:paraId="22F7E670"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Începând cu 1 ianuarie 2027, concediile de odihnă anuale și cele suplimentare plătite aferente anului 2027 și perioadelor următoare se acordă și se calculează în zile lucrătoare, cu respectarea art. 116 din prezentul cod.</w:t>
            </w:r>
          </w:p>
          <w:p w14:paraId="1B501F25"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Pentru anul 2026, concediile vor fi acordate și calculate în zile calendaristice proporțional cu perioada pentru care a fost dobândit dreptul la acest concediu până la data de 31 decembrie 2026.”</w:t>
            </w:r>
          </w:p>
          <w:p w14:paraId="6BC79AB7"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63875B3C"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Suplimentar art. 113/1 va fi modificat:</w:t>
            </w:r>
          </w:p>
          <w:p w14:paraId="5AC3F745"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 Anul de muncă pentru care se acordă concediul de odihnă anual corespunde perioadei cuprinse între 1 ianuarie și 31 decembrie a anului calendaristic. În cazul în care salariatul nu a prestat activitate pe întreaga durată a anului de muncă, concediul de odihnă anual se acordă proporțional cu perioada efectiv lucrată, în condițiile prevăzute de legislația în vigoare.”</w:t>
            </w:r>
          </w:p>
          <w:p w14:paraId="2AF1F02E" w14:textId="77777777" w:rsidR="00315874" w:rsidRDefault="00315874">
            <w:pPr>
              <w:shd w:val="clear" w:color="auto" w:fill="FFFFFF"/>
              <w:jc w:val="both"/>
              <w:rPr>
                <w:rFonts w:ascii="Times New Roman" w:eastAsia="Times New Roman" w:hAnsi="Times New Roman" w:cs="Times New Roman"/>
                <w:sz w:val="24"/>
                <w:szCs w:val="24"/>
                <w:highlight w:val="white"/>
              </w:rPr>
            </w:pPr>
          </w:p>
        </w:tc>
      </w:tr>
      <w:tr w:rsidR="00315874" w14:paraId="40F91658" w14:textId="77777777">
        <w:trPr>
          <w:trHeight w:val="1148"/>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40B6A1CC"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3969F2B1" w14:textId="77777777" w:rsidR="00315874" w:rsidRDefault="00315874">
            <w:pPr>
              <w:spacing w:line="240" w:lineRule="auto"/>
              <w:jc w:val="center"/>
              <w:rPr>
                <w:rFonts w:ascii="Times New Roman" w:eastAsia="Times New Roman" w:hAnsi="Times New Roman" w:cs="Times New Roman"/>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30903323"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În concluzie,</w:t>
            </w:r>
            <w:r>
              <w:rPr>
                <w:rFonts w:ascii="Times New Roman" w:eastAsia="Times New Roman" w:hAnsi="Times New Roman" w:cs="Times New Roman"/>
                <w:sz w:val="24"/>
                <w:szCs w:val="24"/>
                <w:highlight w:val="white"/>
              </w:rPr>
              <w:t xml:space="preserve"> dreptul la concediu de odihna anual este unul dintre drepturile fundamentale prevăzute la articolul 43 alineatul (2) din Constituția Republicii Moldova, care stabilește că salariații au dreptul la protecția muncii. Măsurile de protecție privesc securitatea și igiena muncii, regimul de muncă al femeilor și al tinerilor, instituirea unui salariu minim pe economie, repaosul săptămânal, concediul de odihnă plătit, prestarea muncii în condiții grele, precum și alte situații specifice.</w:t>
            </w:r>
          </w:p>
          <w:p w14:paraId="2706A074"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Categoria măsurilor de protecție pentru ,,situații specifice” și ,,condiții grele” de muncă este garantată funcționarilor publici cu statut special/militarilor însăși prin expunerea constantă la un grad înalt de rist pentru viață și sănătate. Condiționarea unui drept fundamental sub forma garanțiilor sociale de disponibilitate financiară, reprezintă o afectare directă a substanței dreptului </w:t>
            </w:r>
            <w:r>
              <w:rPr>
                <w:rFonts w:ascii="Times New Roman" w:eastAsia="Times New Roman" w:hAnsi="Times New Roman" w:cs="Times New Roman"/>
                <w:sz w:val="24"/>
                <w:szCs w:val="24"/>
                <w:highlight w:val="white"/>
              </w:rPr>
              <w:lastRenderedPageBreak/>
              <w:t>constituțional la protecția muncii și o diminuare arbitrară a garanțiilor sociale specifice.</w:t>
            </w:r>
          </w:p>
          <w:p w14:paraId="44465AB5"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Având în vedere obiecțiile de concept expuse supra, în special cele ce țin de lipsa unei fundamentări clare a conversiei zilelor calendaristice în zile lucrătoare, absența demonstrației privind menținerea nivelului actual al garanțiilor sociale și tratamentul diferențiat aplicat neuniform diverselor categorii de salariați fără justificarea unor criterii obiective și verificabile, se constată că soluțiile legislative propuse nu asigură, în forma actuală, un nivel suficient de protecție și previzibilitate pentru beneficiarii reglementării.</w:t>
            </w:r>
          </w:p>
          <w:p w14:paraId="5A12A00D" w14:textId="77777777" w:rsidR="00315874" w:rsidRDefault="00315874">
            <w:pPr>
              <w:jc w:val="both"/>
              <w:rPr>
                <w:rFonts w:ascii="Times New Roman" w:eastAsia="Times New Roman" w:hAnsi="Times New Roman" w:cs="Times New Roman"/>
                <w:sz w:val="24"/>
                <w:szCs w:val="24"/>
                <w:highlight w:val="white"/>
              </w:rPr>
            </w:pPr>
          </w:p>
          <w:p w14:paraId="17930BCF"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De asemenea, întrucât din conținutul proiectului nu rezultă cu claritate că modificările propuse sunt în mod efectiv în beneficiul salariatului și nu conduc la diminuarea directă sau indirectă a drepturilor de concediu și a prestațiilor aferente, se apreciază că inițiativa legislativă, în forma prezentată, ridică rezerve majore de oportunitate și coerență conceptuală. Prin urmare, în lipsa reexaminării de fond a soluțiilor propuse și a asigurării echivalenței reale între regimul juridic existent și cel preconizat, proiectul nu poate fi susținut în forma actuală pentru promovare, fiind necesară o revizuire substanțială a acestuia, astfel încât să fie garantat că modificările </w:t>
            </w:r>
            <w:r>
              <w:rPr>
                <w:rFonts w:ascii="Times New Roman" w:eastAsia="Times New Roman" w:hAnsi="Times New Roman" w:cs="Times New Roman"/>
                <w:sz w:val="24"/>
                <w:szCs w:val="24"/>
                <w:highlight w:val="white"/>
              </w:rPr>
              <w:lastRenderedPageBreak/>
              <w:t>legislative răspund în mod real interesului salariaților și principiilor de protecție socială.</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7F38CC0D"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Se ia act</w:t>
            </w:r>
          </w:p>
        </w:tc>
      </w:tr>
      <w:tr w:rsidR="00315874" w14:paraId="2440659B" w14:textId="77777777">
        <w:trPr>
          <w:trHeight w:val="1035"/>
        </w:trPr>
        <w:tc>
          <w:tcPr>
            <w:tcW w:w="735" w:type="dxa"/>
            <w:vMerge w:val="restart"/>
            <w:tcBorders>
              <w:top w:val="single" w:sz="6" w:space="0" w:color="999999"/>
              <w:left w:val="single" w:sz="6" w:space="0" w:color="999999"/>
              <w:bottom w:val="single" w:sz="6" w:space="0" w:color="999999"/>
              <w:right w:val="single" w:sz="6" w:space="0" w:color="999999"/>
            </w:tcBorders>
            <w:tcMar>
              <w:top w:w="0" w:type="dxa"/>
              <w:bottom w:w="0" w:type="dxa"/>
            </w:tcMar>
          </w:tcPr>
          <w:p w14:paraId="2EDAFF1E" w14:textId="77777777" w:rsidR="00315874"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14.</w:t>
            </w:r>
          </w:p>
        </w:tc>
        <w:tc>
          <w:tcPr>
            <w:tcW w:w="2835" w:type="dxa"/>
            <w:vMerge w:val="restart"/>
            <w:tcBorders>
              <w:top w:val="single" w:sz="6" w:space="0" w:color="999999"/>
              <w:left w:val="single" w:sz="6" w:space="0" w:color="999999"/>
              <w:bottom w:val="single" w:sz="6" w:space="0" w:color="999999"/>
              <w:right w:val="single" w:sz="6" w:space="0" w:color="999999"/>
            </w:tcBorders>
            <w:tcMar>
              <w:top w:w="0" w:type="dxa"/>
              <w:bottom w:w="0" w:type="dxa"/>
            </w:tcMar>
          </w:tcPr>
          <w:p w14:paraId="2279F0E0" w14:textId="77777777" w:rsidR="00315874" w:rsidRDefault="00000000">
            <w:pPr>
              <w:spacing w:line="240" w:lineRule="auto"/>
              <w:ind w:left="14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Ministerul Apărării</w:t>
            </w:r>
          </w:p>
          <w:p w14:paraId="3B1A8616" w14:textId="77777777" w:rsidR="00315874" w:rsidRDefault="00000000">
            <w:pPr>
              <w:spacing w:line="240" w:lineRule="auto"/>
              <w:ind w:left="140"/>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Nr.11/1030 din 01.07.2026</w:t>
            </w: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0396C320"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Proiectul necesită revizuire sub aspectul coerenței și proporționalității tratamentului aplicat diferitelor categorii de personal din sectorul public, în special celor din cadrul sistemului național de apărare, securitate și ordine publică. Deși nota de fundamentare invocă necesitatea uniformizării regimului concediilor și eliminării tratamentelor diferențiate, proiectul stabilește durate diferite ale concediului anual pentru categorii profesionale comparabile, fără a indica criterii clare, obiective și verificabile care să justifice aceste diferențe. </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49C860E4"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Se acceptă</w:t>
            </w:r>
          </w:p>
          <w:p w14:paraId="2739E27F" w14:textId="77777777" w:rsidR="00315874" w:rsidRDefault="00000000">
            <w:pPr>
              <w:spacing w:before="240" w:after="24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Pentru categoriile de funcționari la care durata concediului variază în funcție de vechime, proiectul propune o durată unică cum ar fi:</w:t>
            </w:r>
          </w:p>
          <w:p w14:paraId="72B2E98A" w14:textId="4CC27198" w:rsidR="00315874" w:rsidRDefault="00000000">
            <w:pPr>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Pentru militarii prin contract, duratele diferențiate în funcție de vechime sunt înlocuite cu o durată unică de 28 de zile lucrătoare uniformizată cu alte categorii, cum ar fi ofițerii de informații și securitate, angajații Serviciului de Protecție și Pază de Stat, angajații Serviciului cu privire la prevenirea și combaterea spălării banilor și finanțării terorismului, funcționarii vamali, etc. </w:t>
            </w:r>
            <w:r w:rsidRPr="00607B56">
              <w:rPr>
                <w:rFonts w:ascii="Times New Roman" w:eastAsia="Times New Roman" w:hAnsi="Times New Roman" w:cs="Times New Roman"/>
                <w:sz w:val="24"/>
                <w:szCs w:val="24"/>
                <w:highlight w:val="white"/>
              </w:rPr>
              <w:t xml:space="preserve">Totodată, aceștia pot beneficia de concediu de stimulare de până la 8 zile lucrătoare (Legea nr. 52/2007), acordat discreționar. </w:t>
            </w:r>
          </w:p>
          <w:p w14:paraId="54B6574E"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7240350F" w14:textId="77777777" w:rsidR="00315874" w:rsidRDefault="00315874">
            <w:pPr>
              <w:shd w:val="clear" w:color="auto" w:fill="FFFFFF"/>
              <w:jc w:val="both"/>
              <w:rPr>
                <w:rFonts w:ascii="Times New Roman" w:eastAsia="Times New Roman" w:hAnsi="Times New Roman" w:cs="Times New Roman"/>
                <w:sz w:val="24"/>
                <w:szCs w:val="24"/>
                <w:highlight w:val="white"/>
              </w:rPr>
            </w:pPr>
          </w:p>
        </w:tc>
      </w:tr>
      <w:tr w:rsidR="00315874" w14:paraId="09F3D6B0" w14:textId="77777777">
        <w:trPr>
          <w:trHeight w:val="1035"/>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5586A72D"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29C84835" w14:textId="77777777" w:rsidR="00315874" w:rsidRDefault="00315874">
            <w:pPr>
              <w:spacing w:line="240" w:lineRule="auto"/>
              <w:jc w:val="center"/>
              <w:rPr>
                <w:rFonts w:ascii="Times New Roman" w:eastAsia="Times New Roman" w:hAnsi="Times New Roman" w:cs="Times New Roman"/>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0386F173"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Astfel, pentru militarii prin contract se propune stabilirea unei durate unice de 28 de zile lucrătoare, în timp ce alte categorii de personal din sectorul public beneficiază de durate mai mari ale concediului anual, inclusiv 30, 32 sau 34 de zile lucrătoare. În lipsa unei fundamentări </w:t>
            </w:r>
            <w:r>
              <w:rPr>
                <w:rFonts w:ascii="Times New Roman" w:eastAsia="Times New Roman" w:hAnsi="Times New Roman" w:cs="Times New Roman"/>
                <w:sz w:val="24"/>
                <w:szCs w:val="24"/>
                <w:highlight w:val="white"/>
              </w:rPr>
              <w:lastRenderedPageBreak/>
              <w:t xml:space="preserve">suficiente, această abordare poate crea percepția unui tratament diferențiat nejustificat între categorii de personal care activează în regimuri speciale de serviciu și care sunt supuse unor obligații, restrângeri și riscuri specifice. </w:t>
            </w:r>
          </w:p>
          <w:p w14:paraId="6AE9743C"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În acest context, în cazul în care autorul proiectului optează pentru stabilirea unui număr concret de zile lucrătoare ale concediului anual, Ministerul Apărării consideră necesar ca durata respectivă să fie stabilită unitar pentru toate categoriile de personal din cadrul sistemului național de apărare, securitate și ordine publică, cu luarea în considerare a specificului comun al acestor structuri: disponibilitate sporită, activitate în regim neregulat, executarea serviciului inclusiv în zile de repaus sau de sărbătoare nelucrătoare, participarea la misiuni, aplicații, servicii de gardă și alte activități determinate de necesitățile instituționale. O asemenea soluție ar asigura un tratament echitabil, previzibil și proporțional între categoriile de personal cu statut special </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191D0920"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lastRenderedPageBreak/>
              <w:t xml:space="preserve">Se acceptă. </w:t>
            </w:r>
            <w:r>
              <w:rPr>
                <w:rFonts w:ascii="Times New Roman" w:eastAsia="Times New Roman" w:hAnsi="Times New Roman" w:cs="Times New Roman"/>
                <w:sz w:val="24"/>
                <w:szCs w:val="24"/>
                <w:highlight w:val="white"/>
              </w:rPr>
              <w:t>A se vedea răspunsul consolidat de la punctul precedent din prezentul aviz.</w:t>
            </w:r>
          </w:p>
        </w:tc>
      </w:tr>
      <w:tr w:rsidR="00315874" w14:paraId="77BB3FCA" w14:textId="77777777">
        <w:trPr>
          <w:trHeight w:val="1035"/>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6A7FCB0B"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439D4C2C" w14:textId="77777777" w:rsidR="00315874" w:rsidRDefault="00315874">
            <w:pPr>
              <w:spacing w:line="240" w:lineRule="auto"/>
              <w:jc w:val="center"/>
              <w:rPr>
                <w:rFonts w:ascii="Times New Roman" w:eastAsia="Times New Roman" w:hAnsi="Times New Roman" w:cs="Times New Roman"/>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04801266"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Cu referire la </w:t>
            </w:r>
            <w:r>
              <w:rPr>
                <w:rFonts w:ascii="Times New Roman" w:eastAsia="Times New Roman" w:hAnsi="Times New Roman" w:cs="Times New Roman"/>
                <w:b/>
                <w:bCs/>
                <w:sz w:val="24"/>
                <w:szCs w:val="24"/>
                <w:highlight w:val="white"/>
              </w:rPr>
              <w:t xml:space="preserve">art. VI </w:t>
            </w:r>
            <w:r>
              <w:rPr>
                <w:rFonts w:ascii="Times New Roman" w:eastAsia="Times New Roman" w:hAnsi="Times New Roman" w:cs="Times New Roman"/>
                <w:sz w:val="24"/>
                <w:szCs w:val="24"/>
                <w:highlight w:val="white"/>
              </w:rPr>
              <w:t xml:space="preserve">din proiect, Ministerul Apărării consideră necesară reexaminarea aplicării noțiunii de „zile lucrătoare” în raport cu militarii prin contract. Serviciul militar constituie un raport de serviciu special, caracterizat prin disponibilitate permanentă, disciplină militară, subordonare ierarhică, executarea ordinelor și </w:t>
            </w:r>
            <w:r>
              <w:rPr>
                <w:rFonts w:ascii="Times New Roman" w:eastAsia="Times New Roman" w:hAnsi="Times New Roman" w:cs="Times New Roman"/>
                <w:sz w:val="24"/>
                <w:szCs w:val="24"/>
                <w:highlight w:val="white"/>
              </w:rPr>
              <w:lastRenderedPageBreak/>
              <w:t xml:space="preserve">participarea la activități care nu se încadrează întotdeauna în programul obișnuit de muncă de 5 zile pe săptămână. Militarii prin contract pot fi antrenați în serviciu inclusiv în zile de repaus săptămânal, zile de sărbătoare nelucrătoare, în serviciu de gardă/garnizoană, aplicații/exerciții, misiuni, instruiri sau alte activități impuse de specificul apărării naționale. </w:t>
            </w:r>
          </w:p>
          <w:p w14:paraId="404E8170"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În aceste condiții, aplicarea mecanică a noțiunii de „zile lucrătoare” poate genera dificultăți de interpretare și aplicare practică, deoarece pentru militari ziua lucrătoare nu are întotdeauna aceeași semnificație ca în raporturile obișnuite de muncă. În lipsa unei reglementări speciale privind modul de calculare a concediului pentru militarii care execută serviciul în regim neregulat, prin ture, gărzi, misiuni sau în zile de repaus, există riscul aplicării neuniforme a normei, al diminuării efective a dreptului la odihnă și al apariției unor situații inechitabile între militari aflați în condiții diferite de serviciu. </w:t>
            </w:r>
          </w:p>
          <w:p w14:paraId="1EC869E0"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În aceiași ordine de idei, militarii nu beneficiază întotdeauna de o succesiune constantă a zilelor lucrătoare și nelucrătoare, iar activitatea acestora este determinată de necesitățile operative ale unității militare, de planurile de instruire, de serviciile de permanență și de misiunile executate.</w:t>
            </w:r>
          </w:p>
          <w:p w14:paraId="09927518"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 xml:space="preserve">Concomitent, spre deosebire de salariații civili, pentru care timpul de muncă este, de regulă, organizat în zile lucrătoare distincte (fiind întocmite tabele de evidență a timpului de muncă), militarii prin contract sunt salarizați lunar pentru întreaga perioadă calendaristică, iar obligația de serviciu nu este limitată la zilele lucrătoare. În aceste condiții, utilizarea noțiunii de „zile lucrătoare” poate crea neclarități și poate afecta echilibrul dintre regimul special de serviciu, salarizare și dreptul efectiv la odihnă. </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52A2CE78"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Nu se acceptă</w:t>
            </w:r>
          </w:p>
          <w:p w14:paraId="4AD7A6A3"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sz w:val="24"/>
                <w:szCs w:val="24"/>
                <w:highlight w:val="white"/>
              </w:rPr>
              <w:t xml:space="preserve">In cazul dat Articolul 113 din Codul muncii din Proiect reglementează prevederi adiționale privind concediile pentru anumite categorii de slariați cu regimuri de munca diferite decât cel general. Prin urmare ”Salariații beneficiază de concediu de odihnă anual cu o durată de cel puțin 22 de zile </w:t>
            </w:r>
            <w:r>
              <w:rPr>
                <w:rFonts w:ascii="Times New Roman" w:eastAsia="Times New Roman" w:hAnsi="Times New Roman" w:cs="Times New Roman"/>
                <w:sz w:val="24"/>
                <w:szCs w:val="24"/>
                <w:highlight w:val="white"/>
              </w:rPr>
              <w:t>lucrătoare, indiferent de tipul regimului sau programului de muncă. Zilele de repaus stabilite conform programului de muncă pentru salariații care lucrează în ture sau schimburi, precum și zilele de sărbătoare nelucrătoare nu vor fi incluse în concediul de odihnă anual.”</w:t>
            </w:r>
          </w:p>
          <w:p w14:paraId="4E209B46"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53F1A106" w14:textId="77777777" w:rsidR="00315874" w:rsidRDefault="00315874">
            <w:pPr>
              <w:shd w:val="clear" w:color="auto" w:fill="FFFFFF"/>
              <w:jc w:val="both"/>
              <w:rPr>
                <w:rFonts w:ascii="Times New Roman" w:eastAsia="Times New Roman" w:hAnsi="Times New Roman" w:cs="Times New Roman"/>
                <w:sz w:val="24"/>
                <w:szCs w:val="24"/>
                <w:highlight w:val="white"/>
              </w:rPr>
            </w:pPr>
          </w:p>
        </w:tc>
      </w:tr>
      <w:tr w:rsidR="00315874" w14:paraId="4B145BF8" w14:textId="77777777">
        <w:trPr>
          <w:trHeight w:val="1035"/>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658B15B4"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23CC74D5" w14:textId="77777777" w:rsidR="00315874" w:rsidRDefault="00315874">
            <w:pPr>
              <w:spacing w:line="240" w:lineRule="auto"/>
              <w:jc w:val="center"/>
              <w:rPr>
                <w:rFonts w:ascii="Times New Roman" w:eastAsia="Times New Roman" w:hAnsi="Times New Roman" w:cs="Times New Roman"/>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75AACC11"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Suplimentar, cu referire la </w:t>
            </w:r>
            <w:r>
              <w:rPr>
                <w:rFonts w:ascii="Times New Roman" w:eastAsia="Times New Roman" w:hAnsi="Times New Roman" w:cs="Times New Roman"/>
                <w:b/>
                <w:bCs/>
                <w:sz w:val="24"/>
                <w:szCs w:val="24"/>
                <w:highlight w:val="white"/>
              </w:rPr>
              <w:t>art. VI</w:t>
            </w:r>
            <w:r>
              <w:rPr>
                <w:rFonts w:ascii="Times New Roman" w:eastAsia="Times New Roman" w:hAnsi="Times New Roman" w:cs="Times New Roman"/>
                <w:sz w:val="24"/>
                <w:szCs w:val="24"/>
                <w:highlight w:val="white"/>
              </w:rPr>
              <w:t xml:space="preserve"> din proiect, prin care se propune modificarea art. 14 alin. (8) din Legea nr. 162/2005 cu privire la statutul militarilor, considerăm necesară revizuirea soluției propuse. Stabilirea unei durate unice de 28 de zile lucrătoare pentru toți militarii prin contract exclude diferențierea concediului anual în funcție de vechimea în serviciu, garanție prevăzută în prezent de cadrul normativ special. </w:t>
            </w:r>
          </w:p>
          <w:p w14:paraId="3463AD53"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Astfel, diferențierea actuală a duratei concediului anual în funcție de vechimea în serviciul militar are o justificare obiectivă și rezonabilă. Militarii cu o vechime mai mare în serviciu au fost expuși, pe parcursul carierei, unei perioade mai îndelungate de solicitări fizice, psihologice și emoționale specifice serviciului militar, inclusiv regimului de activitate neregulat, participării la aplicații, misiuni, instruiri, serviciului de gardă, deplasărilor și altor </w:t>
            </w:r>
            <w:r>
              <w:rPr>
                <w:rFonts w:ascii="Times New Roman" w:eastAsia="Times New Roman" w:hAnsi="Times New Roman" w:cs="Times New Roman"/>
                <w:sz w:val="24"/>
                <w:szCs w:val="24"/>
                <w:highlight w:val="white"/>
              </w:rPr>
              <w:lastRenderedPageBreak/>
              <w:t xml:space="preserve">activități desfășurate în condiții speciale. În mod firesc, odată cu înaintarea în vârstă și acumularea unei perioade mai mari de serviciu, necesitatea de recuperare fizică și psihologică devine mai accentuată. Prin urmare, menținerea unei durate mai mari a concediului pentru militarii cu vechime îndelungată nu reprezintă un privilegiu nejustificat, ci o garanție socială proporțională cu specificul, durata și intensitatea serviciului militar. Cu titlu comparativ, menționăm că legislația României menține un sistem diferențiat de acordare a concediului de odihnă pentru personalul militar, în funcție de vechimea în serviciu. Astfel, pentru ofițeri, maiștri militari și subofițeri, durata concediului anual este stabilită la 32 de zile calendaristice pentru vechime de până la 10 ani și 38 de zile calendaristice pentru vechime de peste 10 ani, iar pentru soldați și gradați profesioniști se aplică aceeași logică de diferențiere. Această soluție confirmă faptul că vechimea în serviciul militar constituie un criteriu obiectiv și rezonabil pentru stabilirea duratei concediului, având în vedere expunerea cumulativă la solicitările fizice, psihologice și organizaționale specifice carierei militare. </w:t>
            </w:r>
          </w:p>
          <w:p w14:paraId="6EFD1A72"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În acest context, pentru păstrarea gradației în funcție de vechimea în serviciu, cu recalcularea proporțională în zile lucrătoare, se propune completarea articolului 14 din </w:t>
            </w:r>
            <w:r>
              <w:rPr>
                <w:rFonts w:ascii="Times New Roman" w:eastAsia="Times New Roman" w:hAnsi="Times New Roman" w:cs="Times New Roman"/>
                <w:sz w:val="24"/>
                <w:szCs w:val="24"/>
                <w:highlight w:val="white"/>
              </w:rPr>
              <w:lastRenderedPageBreak/>
              <w:t xml:space="preserve">Legea nr. 162/2005 cu alineatul (8¹), cu următorul cuprins: </w:t>
            </w:r>
          </w:p>
          <w:p w14:paraId="7EEC8AAF" w14:textId="77777777" w:rsidR="00315874" w:rsidRDefault="00000000">
            <w:pPr>
              <w:jc w:val="both"/>
              <w:rPr>
                <w:rFonts w:ascii="Times New Roman" w:eastAsia="Times New Roman" w:hAnsi="Times New Roman" w:cs="Times New Roman"/>
                <w:i/>
                <w:iCs/>
                <w:sz w:val="24"/>
                <w:szCs w:val="24"/>
                <w:highlight w:val="white"/>
              </w:rPr>
            </w:pPr>
            <w:r>
              <w:rPr>
                <w:rFonts w:ascii="Times New Roman" w:eastAsia="Times New Roman" w:hAnsi="Times New Roman" w:cs="Times New Roman"/>
                <w:sz w:val="24"/>
                <w:szCs w:val="24"/>
                <w:highlight w:val="white"/>
              </w:rPr>
              <w:t>„(</w:t>
            </w:r>
            <w:r>
              <w:rPr>
                <w:rFonts w:ascii="Times New Roman" w:eastAsia="Times New Roman" w:hAnsi="Times New Roman" w:cs="Times New Roman"/>
                <w:i/>
                <w:iCs/>
                <w:sz w:val="24"/>
                <w:szCs w:val="24"/>
                <w:highlight w:val="white"/>
              </w:rPr>
              <w:t xml:space="preserve">8¹) La durata concediului de odihnă anual prevăzută la alin. (8), militarilor prin contract li se acordă zile suplimentare de concediu, în funcție de vechimea în serviciu: 2 zile lucrătoare pentru vechimea în serviciu de peste 15 ani și 4 zile lucrătoare pentru vechimea în serviciu de peste 20 de ani. Zilele suplimentare respective nu se cumulează și se acordă în aceleași condiții ca și concediul de odihnă anual.” </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539164C4"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Se acceptă parțial.</w:t>
            </w:r>
          </w:p>
          <w:p w14:paraId="0BD3A386" w14:textId="77777777" w:rsidR="00315874" w:rsidRDefault="00000000">
            <w:pPr>
              <w:spacing w:before="240" w:after="24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Pentru categoriile de funcționari la care durata concediului variază în funcție de vechime, proiectul propune o durată unică cum ar fi:</w:t>
            </w:r>
          </w:p>
          <w:p w14:paraId="513509DF" w14:textId="60495AC7" w:rsidR="00315874" w:rsidRDefault="00000000">
            <w:pPr>
              <w:spacing w:before="240" w:after="24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Pentru militarii prin contract, duratele diferențiate în funcție de vechime sunt înlocuite cu o durată unică de 28 de zile lucrătoare uniformizată cu alte categorii, cum ar fi ofițerii de informații și securitate, angajații Serviciului de Protecție și Pază de Stat, angajații Serviciului cu privire la prevenirea și combaterea spălării banilor și finanțării terorismului, funcționarii vamali, etc. </w:t>
            </w:r>
            <w:r w:rsidRPr="00607B56">
              <w:rPr>
                <w:rFonts w:ascii="Times New Roman" w:eastAsia="Times New Roman" w:hAnsi="Times New Roman" w:cs="Times New Roman"/>
                <w:sz w:val="24"/>
                <w:szCs w:val="24"/>
                <w:highlight w:val="white"/>
              </w:rPr>
              <w:t>Totodată, aceștia pot beneficia de concediu de stimulare de până la 8 zile lucrătoare (Legea nr. 52/2007), acordat discreționar.</w:t>
            </w:r>
            <w:r>
              <w:rPr>
                <w:rFonts w:ascii="Times New Roman" w:eastAsia="Times New Roman" w:hAnsi="Times New Roman" w:cs="Times New Roman"/>
                <w:i/>
                <w:color w:val="FF0000"/>
                <w:sz w:val="24"/>
                <w:szCs w:val="24"/>
              </w:rPr>
              <w:t xml:space="preserve"> </w:t>
            </w:r>
          </w:p>
          <w:p w14:paraId="7AC880B5" w14:textId="77777777" w:rsidR="00315874" w:rsidRDefault="00000000">
            <w:pPr>
              <w:spacing w:before="240" w:after="240" w:line="240" w:lineRule="auto"/>
              <w:jc w:val="both"/>
              <w:rPr>
                <w:rFonts w:ascii="Times New Roman" w:eastAsia="Times New Roman" w:hAnsi="Times New Roman" w:cs="Times New Roman"/>
                <w:i/>
                <w:iCs/>
                <w:sz w:val="24"/>
                <w:szCs w:val="24"/>
                <w:highlight w:val="white"/>
              </w:rPr>
            </w:pPr>
            <w:r>
              <w:rPr>
                <w:rFonts w:ascii="Times New Roman" w:eastAsia="Times New Roman" w:hAnsi="Times New Roman" w:cs="Times New Roman"/>
                <w:sz w:val="24"/>
                <w:szCs w:val="24"/>
                <w:highlight w:val="white"/>
              </w:rPr>
              <w:t xml:space="preserve">În plus, legea prevede că militarii prin contract beneficiază de concedii de odihnă anuale suplimentare plătite, care se acordă </w:t>
            </w:r>
            <w:r>
              <w:rPr>
                <w:rFonts w:ascii="Times New Roman" w:eastAsia="Times New Roman" w:hAnsi="Times New Roman" w:cs="Times New Roman"/>
                <w:sz w:val="24"/>
                <w:szCs w:val="24"/>
                <w:highlight w:val="white"/>
              </w:rPr>
              <w:t xml:space="preserve">conform legislației în vigoare, în funcție de specificul activității desfășurate, în limita alocațiilor bugetare aprobate și anume aceste concedii sunt prevăzute de Regulamentul 941/2006 (de ex: </w:t>
            </w:r>
            <w:r>
              <w:rPr>
                <w:rFonts w:ascii="Times New Roman" w:eastAsia="Times New Roman" w:hAnsi="Times New Roman" w:cs="Times New Roman"/>
                <w:i/>
                <w:iCs/>
                <w:sz w:val="24"/>
                <w:szCs w:val="24"/>
                <w:highlight w:val="white"/>
              </w:rPr>
              <w:t>pentru îndeplinirea serviciului militar în condiţii nocive sau în zone cu pericol sporit pentru viaţă şi sănătate; pentru participarea la acţiuni militare; pentru caracterul deosebit al serviciului; pentru participarea la misiuni sau operaţii internaţionale, precum şi pentru aflarea în cadrul contingentului militar sau al grupului de observatori militari din zona de conflict; concediu medical; concediu pe motive familiale (acordat inclusiv studenţilor şi elevilor instituţiilor de învăţământ în domeniul milităriei); concediu pentru studii; concediu de creaţie; concediu de stimulare; concediu de maternitate pentru femeile care îndeplinesc serviciul militar prin contract; concediu paternal pentru bărbaţii care îndeplinesc serviciul militar prin contract; concediu pentru adopţia copiilor sau luaţi în plasament în serviciul de tutelă/curatelă conform dispoziţiilor generale; concediu parţial plătit pentru îngrijirea copilului (pînă la vîrsta de 3 ani) şi concediu neplătit pentru îngrijirea copilului (în vîrstă de la 3 la 4 ani); concediu pentru îngrijirea copilului bolnav în vîrstă de pînă la 10 ani; concediu pentru îngrijirea copilului în vîrstă de pînă la 18 ani care suferă de maladie oncologică sau cu dizabilitate pentru afecţiuni intercurente., etc)</w:t>
            </w:r>
          </w:p>
          <w:p w14:paraId="78FE91A4"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Nu se acceptă completarea art. 14 din Legea nr. 162/2005 cu alin. (8¹) și reinstituirea unei gradații suplimentare de 2, respectiv 4 zile lucrătoare în funcție de vechime: aceasta ar </w:t>
            </w:r>
            <w:r>
              <w:rPr>
                <w:rFonts w:ascii="Times New Roman" w:eastAsia="Times New Roman" w:hAnsi="Times New Roman" w:cs="Times New Roman"/>
                <w:sz w:val="24"/>
                <w:szCs w:val="24"/>
                <w:highlight w:val="white"/>
              </w:rPr>
              <w:lastRenderedPageBreak/>
              <w:t>reintroduce, sub o altă formă, mecanismul pe care proiectul îl elimină în mod consecvent la toate categoriile de personal din sectorul public. Recunoașterea vechimii în serviciul militar se realizează prin sistemul de salarizare (soldă, sporuri de vechime), nu prin zile suplimentare de concediu.</w:t>
            </w:r>
          </w:p>
          <w:p w14:paraId="59264460"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Referitor la posibilitatea concediului suplimentar prevăzută la art. 14 alin. (12) din proiect: aceasta este un mecanism excepțional, discreționar și strict condiționat de alocațiile bugetare aprobate anual, distinct de concediul necondiționat pentru vechime eliminat prin proiect, și nu constituie un drept subiectiv automat.</w:t>
            </w:r>
          </w:p>
          <w:p w14:paraId="2C1A0432"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Prin urmare, soluția proiectului se menține.</w:t>
            </w:r>
          </w:p>
          <w:p w14:paraId="7D1FCC86"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47F63321" w14:textId="77777777" w:rsidR="00315874" w:rsidRDefault="00315874">
            <w:pPr>
              <w:shd w:val="clear" w:color="auto" w:fill="FFFFFF"/>
              <w:jc w:val="both"/>
              <w:rPr>
                <w:rFonts w:ascii="Times New Roman" w:eastAsia="Times New Roman" w:hAnsi="Times New Roman" w:cs="Times New Roman"/>
                <w:sz w:val="24"/>
                <w:szCs w:val="24"/>
                <w:highlight w:val="white"/>
              </w:rPr>
            </w:pPr>
          </w:p>
        </w:tc>
      </w:tr>
      <w:tr w:rsidR="00315874" w14:paraId="627748DA" w14:textId="77777777">
        <w:trPr>
          <w:trHeight w:val="1035"/>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671910E8"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47AA8FFD" w14:textId="77777777" w:rsidR="00315874" w:rsidRDefault="00315874">
            <w:pPr>
              <w:spacing w:line="240" w:lineRule="auto"/>
              <w:jc w:val="center"/>
              <w:rPr>
                <w:rFonts w:ascii="Times New Roman" w:eastAsia="Times New Roman" w:hAnsi="Times New Roman" w:cs="Times New Roman"/>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7562B27A"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Corespunzător, la </w:t>
            </w:r>
            <w:r>
              <w:rPr>
                <w:rFonts w:ascii="Times New Roman" w:eastAsia="Times New Roman" w:hAnsi="Times New Roman" w:cs="Times New Roman"/>
                <w:b/>
                <w:bCs/>
                <w:sz w:val="24"/>
                <w:szCs w:val="24"/>
                <w:highlight w:val="white"/>
              </w:rPr>
              <w:t xml:space="preserve">art. VI </w:t>
            </w:r>
            <w:r>
              <w:rPr>
                <w:rFonts w:ascii="Times New Roman" w:eastAsia="Times New Roman" w:hAnsi="Times New Roman" w:cs="Times New Roman"/>
                <w:sz w:val="24"/>
                <w:szCs w:val="24"/>
                <w:highlight w:val="white"/>
              </w:rPr>
              <w:t xml:space="preserve">din proiect, în parte ce vizează art. 14 alin. (12) din Legea nr. 162/2005, propunem excluderea sintagmei „în limita alocațiilor bugetare aprobate și cu respectarea principiilor de sustenabilitate financiară”. Drepturile și garanțiile sociale ale militarilor trebuie să fie stabilite clar și previzibil prin lege, fără a fi condiționate de formulări generale care pot permite aplicarea neuniformă sau restrângerea dreptului în lipsa unor criterii obiective. În cazul în care autorul proiectului consideră necesară limitarea unor garanții sociale din rațiuni bugetare, aceasta urmează să fie justificată expres </w:t>
            </w:r>
            <w:r>
              <w:rPr>
                <w:rFonts w:ascii="Times New Roman" w:eastAsia="Times New Roman" w:hAnsi="Times New Roman" w:cs="Times New Roman"/>
                <w:sz w:val="24"/>
                <w:szCs w:val="24"/>
                <w:highlight w:val="white"/>
              </w:rPr>
              <w:lastRenderedPageBreak/>
              <w:t xml:space="preserve">în nota de fundamentare, cu prezentarea impactului asupra personalului militar și asupra capacității instituționale a sistemului de apărare. </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6665DCCB"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Se acceptă parțial</w:t>
            </w:r>
          </w:p>
          <w:p w14:paraId="6CD435EE"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Observația privind lipsa unei definiții legale a sintagmei „cu respectarea principiilor de sustenabilitate financiară” este întemeiată. Într-adevăr, utilizarea unei noțiuni generale, nedefinite în proiect și nici în actul normativ care se modifică, poate genera interpretări neuniforme în procesul de aplicare a normei.</w:t>
            </w:r>
          </w:p>
          <w:p w14:paraId="2425D1AA"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59E9374E"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Totodată, nu se acceptă excluderea completă a referinței la necesitatea corelării concediilor suplimentare cu resursele bugetare disponibile, întrucât stabilirea unor garanții </w:t>
            </w:r>
            <w:r>
              <w:rPr>
                <w:rFonts w:ascii="Times New Roman" w:eastAsia="Times New Roman" w:hAnsi="Times New Roman" w:cs="Times New Roman"/>
                <w:sz w:val="24"/>
                <w:szCs w:val="24"/>
                <w:highlight w:val="white"/>
              </w:rPr>
              <w:lastRenderedPageBreak/>
              <w:t>suplimentare față de cele prevăzute expres de lege, în special în sectorul bugetar, trebuie realizată cu respectarea cadrului financiar-bugetar aplicabil.</w:t>
            </w:r>
          </w:p>
          <w:p w14:paraId="62FB8F4A"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67B4EF8F"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sz w:val="24"/>
                <w:szCs w:val="24"/>
                <w:highlight w:val="white"/>
              </w:rPr>
              <w:t>Pentru asigurarea clarității și previzibilității reglementării, sintagma „cu respectarea principiilor de sustenabilitate financiară” va fi exclusă și substituită cu o formulare consacrată de legislația financiar-bugetară, respectiv „în limitele alocațiilor bugetare aprobate”.</w:t>
            </w:r>
          </w:p>
          <w:p w14:paraId="23572D73" w14:textId="77777777" w:rsidR="00315874" w:rsidRDefault="00315874">
            <w:pPr>
              <w:shd w:val="clear" w:color="auto" w:fill="FFFFFF"/>
              <w:jc w:val="both"/>
              <w:rPr>
                <w:rFonts w:ascii="Times New Roman" w:eastAsia="Times New Roman" w:hAnsi="Times New Roman" w:cs="Times New Roman"/>
                <w:b/>
                <w:bCs/>
                <w:sz w:val="24"/>
                <w:szCs w:val="24"/>
                <w:highlight w:val="white"/>
              </w:rPr>
            </w:pPr>
          </w:p>
        </w:tc>
      </w:tr>
      <w:tr w:rsidR="00315874" w14:paraId="6D8BA283" w14:textId="77777777">
        <w:trPr>
          <w:trHeight w:val="1035"/>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1532B641"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55869409" w14:textId="77777777" w:rsidR="00315874" w:rsidRDefault="00315874">
            <w:pPr>
              <w:spacing w:line="240" w:lineRule="auto"/>
              <w:jc w:val="center"/>
              <w:rPr>
                <w:rFonts w:ascii="Times New Roman" w:eastAsia="Times New Roman" w:hAnsi="Times New Roman" w:cs="Times New Roman"/>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26E9EE7E"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La caz, considerăm necesară clarificarea modului de calculare și achitare a indemnizației de concediu în cazul militarilor prin contract, în contextul trecerii de la calcularea concediului în zile calendaristice la calcularea acestuia în zile lucrătoare. Or, proiectul stabilește durata concediului anual al militarilor prin contract în zile lucrătoare, însă nu reglementează expres regimul zilelor de repaus săptămânal, al zilelor de sărbătoare nelucrătoare care se includ, în fapt, în perioada calendaristică de aflare a militarului în concediu. </w:t>
            </w:r>
          </w:p>
          <w:p w14:paraId="776F2DB7"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Această omisiune poate genera incertitudini privind modul de plată: dacă indemnizația de concediu se va calcula exclusiv pentru zilele lucrătoare de concediu, pentru întreaga perioadă calendaristică de aflare în concediu sau dacă zilele de repaus cuprinse între zilele de </w:t>
            </w:r>
            <w:r>
              <w:rPr>
                <w:rFonts w:ascii="Times New Roman" w:eastAsia="Times New Roman" w:hAnsi="Times New Roman" w:cs="Times New Roman"/>
                <w:sz w:val="24"/>
                <w:szCs w:val="24"/>
                <w:highlight w:val="white"/>
              </w:rPr>
              <w:lastRenderedPageBreak/>
              <w:t xml:space="preserve">concediu vor fi remunerate în continuare prin solda lunară. Problema este cu atât mai importantă în cazul militarilor prin contract, întrucât aceștia nu sunt salarizați exclusiv pentru zilele lucrătoare, ci primesc soldă lunară aferentă întregii luni calendaristice, în considerarea statutului special, a disponibilității permanente și a obligațiilor de serviciu care pot interveni inclusiv în zile de repaus sau de sărbătoare nelucrătoare. </w:t>
            </w:r>
          </w:p>
          <w:p w14:paraId="7F39AC6E"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În lipsa unei reglementări exprese, există riscul aplicării neuniforme a normei la nivelul unităților militare, inclusiv sub aspectul calculării indemnizației de concediu, al evidenței timpului de aflare în concediu și al corelării acesteia cu solda lunară. Totodată, neclaritatea poate genera fie diminuarea nejustificată a drepturilor bănești ale militarilor, fie interpretări diferite privind salarizarea zilelor de repaus cuprinse în perioada concediului. </w:t>
            </w:r>
          </w:p>
          <w:p w14:paraId="6298E7FA" w14:textId="77777777" w:rsidR="00315874" w:rsidRDefault="00315874">
            <w:pPr>
              <w:jc w:val="both"/>
              <w:rPr>
                <w:rFonts w:ascii="Times New Roman" w:eastAsia="Times New Roman" w:hAnsi="Times New Roman" w:cs="Times New Roman"/>
                <w:sz w:val="24"/>
                <w:szCs w:val="24"/>
                <w:highlight w:val="white"/>
              </w:rPr>
            </w:pPr>
          </w:p>
          <w:p w14:paraId="1F0850F1"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Prin urmare, este necesară completarea proiectului cu norme speciale aplicabile militarilor prin contract, prin care să fie stabilit expres că trecerea concediului în zile lucrătoare nu afectează dreptul la solda lunară pentru întreaga lună calendaristică și să fie clarificat modul de calculare a indemnizației de concediu pentru perioada efectivă de aflare în concediu, inclusiv pentru zilele de </w:t>
            </w:r>
            <w:r>
              <w:rPr>
                <w:rFonts w:ascii="Times New Roman" w:eastAsia="Times New Roman" w:hAnsi="Times New Roman" w:cs="Times New Roman"/>
                <w:sz w:val="24"/>
                <w:szCs w:val="24"/>
                <w:highlight w:val="white"/>
              </w:rPr>
              <w:lastRenderedPageBreak/>
              <w:t xml:space="preserve">repaus și zilele de sărbătoare nelucrătoare cuprinse în această perioadă. </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1D15EF57"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lastRenderedPageBreak/>
              <w:t>Se acceptă, parțial.</w:t>
            </w:r>
            <w:r>
              <w:rPr>
                <w:rFonts w:ascii="Times New Roman" w:eastAsia="Times New Roman" w:hAnsi="Times New Roman" w:cs="Times New Roman"/>
                <w:sz w:val="24"/>
                <w:szCs w:val="24"/>
                <w:highlight w:val="white"/>
              </w:rPr>
              <w:t xml:space="preserve"> A se vedea răspunsul consolidat de la pct. 26 (avizul Consiliului Superior al Procurorilor), referitor la metodologia de calcul a indemnizației de concediu (HG nr. 426/2004), și de la punctul precedent din prezentul aviz, referitor la menținerea soldei lunare integrale a militarilor, indiferent de regimul de calcul al concediului.</w:t>
            </w:r>
          </w:p>
        </w:tc>
      </w:tr>
      <w:tr w:rsidR="00315874" w14:paraId="1AEA0F82" w14:textId="77777777">
        <w:trPr>
          <w:trHeight w:val="1035"/>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20E6677D"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421CEF77" w14:textId="77777777" w:rsidR="00315874" w:rsidRDefault="00315874">
            <w:pPr>
              <w:spacing w:line="240" w:lineRule="auto"/>
              <w:jc w:val="center"/>
              <w:rPr>
                <w:rFonts w:ascii="Times New Roman" w:eastAsia="Times New Roman" w:hAnsi="Times New Roman" w:cs="Times New Roman"/>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6B1B85E3"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La art. V pct.6, 7 și 8, art. IX pct.2, art. XI, art. XII, art. XVI și art. XVII pct.1 din proiect, se propune substituirea utilizării a unei părți din concediu de odihnă anual cu echivalentul de 14 zile calendaristice de concediu cu „două săptămâni lucrătoare de concediu neîntrerupt”. Reieșind din faptul că conceptual proiectul de lege modifică modalitatea de calculare a concediilor prin trecerea de la zile calendaristice la zile lucrătoare, pentru a se exclude orice echivoc, precum și pentru a asigura aplicarea uniformă, se propune substituirea sintagmei „două săptămâni lucrătoare” cu textul „10 zile lucrătoare”. </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19EC579E"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Se acceptă</w:t>
            </w:r>
          </w:p>
        </w:tc>
      </w:tr>
      <w:tr w:rsidR="00315874" w14:paraId="7CAEDC99" w14:textId="77777777">
        <w:trPr>
          <w:trHeight w:val="825"/>
        </w:trPr>
        <w:tc>
          <w:tcPr>
            <w:tcW w:w="735" w:type="dxa"/>
            <w:vMerge w:val="restart"/>
            <w:tcBorders>
              <w:top w:val="single" w:sz="6" w:space="0" w:color="999999"/>
              <w:left w:val="single" w:sz="6" w:space="0" w:color="999999"/>
              <w:bottom w:val="single" w:sz="6" w:space="0" w:color="999999"/>
              <w:right w:val="single" w:sz="6" w:space="0" w:color="999999"/>
            </w:tcBorders>
            <w:tcMar>
              <w:top w:w="0" w:type="dxa"/>
              <w:bottom w:w="0" w:type="dxa"/>
            </w:tcMar>
          </w:tcPr>
          <w:p w14:paraId="2061B02A" w14:textId="77777777" w:rsidR="00315874"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15.</w:t>
            </w:r>
          </w:p>
        </w:tc>
        <w:tc>
          <w:tcPr>
            <w:tcW w:w="2835" w:type="dxa"/>
            <w:vMerge w:val="restart"/>
            <w:tcBorders>
              <w:top w:val="single" w:sz="6" w:space="0" w:color="999999"/>
              <w:left w:val="single" w:sz="6" w:space="0" w:color="999999"/>
              <w:bottom w:val="single" w:sz="6" w:space="0" w:color="999999"/>
              <w:right w:val="single" w:sz="6" w:space="0" w:color="999999"/>
            </w:tcBorders>
            <w:tcMar>
              <w:top w:w="0" w:type="dxa"/>
              <w:bottom w:w="0" w:type="dxa"/>
            </w:tcMar>
          </w:tcPr>
          <w:p w14:paraId="5EB00F1A" w14:textId="77777777" w:rsidR="00315874" w:rsidRDefault="00000000">
            <w:pPr>
              <w:ind w:left="14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Ministerul Energiei</w:t>
            </w:r>
          </w:p>
          <w:p w14:paraId="23403C1A" w14:textId="77777777" w:rsidR="00315874" w:rsidRDefault="00000000">
            <w:pPr>
              <w:ind w:left="140"/>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xml:space="preserve">Nr. 10-1768 din 3 iulie 2026 </w:t>
            </w: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724E7B3F"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  La Art. V.</w:t>
            </w:r>
            <w:r>
              <w:rPr>
                <w:rFonts w:ascii="Times New Roman" w:eastAsia="Times New Roman" w:hAnsi="Times New Roman" w:cs="Times New Roman"/>
                <w:sz w:val="24"/>
                <w:szCs w:val="24"/>
                <w:highlight w:val="white"/>
              </w:rPr>
              <w:t xml:space="preserve"> (modificarea Codului muncii al Republicii Moldova nr. 154/2003):</w:t>
            </w:r>
          </w:p>
          <w:p w14:paraId="47DB1CDE"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  1.</w:t>
            </w:r>
            <w:r>
              <w:rPr>
                <w:rFonts w:ascii="Times New Roman" w:eastAsia="Times New Roman" w:hAnsi="Times New Roman" w:cs="Times New Roman"/>
                <w:sz w:val="24"/>
                <w:szCs w:val="24"/>
                <w:highlight w:val="white"/>
              </w:rPr>
              <w:t xml:space="preserve"> Se propune completarea </w:t>
            </w:r>
            <w:r>
              <w:rPr>
                <w:rFonts w:ascii="Times New Roman" w:eastAsia="Times New Roman" w:hAnsi="Times New Roman" w:cs="Times New Roman"/>
                <w:b/>
                <w:bCs/>
                <w:sz w:val="24"/>
                <w:szCs w:val="24"/>
                <w:highlight w:val="white"/>
              </w:rPr>
              <w:t>art. 111 cu alin. (7)</w:t>
            </w:r>
            <w:r>
              <w:rPr>
                <w:rFonts w:ascii="Times New Roman" w:eastAsia="Times New Roman" w:hAnsi="Times New Roman" w:cs="Times New Roman"/>
                <w:sz w:val="24"/>
                <w:szCs w:val="24"/>
                <w:highlight w:val="white"/>
              </w:rPr>
              <w:t xml:space="preserve"> din Codul muncii cu următorul cuprins: ,,(7) În cazul în care zilele de sărbătoare nelucrătoare coincid cu zilele de repaus săptămânal, acestea vor fi acordate în următoarea zi lucrătoare”.</w:t>
            </w:r>
          </w:p>
          <w:p w14:paraId="3BEF4997"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Conform art. 111 alin. (1) din Codul muncii, salariații din Republica Moldova beneficiază de 14 zile de </w:t>
            </w:r>
            <w:r>
              <w:rPr>
                <w:rFonts w:ascii="Times New Roman" w:eastAsia="Times New Roman" w:hAnsi="Times New Roman" w:cs="Times New Roman"/>
                <w:sz w:val="24"/>
                <w:szCs w:val="24"/>
                <w:highlight w:val="white"/>
              </w:rPr>
              <w:lastRenderedPageBreak/>
              <w:t>sărbătoare nelucrătoare plătite. Însă analizând calendarul pentru anii precedenți și următorii ani, se constată faptul că în realitate salariații nu beneficiază în măsură deplină de aceste zile nelucrătoare plătite, deoarece în multe cazuri aceste zile cad în zilele de repaus săptămânal. Numărul acestora diferă de la an la an, acestea pot fi diminuate cu 3, 4, 5 și chiar mai multe zile.</w:t>
            </w:r>
          </w:p>
          <w:p w14:paraId="65E6F0A2"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Totodată, este relevant de menționat că, această practică este utilizată de mai multe state membre ale UE, cum ar fi Belgia, Bulgaria, Letonia, Luxemburg, Malta, Polonia. Astfel, prin această modificare salariatul nu pierde dreptul la acordarea zilelor de sărbătoare nelucrătoare, se respectă principiul protecției efective a drepturilor sociale ale salariatului. În cazul în care o zi de sărbătoare nelucrătoare coincide cu ziua de repaus săptămânal și nu este acordată într-o altă zi lucrătoare, salariatul este lipsit de beneficiul efectiv al acelei sărbători.</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67AA5B54"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Se acceptă.</w:t>
            </w:r>
          </w:p>
          <w:p w14:paraId="0D7E959D"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4C3E5152"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Proiectul se completează la art. 111 din Codul muncii cu o regulă privind acordarea unei zile libere compensatorii atunci când ziua de sărbătoare nelucrătoare coincide cu ziua de repaus săptămânal. </w:t>
            </w:r>
          </w:p>
          <w:p w14:paraId="0DC293DA" w14:textId="77777777" w:rsidR="00315874" w:rsidRDefault="00315874">
            <w:pPr>
              <w:shd w:val="clear" w:color="auto" w:fill="FFFFFF"/>
              <w:jc w:val="both"/>
              <w:rPr>
                <w:rFonts w:ascii="Times New Roman" w:eastAsia="Times New Roman" w:hAnsi="Times New Roman" w:cs="Times New Roman"/>
                <w:sz w:val="24"/>
                <w:szCs w:val="24"/>
                <w:highlight w:val="white"/>
              </w:rPr>
            </w:pPr>
          </w:p>
        </w:tc>
      </w:tr>
      <w:tr w:rsidR="00315874" w14:paraId="672348B8" w14:textId="77777777">
        <w:trPr>
          <w:trHeight w:val="825"/>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5B51C195" w14:textId="77777777" w:rsidR="00315874" w:rsidRDefault="00315874">
            <w:pPr>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6A7C4F76" w14:textId="77777777" w:rsidR="00315874" w:rsidRDefault="00315874">
            <w:pPr>
              <w:ind w:left="140"/>
              <w:jc w:val="center"/>
              <w:rPr>
                <w:rFonts w:ascii="Times New Roman" w:eastAsia="Times New Roman" w:hAnsi="Times New Roman" w:cs="Times New Roman"/>
                <w:b/>
                <w:bCs/>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3E015602"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  2. La pct. 5.</w:t>
            </w:r>
            <w:r>
              <w:rPr>
                <w:rFonts w:ascii="Times New Roman" w:eastAsia="Times New Roman" w:hAnsi="Times New Roman" w:cs="Times New Roman"/>
                <w:sz w:val="24"/>
                <w:szCs w:val="24"/>
                <w:highlight w:val="white"/>
              </w:rPr>
              <w:t xml:space="preserve"> ce vizează propunerea de modificare a art. 113 alin. (1), se propune completarea sintagmei </w:t>
            </w:r>
            <w:r>
              <w:rPr>
                <w:rFonts w:ascii="Times New Roman" w:eastAsia="Times New Roman" w:hAnsi="Times New Roman" w:cs="Times New Roman"/>
                <w:i/>
                <w:iCs/>
                <w:sz w:val="24"/>
                <w:szCs w:val="24"/>
                <w:highlight w:val="white"/>
              </w:rPr>
              <w:t>„luându-se drept bază durata normală a timpului de muncă”</w:t>
            </w:r>
            <w:r>
              <w:rPr>
                <w:rFonts w:ascii="Times New Roman" w:eastAsia="Times New Roman" w:hAnsi="Times New Roman" w:cs="Times New Roman"/>
                <w:sz w:val="24"/>
                <w:szCs w:val="24"/>
                <w:highlight w:val="white"/>
              </w:rPr>
              <w:t xml:space="preserve"> cu textul </w:t>
            </w:r>
            <w:r>
              <w:rPr>
                <w:rFonts w:ascii="Times New Roman" w:eastAsia="Times New Roman" w:hAnsi="Times New Roman" w:cs="Times New Roman"/>
                <w:i/>
                <w:iCs/>
                <w:sz w:val="24"/>
                <w:szCs w:val="24"/>
                <w:highlight w:val="white"/>
              </w:rPr>
              <w:t>„respectând programul individual de muncă al salariatului”</w:t>
            </w:r>
            <w:r>
              <w:rPr>
                <w:rFonts w:ascii="Times New Roman" w:eastAsia="Times New Roman" w:hAnsi="Times New Roman" w:cs="Times New Roman"/>
                <w:sz w:val="24"/>
                <w:szCs w:val="24"/>
                <w:highlight w:val="white"/>
              </w:rPr>
              <w:t>.</w:t>
            </w:r>
          </w:p>
          <w:p w14:paraId="544D5308"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Potrivit art. 95 alin. (2) din Codul muncii, durata normală a timpului de muncă a salariaților nu poate depăși 40 de ore pe săptămână. Prin urmare, durata normală a </w:t>
            </w:r>
            <w:r>
              <w:rPr>
                <w:rFonts w:ascii="Times New Roman" w:eastAsia="Times New Roman" w:hAnsi="Times New Roman" w:cs="Times New Roman"/>
                <w:sz w:val="24"/>
                <w:szCs w:val="24"/>
                <w:highlight w:val="white"/>
              </w:rPr>
              <w:lastRenderedPageBreak/>
              <w:t>timpului de muncă este o categorie juridică exprimată în ore pe săptămână, în timp ce concediul anual de odihnă, în redacția propusă de proiect, este exprimat în zile lucrătoare.</w:t>
            </w:r>
          </w:p>
          <w:p w14:paraId="35773E9C"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Din acest motiv, norma propusă generează confuzii de interpretare și aplicare, întrucât nu este clar dacă durata minimă de 22 de zile lucrătoare se raportează la săptămâna de muncă de 5 zile, la săptămâna de muncă de 6 zile, la graficul individual al salariatului sau la un alt criteriu de calcul.</w:t>
            </w:r>
          </w:p>
          <w:p w14:paraId="3AA9C54F"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Această neclaritate este deosebit de sensibilă pentru întreprinderile cu activitate continuă, unde o parte semnificativă a personalului activează în schimburi, în regim de evidență globală a timpului de muncă, cu schimburi de zi, schimburi de noapte și zile de repaus stabilite prin grafic. În asemenea cazuri, durata normală a timpului de muncă poate fi respectată la nivelul perioadei de evidență, însă distribuirea concretă a timpului de muncă nu corespunde întotdeauna unui program standard de 5 zile lucrătoare pe săptămână. </w:t>
            </w:r>
          </w:p>
          <w:p w14:paraId="1E032AFD"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Astfel, pentru salariații care lucrează în schimburi, sâmbăta, duminica sau anumite zile de sărbătoare nelucrătoare pot coincide cu zile efective de muncă potrivit graficului aprobat, iar alte zile din cursul săptămânii pot constitui zile de repaus. În lipsa unei reguli </w:t>
            </w:r>
            <w:r>
              <w:rPr>
                <w:rFonts w:ascii="Times New Roman" w:eastAsia="Times New Roman" w:hAnsi="Times New Roman" w:cs="Times New Roman"/>
                <w:sz w:val="24"/>
                <w:szCs w:val="24"/>
                <w:highlight w:val="white"/>
              </w:rPr>
              <w:lastRenderedPageBreak/>
              <w:t>exprese, există riscul aplicării neuniforme a normei și al apariției unor litigii privind modul de determinare a zilelor de concediu utilizate efectiv.</w:t>
            </w:r>
          </w:p>
          <w:p w14:paraId="7A94E3BA"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De asemenea, proiectul nu conține o definiție legală a noțiunii de </w:t>
            </w:r>
            <w:r>
              <w:rPr>
                <w:rFonts w:ascii="Times New Roman" w:eastAsia="Times New Roman" w:hAnsi="Times New Roman" w:cs="Times New Roman"/>
                <w:i/>
                <w:iCs/>
                <w:sz w:val="24"/>
                <w:szCs w:val="24"/>
                <w:highlight w:val="white"/>
              </w:rPr>
              <w:t>„zi lucrătoare”</w:t>
            </w:r>
            <w:r>
              <w:rPr>
                <w:rFonts w:ascii="Times New Roman" w:eastAsia="Times New Roman" w:hAnsi="Times New Roman" w:cs="Times New Roman"/>
                <w:sz w:val="24"/>
                <w:szCs w:val="24"/>
                <w:highlight w:val="white"/>
              </w:rPr>
              <w:t xml:space="preserve"> în materia concediului anual și nici reguli privind determinarea acesteia în cazul salariaților care activează în schimburi, cu program individualizat, în regim de evidență globală a timpului de muncă. În lipsa unor asemenea precizări, aceeași normă poate fi interpretată și aplicată diferit de către angajatori, ceea ce este de natură să afecteze previzibilitatea și aplicarea uniformă a legislației muncii.</w:t>
            </w:r>
          </w:p>
          <w:p w14:paraId="3CF16323"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Totodată, formularea propusă poate crea dificultăți practice la întocmirea graficelor de concedii, la evidența soldurilor de concediu, la calcularea indemnizației de concediu și la asigurarea personalului minim necesar pentru funcționarea continuă și sigură a instalațiilor termoenergetice.</w:t>
            </w:r>
          </w:p>
          <w:p w14:paraId="13750644"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În același timp, lipsa unor reguli clare de determinare a duratei concediului în cazul acestor categorii de salariați face imposibilă evaluarea unitară a obligațiilor aferente concediilor de odihnă neutilizate și, implicit, constituirea corectă a provizioanelor contabile aferente beneficiilor angajaților, ceea ce poate afecta corectitudinea evidenței contabile.</w:t>
            </w:r>
          </w:p>
          <w:p w14:paraId="0B7E1C4C"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 xml:space="preserve">  De asemenea, deși proiectul prevede că durata efectivă a concediului poate fi stabilită prin contractul individual de muncă, regulamentul intern și contractul colectiv de muncă, apreciem că aspectele esențiale privind modul de calcul al concediului anual trebuie reglementate prin lege, pentru a evita instituirea unor practici diferite de la un angajator la altul și pentru a asigura respectarea principiului egalității de tratament al salariaților.</w:t>
            </w:r>
          </w:p>
          <w:p w14:paraId="00104EEE"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Totodată, Directiva 2003/88/CE stabilește standardul minim al dreptului la concediul anual plătit ca fiind de cel puțin patru săptămâni, fără a impune exprimarea acestuia într-un anumit număr de zile calendaristice sau zile lucrătoare. Prin urmare, orice modificare a legislației naționale trebuie să asigure nu doar transpunerea formală a acestui standard, ci și existența unor reguli clare, previzibile și uniforme privind calcularea concediului pentru toate categoriile de salariați, indiferent de modul de organizare a timpului de muncă.</w:t>
            </w:r>
          </w:p>
          <w:p w14:paraId="0CB0A03C" w14:textId="77777777" w:rsidR="00315874" w:rsidRDefault="00000000">
            <w:pPr>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sz w:val="24"/>
                <w:szCs w:val="24"/>
                <w:highlight w:val="white"/>
              </w:rPr>
              <w:t xml:space="preserve">  În acest sens, apreciem oportună completarea proiectului cu dispoziții exprese privind modul de determinare a zilei lucrătoare în cazul muncii în schimburi și al evidenței globale a timpului de muncă, astfel încât aplicarea noilor prevederi să fie unitară, predictibilă și să nu genereze diminuarea duratei efective a repausului anual plătit și nici dificultăți în aplicarea practică a legislației.</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6EFFD1DF"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Se acceptă cu modificarea normelor în Proiect într-o altă redacție care aduce claritate.</w:t>
            </w:r>
          </w:p>
        </w:tc>
      </w:tr>
      <w:tr w:rsidR="00315874" w14:paraId="3AB365BC" w14:textId="77777777">
        <w:trPr>
          <w:trHeight w:val="825"/>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4FA9BA72" w14:textId="77777777" w:rsidR="00315874" w:rsidRDefault="00315874">
            <w:pPr>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3D628E11" w14:textId="77777777" w:rsidR="00315874" w:rsidRDefault="00315874">
            <w:pPr>
              <w:ind w:left="140"/>
              <w:jc w:val="center"/>
              <w:rPr>
                <w:rFonts w:ascii="Times New Roman" w:eastAsia="Times New Roman" w:hAnsi="Times New Roman" w:cs="Times New Roman"/>
                <w:b/>
                <w:bCs/>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08F0F62D" w14:textId="77777777" w:rsidR="00315874" w:rsidRDefault="00000000">
            <w:pPr>
              <w:jc w:val="both"/>
              <w:rPr>
                <w:rFonts w:ascii="Times New Roman" w:eastAsia="Times New Roman" w:hAnsi="Times New Roman" w:cs="Times New Roman"/>
                <w:i/>
                <w:iCs/>
                <w:sz w:val="24"/>
                <w:szCs w:val="24"/>
                <w:highlight w:val="white"/>
              </w:rPr>
            </w:pP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b/>
                <w:bCs/>
                <w:sz w:val="24"/>
                <w:szCs w:val="24"/>
                <w:highlight w:val="white"/>
              </w:rPr>
              <w:t>3. La pct. 8</w:t>
            </w:r>
            <w:r>
              <w:rPr>
                <w:rFonts w:ascii="Times New Roman" w:eastAsia="Times New Roman" w:hAnsi="Times New Roman" w:cs="Times New Roman"/>
                <w:sz w:val="24"/>
                <w:szCs w:val="24"/>
                <w:highlight w:val="white"/>
              </w:rPr>
              <w:t xml:space="preserve">, nu se susține completarea </w:t>
            </w:r>
            <w:r>
              <w:rPr>
                <w:rFonts w:ascii="Times New Roman" w:eastAsia="Times New Roman" w:hAnsi="Times New Roman" w:cs="Times New Roman"/>
                <w:b/>
                <w:bCs/>
                <w:sz w:val="24"/>
                <w:szCs w:val="24"/>
                <w:highlight w:val="white"/>
              </w:rPr>
              <w:t>alin. (5) art. 121</w:t>
            </w:r>
            <w:r>
              <w:rPr>
                <w:rFonts w:ascii="Times New Roman" w:eastAsia="Times New Roman" w:hAnsi="Times New Roman" w:cs="Times New Roman"/>
                <w:sz w:val="24"/>
                <w:szCs w:val="24"/>
                <w:highlight w:val="white"/>
              </w:rPr>
              <w:t xml:space="preserve">, cu propoziția: </w:t>
            </w:r>
            <w:r>
              <w:rPr>
                <w:rFonts w:ascii="Times New Roman" w:eastAsia="Times New Roman" w:hAnsi="Times New Roman" w:cs="Times New Roman"/>
                <w:i/>
                <w:iCs/>
                <w:sz w:val="24"/>
                <w:szCs w:val="24"/>
                <w:highlight w:val="white"/>
              </w:rPr>
              <w:t>„Concediile de odihnă anuale suplimentare plătite se acordă după utilizarea cel puțin a două săptămâni lucrătoare de concediu neîntrerupt în anul de referință.”</w:t>
            </w:r>
          </w:p>
          <w:p w14:paraId="1F20C137"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În context menționăm că, concediile de odihnă anuale suplimentare plătite reprezintă o garanție socială acordată anumitor categorii de salariați, în considerarea condițiilor specificate la alin. (1), (3) și (4) ori stabilite prin convențiile colective, contractele colective sau contractele individuale de muncă. Exercitarea acestui drept nu ar trebui condiționată de utilizarea prealabilă a unei anumite părți din concediul de odihnă anual de bază.</w:t>
            </w:r>
          </w:p>
          <w:p w14:paraId="46A11C8B"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Instituirea unei astfel de condiții restrânge autonomia părților la negocierea și stabilirea condițiilor de acordare a concediilor suplimentare și limitează posibilitatea angajatorului și a salariatului de a planifica efectuarea concediilor în funcție de necesitățile procesului de muncă și de interesele legitime ale salariatului.</w:t>
            </w:r>
          </w:p>
          <w:p w14:paraId="2DD0D7DD"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Totodată, condiționarea acordării concediului suplimentar de efectuarea prealabilă a două săptămâni de concediu neîntrerupt nu este justificată de natura juridică a acestui drept și poate genera dificultăți practice în organizarea activității unităților în care, din motive operaționale, concediile sunt planificate fracționat. O </w:t>
            </w:r>
            <w:r>
              <w:rPr>
                <w:rFonts w:ascii="Times New Roman" w:eastAsia="Times New Roman" w:hAnsi="Times New Roman" w:cs="Times New Roman"/>
                <w:sz w:val="24"/>
                <w:szCs w:val="24"/>
                <w:highlight w:val="white"/>
              </w:rPr>
              <w:lastRenderedPageBreak/>
              <w:t>asemenea reglementare reduce flexibilitatea în administrarea raporturilor de muncă, fără a aduce un beneficiu suplimentar protecției salariatului.</w:t>
            </w:r>
          </w:p>
          <w:p w14:paraId="3FF60B2F" w14:textId="77777777" w:rsidR="00315874" w:rsidRDefault="00000000">
            <w:pPr>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sz w:val="24"/>
                <w:szCs w:val="24"/>
                <w:highlight w:val="white"/>
              </w:rPr>
              <w:t xml:space="preserve"> Prin urmare, se consideră oportună menținerea reglementării actuale, care permite stabilirea condițiilor de acordare a concediilor de odihnă anuale suplimentare prin negociere colectivă sau individuală, fără impunerea unor condiții suplimentare prevăzute de lege.</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5D17D201"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 xml:space="preserve">Se acceptă. </w:t>
            </w:r>
          </w:p>
          <w:p w14:paraId="75E05896"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A se vedea proiectul revizuit cu excluderea acestei prevederi</w:t>
            </w:r>
          </w:p>
        </w:tc>
      </w:tr>
      <w:tr w:rsidR="00315874" w14:paraId="3F7252AB" w14:textId="77777777">
        <w:trPr>
          <w:trHeight w:val="825"/>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0F529EDD" w14:textId="77777777" w:rsidR="00315874" w:rsidRDefault="00315874">
            <w:pPr>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6FA53549" w14:textId="77777777" w:rsidR="00315874" w:rsidRDefault="00315874">
            <w:pPr>
              <w:ind w:left="140"/>
              <w:jc w:val="center"/>
              <w:rPr>
                <w:rFonts w:ascii="Times New Roman" w:eastAsia="Times New Roman" w:hAnsi="Times New Roman" w:cs="Times New Roman"/>
                <w:b/>
                <w:bCs/>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2FFA29C8" w14:textId="77777777" w:rsidR="00315874" w:rsidRDefault="00000000">
            <w:pPr>
              <w:jc w:val="both"/>
              <w:rPr>
                <w:rFonts w:ascii="Times New Roman" w:eastAsia="Times New Roman" w:hAnsi="Times New Roman" w:cs="Times New Roman"/>
                <w:i/>
                <w:iCs/>
                <w:sz w:val="24"/>
                <w:szCs w:val="24"/>
                <w:highlight w:val="white"/>
              </w:rPr>
            </w:pPr>
            <w:r>
              <w:rPr>
                <w:rFonts w:ascii="Times New Roman" w:eastAsia="Times New Roman" w:hAnsi="Times New Roman" w:cs="Times New Roman"/>
                <w:sz w:val="24"/>
                <w:szCs w:val="24"/>
                <w:highlight w:val="white"/>
              </w:rPr>
              <w:t xml:space="preserve">  Totodată, se propune completarea </w:t>
            </w:r>
            <w:r>
              <w:rPr>
                <w:rFonts w:ascii="Times New Roman" w:eastAsia="Times New Roman" w:hAnsi="Times New Roman" w:cs="Times New Roman"/>
                <w:b/>
                <w:bCs/>
                <w:sz w:val="24"/>
                <w:szCs w:val="24"/>
                <w:highlight w:val="white"/>
              </w:rPr>
              <w:t>alin. (6) art. 121 din Codul muncii al Republicii Moldova nr. 154/2003</w:t>
            </w:r>
            <w:r>
              <w:rPr>
                <w:rFonts w:ascii="Times New Roman" w:eastAsia="Times New Roman" w:hAnsi="Times New Roman" w:cs="Times New Roman"/>
                <w:sz w:val="24"/>
                <w:szCs w:val="24"/>
                <w:highlight w:val="white"/>
              </w:rPr>
              <w:t xml:space="preserve"> cu textul </w:t>
            </w:r>
            <w:r>
              <w:rPr>
                <w:rFonts w:ascii="Times New Roman" w:eastAsia="Times New Roman" w:hAnsi="Times New Roman" w:cs="Times New Roman"/>
                <w:i/>
                <w:iCs/>
                <w:sz w:val="24"/>
                <w:szCs w:val="24"/>
                <w:highlight w:val="white"/>
              </w:rPr>
              <w:t>„și se acordă exclusiv în anul de referință.”</w:t>
            </w:r>
          </w:p>
          <w:p w14:paraId="2B21A5AA"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Completarea propusă are drept scop instituirea unei practici unitare privind acordarea concediilor de odihnă anuale suplimentare și eliminarea interpretărilor neuniforme referitoare la posibilitatea reportării acestora dintr-un an în altul.</w:t>
            </w:r>
          </w:p>
          <w:p w14:paraId="44DD3397"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Concediul de odihnă anual suplimentar are un caracter complementar concediului de odihnă anual de bază, fiind acordat pentru compensarea condițiilor specifice de muncă sau pentru alte situații prevăzute de legislație ori de contractele colective și individuale de muncă. Având în vedere această natură juridică, este oportun ca acesta să fie efectuat împreună cu concediul de odihnă anual de bază și să fie utilizat în anul de gestiune pentru care este acordat.</w:t>
            </w:r>
          </w:p>
          <w:p w14:paraId="7510F09C"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 xml:space="preserve"> Reglementarea expresă a acestui aspect va asigura aplicarea uniformă a normei de către toți angajatorii, va preveni acumularea concediilor suplimentare neutilizate de la un an la altul și va contribui la o planificare eficientă a concediilor, atât în interesul salariaților, cât și al angajatorilor.</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25EB78D3" w14:textId="507216E2" w:rsidR="00315874" w:rsidRDefault="00607B56">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Nu s</w:t>
            </w:r>
            <w:r w:rsidR="00000000">
              <w:rPr>
                <w:rFonts w:ascii="Times New Roman" w:eastAsia="Times New Roman" w:hAnsi="Times New Roman" w:cs="Times New Roman"/>
                <w:b/>
                <w:bCs/>
                <w:sz w:val="24"/>
                <w:szCs w:val="24"/>
                <w:highlight w:val="white"/>
              </w:rPr>
              <w:t xml:space="preserve">e acceptă. </w:t>
            </w:r>
          </w:p>
          <w:p w14:paraId="5586FCB6" w14:textId="0DBDBB8C"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Proiectul a fost revizuit</w:t>
            </w:r>
            <w:r w:rsidR="00607B56">
              <w:rPr>
                <w:rFonts w:ascii="Times New Roman" w:eastAsia="Times New Roman" w:hAnsi="Times New Roman" w:cs="Times New Roman"/>
                <w:sz w:val="24"/>
                <w:szCs w:val="24"/>
                <w:highlight w:val="white"/>
              </w:rPr>
              <w:t xml:space="preserve"> în sensul operării oricăror intervenții la alin. (6) art.121 din Codul muncii.</w:t>
            </w:r>
          </w:p>
          <w:p w14:paraId="3699A597" w14:textId="69165A3C" w:rsidR="0021239A" w:rsidRDefault="0021239A">
            <w:pPr>
              <w:shd w:val="clear" w:color="auto" w:fill="FFFFFF"/>
              <w:jc w:val="both"/>
              <w:rPr>
                <w:rFonts w:ascii="Times New Roman" w:eastAsia="Times New Roman" w:hAnsi="Times New Roman" w:cs="Times New Roman"/>
                <w:sz w:val="24"/>
                <w:szCs w:val="24"/>
                <w:highlight w:val="white"/>
              </w:rPr>
            </w:pPr>
          </w:p>
        </w:tc>
      </w:tr>
      <w:tr w:rsidR="00315874" w14:paraId="097D4CCC" w14:textId="77777777">
        <w:trPr>
          <w:trHeight w:val="825"/>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1FDA4888" w14:textId="77777777" w:rsidR="00315874" w:rsidRDefault="00315874">
            <w:pPr>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141D5E27" w14:textId="77777777" w:rsidR="00315874" w:rsidRDefault="00315874">
            <w:pPr>
              <w:ind w:left="140"/>
              <w:jc w:val="center"/>
              <w:rPr>
                <w:rFonts w:ascii="Times New Roman" w:eastAsia="Times New Roman" w:hAnsi="Times New Roman" w:cs="Times New Roman"/>
                <w:b/>
                <w:bCs/>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45B1C25A"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b/>
                <w:bCs/>
                <w:sz w:val="24"/>
                <w:szCs w:val="24"/>
                <w:highlight w:val="white"/>
              </w:rPr>
              <w:t xml:space="preserve"> La Art. IX</w:t>
            </w:r>
            <w:r>
              <w:rPr>
                <w:rFonts w:ascii="Times New Roman" w:eastAsia="Times New Roman" w:hAnsi="Times New Roman" w:cs="Times New Roman"/>
                <w:sz w:val="24"/>
                <w:szCs w:val="24"/>
                <w:highlight w:val="white"/>
              </w:rPr>
              <w:t>.</w:t>
            </w:r>
            <w:r>
              <w:rPr>
                <w:rFonts w:ascii="Times New Roman" w:eastAsia="Times New Roman" w:hAnsi="Times New Roman" w:cs="Times New Roman"/>
                <w:i/>
                <w:iCs/>
                <w:sz w:val="24"/>
                <w:szCs w:val="24"/>
                <w:highlight w:val="white"/>
              </w:rPr>
              <w:t xml:space="preserve"> (modificarea Legii nr. 158/2008 cu privire la funcția publică și statutul funcționarului public),</w:t>
            </w:r>
            <w:r>
              <w:rPr>
                <w:rFonts w:ascii="Times New Roman" w:eastAsia="Times New Roman" w:hAnsi="Times New Roman" w:cs="Times New Roman"/>
                <w:b/>
                <w:bCs/>
                <w:sz w:val="24"/>
                <w:szCs w:val="24"/>
                <w:highlight w:val="white"/>
              </w:rPr>
              <w:t xml:space="preserve"> la pct. 2 </w:t>
            </w:r>
            <w:r>
              <w:rPr>
                <w:rFonts w:ascii="Times New Roman" w:eastAsia="Times New Roman" w:hAnsi="Times New Roman" w:cs="Times New Roman"/>
                <w:sz w:val="24"/>
                <w:szCs w:val="24"/>
                <w:highlight w:val="white"/>
              </w:rPr>
              <w:t>considerăm judicios menținerea în vigoare a prevederii stabilite la art. 43 alin. (2), potrivit căreia concediul de odihnă anual plătit se majorează în funcție de vechimea în serviciul public (peste 5, 10 și 15 ani), prin acordarea unui număr diferențiat de zile suplimentare. Această reglementare reprezintă un instrument important de politică de personal în serviciul public, având rolul de a valorifica experiența profesională acumulată și de a motiva personalul. Acordarea zilelor suplimentare de concediu este o formă de recunoaștere a contribuției pe termen lung a funcționarilor publici și contribuie la menținerea stabilității de personal în administrația publică.</w:t>
            </w:r>
          </w:p>
          <w:p w14:paraId="4F79DBC6"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În contextul procesului de modernizare și posibilă uniformizare a cadrului normativ privind concediile, poate fi analizată ajustarea numărului de zile suplimentare, cu condiția păstrării principiului acordării </w:t>
            </w:r>
            <w:r>
              <w:rPr>
                <w:rFonts w:ascii="Times New Roman" w:eastAsia="Times New Roman" w:hAnsi="Times New Roman" w:cs="Times New Roman"/>
                <w:sz w:val="24"/>
                <w:szCs w:val="24"/>
                <w:highlight w:val="white"/>
              </w:rPr>
              <w:lastRenderedPageBreak/>
              <w:t>lor progresive în funcție de vechime. O astfel de abordare ar permite menținerea echilibrului între coerența sistemului de personal și necesitatea de a păstra instrumentele de motivare și fidelizare a personalului cu experiență.</w:t>
            </w:r>
          </w:p>
          <w:p w14:paraId="10F1160C"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Eliminarea completă a acestui mecanism ar conduce la tratament uniform indiferent de vechime, ceea ce ar reduce motivația pentru carieră în serviciul public și ar putea afecta atractivitatea acestuia, în special pentru personalul cu experiență îndelungată.</w:t>
            </w:r>
          </w:p>
          <w:p w14:paraId="0BE7790B"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Totodată, această reglementare are și un rol de protecție a sănătății și capacității de muncă, având în vedere că uzura profesională crește odată cu vechimea în serviciu.</w:t>
            </w:r>
          </w:p>
          <w:p w14:paraId="4A1B54B1"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Prin urmare, orice intervenție asupra acestui mecanism trebuie realizată cu păstrarea rolului său motivațional și de protecție socială, întrucât eliminarea sa nu ar aduce beneficii semnificative în materie de eficiență administrativă. Referitor la argumentul invocat de autor în nota de fundamentare precum că, </w:t>
            </w:r>
            <w:r>
              <w:rPr>
                <w:rFonts w:ascii="Times New Roman" w:eastAsia="Times New Roman" w:hAnsi="Times New Roman" w:cs="Times New Roman"/>
                <w:i/>
                <w:iCs/>
                <w:sz w:val="24"/>
                <w:szCs w:val="24"/>
                <w:highlight w:val="white"/>
              </w:rPr>
              <w:t xml:space="preserve">„menținerea zilelor suplimentare de concediu acordate exclusiv în funcție de vechimea în muncă nu mai este justificată, </w:t>
            </w:r>
            <w:r>
              <w:rPr>
                <w:rFonts w:ascii="Times New Roman" w:eastAsia="Times New Roman" w:hAnsi="Times New Roman" w:cs="Times New Roman"/>
                <w:b/>
                <w:bCs/>
                <w:i/>
                <w:iCs/>
                <w:sz w:val="24"/>
                <w:szCs w:val="24"/>
                <w:highlight w:val="white"/>
              </w:rPr>
              <w:t>întrucât contribuie la acumularea unor solduri semnificative de concedii neutilizate</w:t>
            </w:r>
            <w:r>
              <w:rPr>
                <w:rFonts w:ascii="Times New Roman" w:eastAsia="Times New Roman" w:hAnsi="Times New Roman" w:cs="Times New Roman"/>
                <w:i/>
                <w:iCs/>
                <w:sz w:val="24"/>
                <w:szCs w:val="24"/>
                <w:highlight w:val="white"/>
              </w:rPr>
              <w:t>, care generează obligații financiare considerabile pentru bugetul public”</w:t>
            </w:r>
            <w:r>
              <w:rPr>
                <w:rFonts w:ascii="Times New Roman" w:eastAsia="Times New Roman" w:hAnsi="Times New Roman" w:cs="Times New Roman"/>
                <w:sz w:val="24"/>
                <w:szCs w:val="24"/>
                <w:highlight w:val="white"/>
              </w:rPr>
              <w:t xml:space="preserve"> subliniem că această justificare nu poate fi luată în considerare, ori, art. </w:t>
            </w:r>
            <w:r>
              <w:rPr>
                <w:rFonts w:ascii="Times New Roman" w:eastAsia="Times New Roman" w:hAnsi="Times New Roman" w:cs="Times New Roman"/>
                <w:sz w:val="24"/>
                <w:szCs w:val="24"/>
                <w:highlight w:val="white"/>
              </w:rPr>
              <w:lastRenderedPageBreak/>
              <w:t>118 alin. (4/1) din Codul muncii prevede obligația angajatului de a-și utiliza zilelor acumulate/nefolosite din concediul de odihnă anual și, respectiv, consecințele neutilizării acestora la expirarea termenului de 2 ani.</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158CDEE6"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 xml:space="preserve">Nu se acceptă. </w:t>
            </w:r>
          </w:p>
          <w:p w14:paraId="584FD3CD"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Poziția MMPS este cea expusă la pct. 8 (avizul Ministerului Justiției) din prezenta Sinteză.</w:t>
            </w:r>
          </w:p>
        </w:tc>
      </w:tr>
      <w:tr w:rsidR="00315874" w14:paraId="2610021E" w14:textId="77777777">
        <w:trPr>
          <w:trHeight w:val="825"/>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26F7E21D" w14:textId="77777777" w:rsidR="00315874" w:rsidRDefault="00315874">
            <w:pPr>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0EAA2843" w14:textId="77777777" w:rsidR="00315874" w:rsidRDefault="00315874">
            <w:pPr>
              <w:ind w:left="140"/>
              <w:jc w:val="center"/>
              <w:rPr>
                <w:rFonts w:ascii="Times New Roman" w:eastAsia="Times New Roman" w:hAnsi="Times New Roman" w:cs="Times New Roman"/>
                <w:b/>
                <w:bCs/>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30D74EE2"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b/>
                <w:bCs/>
                <w:sz w:val="24"/>
                <w:szCs w:val="24"/>
                <w:highlight w:val="white"/>
              </w:rPr>
              <w:t>La Art. XI.</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i/>
                <w:iCs/>
                <w:sz w:val="24"/>
                <w:szCs w:val="24"/>
                <w:highlight w:val="white"/>
              </w:rPr>
              <w:t>ce vizează modificarea articolul 22 alin. (1) din Legea nr. 80/2010 cu privire la statutul personalului din cabinetul persoanelor cu funcții de demnitate publică, precum și</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b/>
                <w:bCs/>
                <w:sz w:val="24"/>
                <w:szCs w:val="24"/>
                <w:highlight w:val="white"/>
              </w:rPr>
              <w:t>la Art. XII</w:t>
            </w:r>
            <w:r>
              <w:rPr>
                <w:rFonts w:ascii="Times New Roman" w:eastAsia="Times New Roman" w:hAnsi="Times New Roman" w:cs="Times New Roman"/>
                <w:sz w:val="24"/>
                <w:szCs w:val="24"/>
                <w:highlight w:val="white"/>
              </w:rPr>
              <w:t xml:space="preserve"> – </w:t>
            </w:r>
            <w:r>
              <w:rPr>
                <w:rFonts w:ascii="Times New Roman" w:eastAsia="Times New Roman" w:hAnsi="Times New Roman" w:cs="Times New Roman"/>
                <w:i/>
                <w:iCs/>
                <w:sz w:val="24"/>
                <w:szCs w:val="24"/>
                <w:highlight w:val="white"/>
              </w:rPr>
              <w:t>modificarea articolul 15 alin. (1) din Legea nr. 199/2010 cu privire la statutul persoanelor cu funcții de demnitate publică,</w:t>
            </w:r>
            <w:r>
              <w:rPr>
                <w:rFonts w:ascii="Times New Roman" w:eastAsia="Times New Roman" w:hAnsi="Times New Roman" w:cs="Times New Roman"/>
                <w:sz w:val="24"/>
                <w:szCs w:val="24"/>
                <w:highlight w:val="white"/>
              </w:rPr>
              <w:t xml:space="preserve"> se propune stabilirea duratei concediului de odihnă anual de 28 zile lucrătoare.</w:t>
            </w:r>
          </w:p>
          <w:p w14:paraId="4EFA04F3"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Propunerea de uniformizare a duratei concediului de odihnă anual la 28 de zile lucrătoare are drept scop asigurarea unei abordări coerente, unitare și echitabile în raport cu reglementările aplicabile altor categorii de personal din sectorul public, pentru care se propune, de asemenea, uniformizarea duratei concediului de odihnă anual la același nivel de 28 de zile lucrătoare, în locul reglementării actuale de 35 de zile calendaristice.</w:t>
            </w:r>
          </w:p>
          <w:p w14:paraId="689CB7BD"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În acest context, se reține că pentru funcționarii publici, ofițerii de protecție, funcționarii vamali, funcționarii publici cu statut special, precum și pentru personalul Serviciului Prevenirea și Combaterea Spălării Banilor și Finanțării Terorismului, cadrul normativ prevede în prezent o durată a concediului de odihnă anual de până la </w:t>
            </w:r>
            <w:r>
              <w:rPr>
                <w:rFonts w:ascii="Times New Roman" w:eastAsia="Times New Roman" w:hAnsi="Times New Roman" w:cs="Times New Roman"/>
                <w:sz w:val="24"/>
                <w:szCs w:val="24"/>
                <w:highlight w:val="white"/>
              </w:rPr>
              <w:lastRenderedPageBreak/>
              <w:t>35 de zile calendaristice, însă prin modificările legislative aflate în promovare se urmărește uniformizarea acestui regim la 28 de zile lucrătoare.</w:t>
            </w:r>
          </w:p>
          <w:p w14:paraId="5F41C937"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Prin urmare, nu se justifică menținerea unor regimuri juridice diferențiate pentru categorii de personal din sectorul public aflate în situații comparabile sub aspectul statutului și al condițiilor generale de activitate. În scopul evitării tratamentelor inegale și al asigurării coerenței cadrului normativ, se consideră oportun ca și pentru persoanele cu funcții de demnitate publică precum și persoanele din cabinetele persoanelor cu funcții de demnitate publică, să fie stabilită aceeași durată a concediului de odihnă anual de 28 de zile lucrătoare.</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79D130F9"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 xml:space="preserve">Se acceptă. </w:t>
            </w:r>
          </w:p>
          <w:p w14:paraId="6950B32C"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57F67C6B"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Durata concediului pentru persoanele cu funcții de demnitate publică și personalul din cabinetele acestora a fost deja alinată la 28 de zile lucrătoare, conform celor consemnate la pct. 2 (avizul Secretariatului Parlamentului) din prezenta Sinteză.</w:t>
            </w:r>
          </w:p>
        </w:tc>
      </w:tr>
      <w:tr w:rsidR="00315874" w14:paraId="5AA633C6" w14:textId="77777777">
        <w:trPr>
          <w:trHeight w:val="825"/>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4F2E0C4B" w14:textId="77777777" w:rsidR="00315874" w:rsidRDefault="00315874">
            <w:pPr>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349A7974" w14:textId="77777777" w:rsidR="00315874" w:rsidRDefault="00315874">
            <w:pPr>
              <w:ind w:left="140"/>
              <w:jc w:val="center"/>
              <w:rPr>
                <w:rFonts w:ascii="Times New Roman" w:eastAsia="Times New Roman" w:hAnsi="Times New Roman" w:cs="Times New Roman"/>
                <w:b/>
                <w:bCs/>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253239AC"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b/>
                <w:bCs/>
                <w:sz w:val="24"/>
                <w:szCs w:val="24"/>
                <w:highlight w:val="white"/>
              </w:rPr>
              <w:t>La Art. XIV</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i/>
                <w:iCs/>
                <w:sz w:val="24"/>
                <w:szCs w:val="24"/>
                <w:highlight w:val="white"/>
              </w:rPr>
              <w:t>ce vizează modificarea art. 61 alineatul (1) din Legea nr. 3/2016 cu privire la procuratură</w:t>
            </w:r>
            <w:r>
              <w:rPr>
                <w:rFonts w:ascii="Times New Roman" w:eastAsia="Times New Roman" w:hAnsi="Times New Roman" w:cs="Times New Roman"/>
                <w:sz w:val="24"/>
                <w:szCs w:val="24"/>
                <w:highlight w:val="white"/>
              </w:rPr>
              <w:t xml:space="preserve"> se constată că, pentru procurori, este propusă o abordare diferită în ceea ce privește durata concediului de odihnă anual. Astfel, deși în prezent aceștia beneficiază de un concediu de odihnă anual cu durata de 35 de zile calendaristice, prin modificările preconizate se propune stabilirea acestuia la 30 de zile lucrătoare.</w:t>
            </w:r>
          </w:p>
          <w:p w14:paraId="12DB4FDB"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Totodată, se reține că, pentru alte categorii de personal din sectorul public, care în prezent beneficiază de concediu anual cu durată de 35 de zile calendaristice, este avută în vedere, în proiectul de modificare a cadrului </w:t>
            </w:r>
            <w:r>
              <w:rPr>
                <w:rFonts w:ascii="Times New Roman" w:eastAsia="Times New Roman" w:hAnsi="Times New Roman" w:cs="Times New Roman"/>
                <w:sz w:val="24"/>
                <w:szCs w:val="24"/>
                <w:highlight w:val="white"/>
              </w:rPr>
              <w:lastRenderedPageBreak/>
              <w:t>normativ, stabilirea unei durate de 28 de zile lucrătoare, ceea ce generează un regim diferențiat între categorii de personal cu statut similar din perspectiva sistemului general de concedii.</w:t>
            </w:r>
          </w:p>
          <w:p w14:paraId="02934C45"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În acest context, se propune asigurarea unei abordări unitare și coerente în materie de reglementare, astfel încât regimul concediului de odihnă anual aplicabil procurorilor să fie corelat cu cel aplicabil celorlalte categorii de personal din sectorul public.</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67E1A005"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lastRenderedPageBreak/>
              <w:t xml:space="preserve">Nu se acceptă </w:t>
            </w:r>
          </w:p>
          <w:p w14:paraId="55C4DF6C"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Durata de 30 de zile lucrătoare de concediu pentru procurori reflectă statutul constituțional distinct al acestei categorii — funcția de urmărire și acuzare publică, garanțiile de independență funcțională, exigențele sporite de imparțialitate și integritate — care nu este comparabilă cu funcția publică de execuție (pentru alte categorii numărul de zile de concediu a fost uniformizat la 28 de zile lucrătoare). </w:t>
            </w:r>
          </w:p>
          <w:p w14:paraId="7CBC0986" w14:textId="77777777" w:rsidR="00315874" w:rsidRDefault="00000000">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Obiectivul de uniformizare urmărit prin proiect constă în instituirea unei abordări comune privind exprimarea și calcularea duratei concediului anual de odihnă în zile </w:t>
            </w:r>
            <w:r>
              <w:rPr>
                <w:rFonts w:ascii="Times New Roman" w:eastAsia="Times New Roman" w:hAnsi="Times New Roman" w:cs="Times New Roman"/>
                <w:sz w:val="24"/>
                <w:szCs w:val="24"/>
              </w:rPr>
              <w:lastRenderedPageBreak/>
              <w:t>lucrătoare, fără a presupune egalizarea duratei acestuia pentru toate categoriile profesionale din sistemul justiției.</w:t>
            </w:r>
          </w:p>
          <w:p w14:paraId="54C64AF8" w14:textId="77777777" w:rsidR="00315874" w:rsidRDefault="00000000">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acest cadru, proiectul stabilește un concediu anual de odihnă de 30 de zile lucrătoare pentru procurori și menține durata de 32 de zile lucrătoare pentru judecători. Menținerea duratei aplicabile judecătorilor răspunde opțiunii de a păstra nivelul existent al acestui drept în procesul de armonizare a reglementărilor. </w:t>
            </w:r>
          </w:p>
          <w:p w14:paraId="5636FE82" w14:textId="77777777" w:rsidR="00315874" w:rsidRDefault="00000000">
            <w:pPr>
              <w:shd w:val="clear" w:color="auto" w:fill="FFFFFF"/>
              <w:spacing w:before="240" w:after="24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Această opțiune nu presupune o ierarhizare a importanței celor două profesii și nici o apreciere potrivit căreia activitatea procurorilor ar implica un grad mai redus de responsabilitate sau de solicitare profesională.</w:t>
            </w:r>
          </w:p>
          <w:p w14:paraId="16CEA914"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113934AB" w14:textId="77777777" w:rsidR="00315874" w:rsidRDefault="00315874">
            <w:pPr>
              <w:shd w:val="clear" w:color="auto" w:fill="FFFFFF"/>
              <w:jc w:val="both"/>
              <w:rPr>
                <w:rFonts w:ascii="Times New Roman" w:eastAsia="Times New Roman" w:hAnsi="Times New Roman" w:cs="Times New Roman"/>
                <w:sz w:val="24"/>
                <w:szCs w:val="24"/>
                <w:highlight w:val="white"/>
              </w:rPr>
            </w:pPr>
          </w:p>
        </w:tc>
      </w:tr>
      <w:tr w:rsidR="00315874" w14:paraId="302C0BF5" w14:textId="77777777">
        <w:trPr>
          <w:trHeight w:val="825"/>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351D20DA" w14:textId="77777777" w:rsidR="00315874" w:rsidRDefault="00315874">
            <w:pPr>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39821094" w14:textId="77777777" w:rsidR="00315874" w:rsidRDefault="00315874">
            <w:pPr>
              <w:ind w:left="140"/>
              <w:jc w:val="center"/>
              <w:rPr>
                <w:rFonts w:ascii="Times New Roman" w:eastAsia="Times New Roman" w:hAnsi="Times New Roman" w:cs="Times New Roman"/>
                <w:b/>
                <w:bCs/>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4DC2DF3F"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 În ceea ce privește intenția autorului de transformare a concediilor anuale plătite din zile calendaristice în zile lucrătoare</w:t>
            </w:r>
            <w:r>
              <w:rPr>
                <w:rFonts w:ascii="Times New Roman" w:eastAsia="Times New Roman" w:hAnsi="Times New Roman" w:cs="Times New Roman"/>
                <w:sz w:val="24"/>
                <w:szCs w:val="24"/>
                <w:highlight w:val="white"/>
              </w:rPr>
              <w:t xml:space="preserve">, înaintată prin prezentul proiect de lege, menționăm că, pentru personalul operativ care activează în schimburi de 12 ore și pentru care se aplică evidența sumară a timpului de muncă, proiectul nu clarifică modalitatea de calcul și evidență a concediului exprimat în zile lucrătoare. În lipsa unor reglementări metodologice </w:t>
            </w:r>
            <w:r>
              <w:rPr>
                <w:rFonts w:ascii="Times New Roman" w:eastAsia="Times New Roman" w:hAnsi="Times New Roman" w:cs="Times New Roman"/>
                <w:sz w:val="24"/>
                <w:szCs w:val="24"/>
                <w:highlight w:val="white"/>
              </w:rPr>
              <w:lastRenderedPageBreak/>
              <w:t>suplimentare, nu este clar dacă o zi de concediu va corespunde unei ture complete de 12 ore sau unei zile standard de muncă, ceea ce poate genera dificultăți de aplicare uniformă, de calcul a drepturilor salariale, de configurare și adaptare a sistemelor informatice de evidență a timpului de muncă și de remunerare, precum și dificultăți în evidența contabilă.</w:t>
            </w:r>
          </w:p>
          <w:p w14:paraId="47FB59CA"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Prin urmare, se propune elaborarea unor explicații metodologice privind calcularea concediului anual plătit pentru personalul care activează în regim de ture cu evidență sumară a timpului de muncă, inclusiv modalitatea de determinare a zilelor lucrătoare ce urmează a fi deduse din soldul concediului.</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10B0756D"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 xml:space="preserve">Se acceptă. </w:t>
            </w:r>
          </w:p>
          <w:p w14:paraId="5C957E4F"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Codul muncii a fost completat cu norme suplimentare care clarifica regimul aplicabil pentru anumite categorii de personal cu regim de muncă altul decât cel general, inclusiv cei care lucrează în ture. </w:t>
            </w:r>
          </w:p>
          <w:p w14:paraId="6E1B80E0"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 se vedea proiectul de completare a art. 113.</w:t>
            </w:r>
          </w:p>
        </w:tc>
      </w:tr>
      <w:tr w:rsidR="00315874" w14:paraId="6229ABA2" w14:textId="77777777">
        <w:trPr>
          <w:trHeight w:val="825"/>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24D39624"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64339846" w14:textId="77777777" w:rsidR="00315874" w:rsidRDefault="00315874">
            <w:pPr>
              <w:spacing w:line="240" w:lineRule="auto"/>
              <w:jc w:val="center"/>
              <w:rPr>
                <w:rFonts w:ascii="Times New Roman" w:eastAsia="Times New Roman" w:hAnsi="Times New Roman" w:cs="Times New Roman"/>
                <w:b/>
                <w:bCs/>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2A65B449"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b/>
                <w:bCs/>
                <w:sz w:val="24"/>
                <w:szCs w:val="24"/>
                <w:highlight w:val="white"/>
              </w:rPr>
              <w:t>La Art. XX</w:t>
            </w:r>
            <w:r>
              <w:rPr>
                <w:rFonts w:ascii="Times New Roman" w:eastAsia="Times New Roman" w:hAnsi="Times New Roman" w:cs="Times New Roman"/>
                <w:sz w:val="24"/>
                <w:szCs w:val="24"/>
                <w:highlight w:val="white"/>
              </w:rPr>
              <w:t>, în vederea asigurării unei aplicări uniforme a noilor reglementări, se propune completarea dispozițiilor finale și tranzitorii ale proiectului de lege cu prevederi exprese privind modul de acordare și calculare a concediului anual pentru salariații al căror an de muncă, în sensul art. 113¹ alin. (1) din Codul muncii, începe înainte de intrarea în vigoare a legii și se finalizează după această dată.</w:t>
            </w:r>
          </w:p>
          <w:p w14:paraId="1AC21BDB"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În redactarea actuală, proiectul prevede că zilele de concediu de odihnă anual acumulate și neutilizate până la intrarea în vigoare a legii vor fi acordate și calculate în zile calendaristice până la epuizarea soldului acestora. </w:t>
            </w:r>
            <w:r>
              <w:rPr>
                <w:rFonts w:ascii="Times New Roman" w:eastAsia="Times New Roman" w:hAnsi="Times New Roman" w:cs="Times New Roman"/>
                <w:sz w:val="24"/>
                <w:szCs w:val="24"/>
                <w:highlight w:val="white"/>
              </w:rPr>
              <w:lastRenderedPageBreak/>
              <w:t>Totuși, acesta nu reglementează situația salariaților al căror an de muncă este în curs la data de 1 ianuarie 2027.</w:t>
            </w:r>
          </w:p>
          <w:p w14:paraId="23B3510A"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În conformitate cu art. 113¹ alin. (1) din Codul muncii, anul de muncă pentru care se acordă concediul de odihnă anual constituie 12 luni calendaristice de la data angajării salariatului. Astfel, pentru un salariat angajat, de exemplu, la 1 august 2026, anul de muncă se încheie la 31 iulie 2027.</w:t>
            </w:r>
          </w:p>
          <w:p w14:paraId="3138B41E"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În această situație, proiectul de lege nu stabilește expres dacă dreptul la concediu aferent anului de muncă aflat în curs:</w:t>
            </w:r>
          </w:p>
          <w:p w14:paraId="6762A150"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 se acordă integral potrivit reglementărilor anterioare;</w:t>
            </w:r>
          </w:p>
          <w:p w14:paraId="4DD35FAA"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 se recalculează proporțional între cele două regimuri;</w:t>
            </w:r>
          </w:p>
          <w:p w14:paraId="4109E249"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 sau se aplică un alt mecanism de conversie.</w:t>
            </w:r>
          </w:p>
          <w:p w14:paraId="333AE915"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Lipsa unor reglementări exprese poate conduce la interpretări neuniforme privind acordarea și calcularea concediului anual, determinarea indemnizației de concediu și aplicarea neuniformă a prevederilor legale de către angajatori.</w:t>
            </w:r>
          </w:p>
          <w:p w14:paraId="760C86F1" w14:textId="77777777" w:rsidR="00315874" w:rsidRDefault="00000000">
            <w:pPr>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sz w:val="24"/>
                <w:szCs w:val="24"/>
                <w:highlight w:val="white"/>
              </w:rPr>
              <w:t xml:space="preserve">  În contextul celor expuse mai sus, Ministerul Energiei </w:t>
            </w:r>
            <w:r>
              <w:rPr>
                <w:rFonts w:ascii="Times New Roman" w:eastAsia="Times New Roman" w:hAnsi="Times New Roman" w:cs="Times New Roman"/>
                <w:b/>
                <w:bCs/>
                <w:sz w:val="24"/>
                <w:szCs w:val="24"/>
                <w:highlight w:val="white"/>
              </w:rPr>
              <w:t>nu susține</w:t>
            </w:r>
            <w:r>
              <w:rPr>
                <w:rFonts w:ascii="Times New Roman" w:eastAsia="Times New Roman" w:hAnsi="Times New Roman" w:cs="Times New Roman"/>
                <w:sz w:val="24"/>
                <w:szCs w:val="24"/>
                <w:highlight w:val="white"/>
              </w:rPr>
              <w:t xml:space="preserve"> promovarea proiectului actului normativ în varianta propusă și solicită revizuirea acestuia.</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59A1D438"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 xml:space="preserve">Se acceptă parțial. </w:t>
            </w:r>
          </w:p>
          <w:p w14:paraId="30574E2C"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205EC20E"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”Zilele de concediu de odihnă anual acumulate și neutilizate  de către salariați până la intrarea în vigoare a prezentei legi se acordă și se calculează în zile calendaristice până la epuizarea integrală a soldului de concediu restant. </w:t>
            </w:r>
          </w:p>
          <w:p w14:paraId="6E476548"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Începând cu 1 ianuarie 2027, concediile de odihnă anuale și cele suplimentare plătite aferente anului 2027 și perioadelor următoare se acordă și se calculează în zile lucrătoare, cu respectarea art. 116 din prezentul cod.</w:t>
            </w:r>
          </w:p>
          <w:p w14:paraId="44055EF6"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Pentru anul 2026, concediile vor fi acordate și calculate în zile calendaristice proporțional cu perioada pentru care a fost </w:t>
            </w:r>
            <w:r>
              <w:rPr>
                <w:rFonts w:ascii="Times New Roman" w:eastAsia="Times New Roman" w:hAnsi="Times New Roman" w:cs="Times New Roman"/>
                <w:sz w:val="24"/>
                <w:szCs w:val="24"/>
                <w:highlight w:val="white"/>
              </w:rPr>
              <w:lastRenderedPageBreak/>
              <w:t>dobândit dreptul la acest concediu până la data de 31 decembrie 2026.”</w:t>
            </w:r>
          </w:p>
          <w:p w14:paraId="1D18DB1C"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5D9A8F8C"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Suplimentar art. 113/1 va fi modificat:</w:t>
            </w:r>
          </w:p>
          <w:p w14:paraId="0D81C78D"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 Anul de muncă pentru care se acordă concediul de odihnă anual corespunde perioadei cuprinse între 1 ianuarie și 31 decembrie a anului calendaristic. În cazul în care salariatul nu a prestat activitate pe întreaga durată a anului de muncă, concediul de odihnă anual se acordă proporțional cu perioada efectiv lucrată, în condițiile prevăzute de legislația în vigoare.”</w:t>
            </w:r>
          </w:p>
          <w:p w14:paraId="46D12FF5" w14:textId="77777777" w:rsidR="00315874" w:rsidRDefault="00315874">
            <w:pPr>
              <w:shd w:val="clear" w:color="auto" w:fill="FFFFFF"/>
              <w:jc w:val="both"/>
              <w:rPr>
                <w:rFonts w:ascii="Times New Roman" w:eastAsia="Times New Roman" w:hAnsi="Times New Roman" w:cs="Times New Roman"/>
                <w:sz w:val="24"/>
                <w:szCs w:val="24"/>
                <w:highlight w:val="white"/>
              </w:rPr>
            </w:pPr>
          </w:p>
        </w:tc>
      </w:tr>
      <w:tr w:rsidR="00315874" w14:paraId="0E695BFF" w14:textId="77777777">
        <w:trPr>
          <w:trHeight w:val="810"/>
        </w:trPr>
        <w:tc>
          <w:tcPr>
            <w:tcW w:w="735" w:type="dxa"/>
            <w:vMerge w:val="restart"/>
            <w:tcBorders>
              <w:top w:val="single" w:sz="6" w:space="0" w:color="999999"/>
              <w:left w:val="single" w:sz="6" w:space="0" w:color="999999"/>
              <w:bottom w:val="single" w:sz="6" w:space="0" w:color="999999"/>
              <w:right w:val="single" w:sz="6" w:space="0" w:color="999999"/>
            </w:tcBorders>
            <w:tcMar>
              <w:top w:w="0" w:type="dxa"/>
              <w:bottom w:w="0" w:type="dxa"/>
            </w:tcMar>
          </w:tcPr>
          <w:p w14:paraId="73AA59B0" w14:textId="77777777" w:rsidR="00315874"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16.</w:t>
            </w:r>
          </w:p>
        </w:tc>
        <w:tc>
          <w:tcPr>
            <w:tcW w:w="2835" w:type="dxa"/>
            <w:vMerge w:val="restart"/>
            <w:tcBorders>
              <w:top w:val="single" w:sz="6" w:space="0" w:color="999999"/>
              <w:left w:val="single" w:sz="6" w:space="0" w:color="999999"/>
              <w:bottom w:val="single" w:sz="6" w:space="0" w:color="999999"/>
              <w:right w:val="single" w:sz="6" w:space="0" w:color="999999"/>
            </w:tcBorders>
            <w:tcMar>
              <w:top w:w="0" w:type="dxa"/>
              <w:bottom w:w="0" w:type="dxa"/>
            </w:tcMar>
          </w:tcPr>
          <w:p w14:paraId="693FAE18" w14:textId="77777777" w:rsidR="00315874" w:rsidRDefault="00000000">
            <w:pPr>
              <w:ind w:left="14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Ministerul Culturii</w:t>
            </w:r>
          </w:p>
          <w:p w14:paraId="4B06C3FB" w14:textId="77777777" w:rsidR="00315874" w:rsidRDefault="00000000">
            <w:pPr>
              <w:ind w:left="140"/>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Nr. 06/2-07/1887 din 25.06.2026</w:t>
            </w: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5D995849"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Articolul IX pct. 2 din proiect prevede excluderea alineatului (2) al articolului 43 din Legea nr. 158/2008 privind funcția publică și statutul funcționarului public, </w:t>
            </w:r>
            <w:r>
              <w:rPr>
                <w:rFonts w:ascii="Times New Roman" w:eastAsia="Times New Roman" w:hAnsi="Times New Roman" w:cs="Times New Roman"/>
                <w:sz w:val="24"/>
                <w:szCs w:val="24"/>
                <w:highlight w:val="white"/>
              </w:rPr>
              <w:lastRenderedPageBreak/>
              <w:t xml:space="preserve">care reglementează acordarea concediului de odihnă anual suplimentar în funcție de vechimea în serviciul public. </w:t>
            </w:r>
          </w:p>
          <w:p w14:paraId="5EDCDC22"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Ministerul Culturii nu susține excluderea acestei norme, întrucât concediul suplimentar pentru vechime în serviciul public reprezintă o garanție statutară specifică funcției publice, instituită pentru recunoașterea experienței profesionale acumulate, stimularea continuității raporturilor de serviciu și consolidarea stabilității corpului funcționarilor publici. Eliminarea acestui drept ar conduce la diminuarea garanțiilor sociale ale funcționarilor publici, fără o justificare obiectivă și proporțională a necesității intervenției legislative. </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59F5E89B"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 xml:space="preserve">Nu se acceptă </w:t>
            </w:r>
          </w:p>
          <w:p w14:paraId="49E95D7F"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18B4AD27" w14:textId="77777777" w:rsidR="00315874"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lastRenderedPageBreak/>
              <w:t>A se vedea argumentarea de la punctul 2 la avizul către Secretariatul Parlamentului Nr. SGA-02 nr. 281 din 01.07.2026.</w:t>
            </w:r>
          </w:p>
          <w:p w14:paraId="666366BD"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sz w:val="24"/>
                <w:szCs w:val="24"/>
                <w:highlight w:val="white"/>
              </w:rPr>
              <w:t xml:space="preserve"> </w:t>
            </w:r>
          </w:p>
        </w:tc>
      </w:tr>
      <w:tr w:rsidR="00315874" w14:paraId="2849CE8E" w14:textId="77777777">
        <w:trPr>
          <w:trHeight w:val="810"/>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7AFAF85C"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0916E081" w14:textId="77777777" w:rsidR="00315874" w:rsidRDefault="00315874">
            <w:pPr>
              <w:spacing w:line="240" w:lineRule="auto"/>
              <w:jc w:val="center"/>
              <w:rPr>
                <w:rFonts w:ascii="Times New Roman" w:eastAsia="Times New Roman" w:hAnsi="Times New Roman" w:cs="Times New Roman"/>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4DAF6ABC"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Totodată, menținerea concediului suplimentar acordat în funcție de vechimea în serviciul public este compatibilă cu obiectivul proiectului privind trecerea de la calcularea concediilor în zile calendaristice la zile lucrătoare, fiind necesară doar ajustarea corespunzătoare a numărului de zile la noua unitate de calcul. </w:t>
            </w:r>
          </w:p>
          <w:p w14:paraId="5D9E9F23"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În acest sens, se propune completarea articolului 43 din Legea nr. 158/2008 privind funcția publică și statutul funcționarului public, după alineatul (1), cu alineatul (2), cu următorul cuprins:</w:t>
            </w:r>
          </w:p>
          <w:p w14:paraId="294BF0AF" w14:textId="77777777" w:rsidR="00315874" w:rsidRDefault="00000000">
            <w:pPr>
              <w:jc w:val="both"/>
              <w:rPr>
                <w:rFonts w:ascii="Times New Roman" w:eastAsia="Times New Roman" w:hAnsi="Times New Roman" w:cs="Times New Roman"/>
                <w:i/>
                <w:iCs/>
                <w:sz w:val="24"/>
                <w:szCs w:val="24"/>
                <w:highlight w:val="white"/>
              </w:rPr>
            </w:pPr>
            <w:r>
              <w:rPr>
                <w:rFonts w:ascii="Times New Roman" w:eastAsia="Times New Roman" w:hAnsi="Times New Roman" w:cs="Times New Roman"/>
                <w:i/>
                <w:iCs/>
                <w:sz w:val="24"/>
                <w:szCs w:val="24"/>
                <w:highlight w:val="white"/>
              </w:rPr>
              <w:t xml:space="preserve">„(2) Funcționarul public beneficiază de concediu de odihnă anual suplimentar plătit, a cărui durată se </w:t>
            </w:r>
            <w:r>
              <w:rPr>
                <w:rFonts w:ascii="Times New Roman" w:eastAsia="Times New Roman" w:hAnsi="Times New Roman" w:cs="Times New Roman"/>
                <w:i/>
                <w:iCs/>
                <w:sz w:val="24"/>
                <w:szCs w:val="24"/>
                <w:highlight w:val="white"/>
              </w:rPr>
              <w:lastRenderedPageBreak/>
              <w:t xml:space="preserve">majorează cu 1, 3 și, respectiv, 5 zile lucrătoare în cazul în care vechimea în muncă în serviciul public depășește 5, 10 și 15 ani.” </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615D43C9"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 xml:space="preserve">Nu se acceptă. </w:t>
            </w:r>
          </w:p>
          <w:p w14:paraId="51FE6A88"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 se vedea argumentarea la alte avize de mai sus.</w:t>
            </w:r>
          </w:p>
        </w:tc>
      </w:tr>
      <w:tr w:rsidR="00315874" w14:paraId="2E0411DC" w14:textId="77777777">
        <w:trPr>
          <w:trHeight w:val="810"/>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3285EDAF"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56FC3315" w14:textId="77777777" w:rsidR="00315874" w:rsidRDefault="00315874">
            <w:pPr>
              <w:spacing w:line="240" w:lineRule="auto"/>
              <w:jc w:val="center"/>
              <w:rPr>
                <w:rFonts w:ascii="Times New Roman" w:eastAsia="Times New Roman" w:hAnsi="Times New Roman" w:cs="Times New Roman"/>
                <w:sz w:val="24"/>
                <w:szCs w:val="24"/>
              </w:rPr>
            </w:pPr>
          </w:p>
        </w:tc>
        <w:tc>
          <w:tcPr>
            <w:tcW w:w="5700" w:type="dxa"/>
            <w:vMerge w:val="restart"/>
            <w:tcBorders>
              <w:top w:val="nil"/>
              <w:left w:val="nil"/>
              <w:bottom w:val="single" w:sz="6" w:space="0" w:color="000000"/>
              <w:right w:val="single" w:sz="6" w:space="0" w:color="999999"/>
            </w:tcBorders>
            <w:tcMar>
              <w:top w:w="0" w:type="dxa"/>
              <w:left w:w="100" w:type="dxa"/>
              <w:bottom w:w="0" w:type="dxa"/>
              <w:right w:w="100" w:type="dxa"/>
            </w:tcMar>
          </w:tcPr>
          <w:p w14:paraId="244084AC"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Totodată, se propune completarea articolului 49 alineatul (1) din Legea nr. 158/2008 cu următoarea propoziție:</w:t>
            </w:r>
          </w:p>
          <w:p w14:paraId="5A2E7E5E" w14:textId="77777777" w:rsidR="00315874" w:rsidRDefault="00000000">
            <w:pPr>
              <w:jc w:val="both"/>
              <w:rPr>
                <w:rFonts w:ascii="Times New Roman" w:eastAsia="Times New Roman" w:hAnsi="Times New Roman" w:cs="Times New Roman"/>
                <w:i/>
                <w:iCs/>
                <w:sz w:val="24"/>
                <w:szCs w:val="24"/>
                <w:highlight w:val="white"/>
              </w:rPr>
            </w:pPr>
            <w:r>
              <w:rPr>
                <w:rFonts w:ascii="Times New Roman" w:eastAsia="Times New Roman" w:hAnsi="Times New Roman" w:cs="Times New Roman"/>
                <w:i/>
                <w:iCs/>
                <w:sz w:val="24"/>
                <w:szCs w:val="24"/>
                <w:highlight w:val="white"/>
              </w:rPr>
              <w:t xml:space="preserve">„Asigurarea interimatului de către un funcționar public din cadrul aceleiași autorități se dispune numai cu acordul acestuia.” </w:t>
            </w:r>
          </w:p>
          <w:p w14:paraId="44B2CBB7"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Propunerea este determinată de faptul că exercitarea interimatului unei funcții publice de conducere implică atribuții și responsabilități suplimentare, precum și asumarea răspunderii manageriale, administrative și juridice aferente funcției. Prin urmare, acordul funcționarului public este necesar pentru a garanta asumarea voluntară a acestor responsabilități și exercitarea eficientă a atribuțiilor corespunzătoare funcției de conducere. </w:t>
            </w:r>
          </w:p>
        </w:tc>
        <w:tc>
          <w:tcPr>
            <w:tcW w:w="6210" w:type="dxa"/>
            <w:vMerge w:val="restart"/>
            <w:tcBorders>
              <w:top w:val="nil"/>
              <w:left w:val="nil"/>
              <w:bottom w:val="single" w:sz="6" w:space="0" w:color="000000"/>
              <w:right w:val="single" w:sz="6" w:space="0" w:color="999999"/>
            </w:tcBorders>
            <w:tcMar>
              <w:top w:w="0" w:type="dxa"/>
              <w:left w:w="100" w:type="dxa"/>
              <w:bottom w:w="0" w:type="dxa"/>
              <w:right w:w="100" w:type="dxa"/>
            </w:tcMar>
          </w:tcPr>
          <w:p w14:paraId="1A3E1715"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Nu se acceptă</w:t>
            </w:r>
          </w:p>
          <w:p w14:paraId="5B082DCF"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În cazul interimatului unei funcții publice acordul funcționarului public nu constituie, în mod general, o condiție obligatorie prevăzută de lege pentru dispunerea măsurii, aceasta fiind realizată prin act administrativ al autorității competente, cu respectarea condițiilor legale. Acordul poate fi necesar doar în situațiile în care interimatul implică modificări ale raportului de serviciu sau alte circumstanțe prevăzute de lege. Interimatul unei funcții publice vacante sau temporar vacante este o măsură administrativă de asigurare a continuității activității și are caracter temporar. </w:t>
            </w:r>
          </w:p>
          <w:p w14:paraId="63D24C58"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Este necesar de atras atenția asupra prevederilor art. 49 alin. 1 din Legea 158/2008 potrivit căreia:</w:t>
            </w:r>
          </w:p>
          <w:p w14:paraId="15C7A643" w14:textId="77777777" w:rsidR="00315874" w:rsidRDefault="00000000">
            <w:pPr>
              <w:shd w:val="clear" w:color="auto" w:fill="FFFFFF"/>
              <w:jc w:val="both"/>
              <w:rPr>
                <w:rFonts w:ascii="Times New Roman" w:eastAsia="Times New Roman" w:hAnsi="Times New Roman" w:cs="Times New Roman"/>
                <w:i/>
                <w:iCs/>
                <w:sz w:val="24"/>
                <w:szCs w:val="24"/>
                <w:highlight w:val="white"/>
              </w:rPr>
            </w:pPr>
            <w:r>
              <w:rPr>
                <w:rFonts w:ascii="Times New Roman" w:eastAsia="Times New Roman" w:hAnsi="Times New Roman" w:cs="Times New Roman"/>
                <w:i/>
                <w:iCs/>
                <w:sz w:val="24"/>
                <w:szCs w:val="24"/>
                <w:highlight w:val="white"/>
              </w:rPr>
              <w:t>„Exercitarea temporară a unei funcţii publice de conducere are loc prin asigurarea interimatului de către un funcţionar public din cadrul aceleiaşi autorităţi, iar în cazul unei funcţii publice de conducere de nivel superior – prin asigurarea interimatului de către un funcţionar public de conducere din cadrul aceleiaşi autorităţi, dacă îndeplinesc condiţiile de bază şi cerinţele specifice prevăzute în fişa postului aferentă funcţiei publice pentru care se asigură interimatul şi dacă nu au sancţiuni disciplinare nestinse, în condiţiile prezentei legi.</w:t>
            </w:r>
          </w:p>
          <w:p w14:paraId="27420719" w14:textId="77777777" w:rsidR="00315874" w:rsidRDefault="00000000">
            <w:pPr>
              <w:shd w:val="clear" w:color="auto" w:fill="FFFFFF"/>
              <w:jc w:val="both"/>
              <w:rPr>
                <w:rFonts w:ascii="Times New Roman" w:eastAsia="Times New Roman" w:hAnsi="Times New Roman" w:cs="Times New Roman"/>
                <w:i/>
                <w:iCs/>
                <w:sz w:val="24"/>
                <w:szCs w:val="24"/>
                <w:highlight w:val="white"/>
              </w:rPr>
            </w:pPr>
            <w:r>
              <w:rPr>
                <w:rFonts w:ascii="Times New Roman" w:eastAsia="Times New Roman" w:hAnsi="Times New Roman" w:cs="Times New Roman"/>
                <w:i/>
                <w:iCs/>
                <w:sz w:val="24"/>
                <w:szCs w:val="24"/>
                <w:highlight w:val="white"/>
              </w:rPr>
              <w:lastRenderedPageBreak/>
              <w:t>Nu se consideră interimat situaţia în care funcţia publică de conducere sau funcţia publică de conducere de nivel superior este exercitată temporar de către adjunctul titularului funcţiei respective.”</w:t>
            </w:r>
          </w:p>
          <w:p w14:paraId="2B170ABF"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Prin urmare interimatul funcției se face de către </w:t>
            </w:r>
            <w:r>
              <w:rPr>
                <w:rFonts w:ascii="Times New Roman" w:eastAsia="Times New Roman" w:hAnsi="Times New Roman" w:cs="Times New Roman"/>
                <w:i/>
                <w:iCs/>
                <w:sz w:val="24"/>
                <w:szCs w:val="24"/>
                <w:highlight w:val="white"/>
              </w:rPr>
              <w:t xml:space="preserve">funcţionarul public de conducere din cadrul aceleiaşi autorităţi, dacă îndeplinesc condiţiile de bază şi cerinţele specifice prevăzute în fişa postului aferentă funcţiei publice pentru care se asigură interimatul care deja ar trebui sa dețină în atribuțiile sale responsabilități similare postului pentru care este necesar interimatul. </w:t>
            </w:r>
          </w:p>
        </w:tc>
      </w:tr>
      <w:tr w:rsidR="00315874" w14:paraId="5CA5168B" w14:textId="77777777">
        <w:trPr>
          <w:trHeight w:val="810"/>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6D2E01E8"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190C0B15" w14:textId="77777777" w:rsidR="00315874" w:rsidRDefault="00315874">
            <w:pPr>
              <w:spacing w:line="240" w:lineRule="auto"/>
              <w:jc w:val="center"/>
              <w:rPr>
                <w:rFonts w:ascii="Times New Roman" w:eastAsia="Times New Roman" w:hAnsi="Times New Roman" w:cs="Times New Roman"/>
                <w:sz w:val="24"/>
                <w:szCs w:val="24"/>
              </w:rPr>
            </w:pPr>
          </w:p>
        </w:tc>
        <w:tc>
          <w:tcPr>
            <w:tcW w:w="5700" w:type="dxa"/>
            <w:vMerge/>
            <w:tcBorders>
              <w:top w:val="nil"/>
              <w:left w:val="nil"/>
              <w:bottom w:val="single" w:sz="6" w:space="0" w:color="000000"/>
              <w:right w:val="single" w:sz="6" w:space="0" w:color="999999"/>
            </w:tcBorders>
            <w:tcMar>
              <w:top w:w="0" w:type="dxa"/>
              <w:left w:w="100" w:type="dxa"/>
              <w:bottom w:w="0" w:type="dxa"/>
              <w:right w:w="100" w:type="dxa"/>
            </w:tcMar>
          </w:tcPr>
          <w:p w14:paraId="7E11EA62" w14:textId="77777777" w:rsidR="00315874" w:rsidRDefault="00315874">
            <w:pPr>
              <w:spacing w:line="240" w:lineRule="auto"/>
              <w:jc w:val="both"/>
              <w:rPr>
                <w:rFonts w:ascii="Times New Roman" w:eastAsia="Times New Roman" w:hAnsi="Times New Roman" w:cs="Times New Roman"/>
                <w:sz w:val="24"/>
                <w:szCs w:val="24"/>
                <w:highlight w:val="white"/>
              </w:rPr>
            </w:pPr>
          </w:p>
        </w:tc>
        <w:tc>
          <w:tcPr>
            <w:tcW w:w="6210" w:type="dxa"/>
            <w:vMerge/>
            <w:tcBorders>
              <w:top w:val="nil"/>
              <w:left w:val="nil"/>
              <w:bottom w:val="single" w:sz="6" w:space="0" w:color="000000"/>
              <w:right w:val="single" w:sz="6" w:space="0" w:color="999999"/>
            </w:tcBorders>
            <w:tcMar>
              <w:top w:w="0" w:type="dxa"/>
              <w:left w:w="100" w:type="dxa"/>
              <w:bottom w:w="0" w:type="dxa"/>
              <w:right w:w="100" w:type="dxa"/>
            </w:tcMar>
          </w:tcPr>
          <w:p w14:paraId="1059B5EE" w14:textId="77777777" w:rsidR="00315874" w:rsidRDefault="00315874">
            <w:pPr>
              <w:shd w:val="clear" w:color="auto" w:fill="FFFFFF"/>
              <w:spacing w:line="240" w:lineRule="auto"/>
              <w:jc w:val="both"/>
              <w:rPr>
                <w:rFonts w:ascii="Times New Roman" w:eastAsia="Times New Roman" w:hAnsi="Times New Roman" w:cs="Times New Roman"/>
                <w:b/>
                <w:bCs/>
                <w:sz w:val="24"/>
                <w:szCs w:val="24"/>
                <w:highlight w:val="white"/>
              </w:rPr>
            </w:pPr>
          </w:p>
        </w:tc>
      </w:tr>
      <w:tr w:rsidR="00315874" w14:paraId="2F549F49" w14:textId="77777777">
        <w:trPr>
          <w:trHeight w:val="810"/>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445EBD58"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0192B390" w14:textId="77777777" w:rsidR="00315874" w:rsidRDefault="00315874">
            <w:pPr>
              <w:spacing w:line="240" w:lineRule="auto"/>
              <w:jc w:val="center"/>
              <w:rPr>
                <w:rFonts w:ascii="Times New Roman" w:eastAsia="Times New Roman" w:hAnsi="Times New Roman" w:cs="Times New Roman"/>
                <w:sz w:val="24"/>
                <w:szCs w:val="24"/>
              </w:rPr>
            </w:pPr>
          </w:p>
        </w:tc>
        <w:tc>
          <w:tcPr>
            <w:tcW w:w="5700" w:type="dxa"/>
            <w:vMerge/>
            <w:tcBorders>
              <w:top w:val="nil"/>
              <w:left w:val="nil"/>
              <w:bottom w:val="single" w:sz="6" w:space="0" w:color="000000"/>
              <w:right w:val="single" w:sz="6" w:space="0" w:color="999999"/>
            </w:tcBorders>
            <w:tcMar>
              <w:top w:w="0" w:type="dxa"/>
              <w:left w:w="100" w:type="dxa"/>
              <w:bottom w:w="0" w:type="dxa"/>
              <w:right w:w="100" w:type="dxa"/>
            </w:tcMar>
          </w:tcPr>
          <w:p w14:paraId="73FF3F93" w14:textId="77777777" w:rsidR="00315874" w:rsidRDefault="00315874">
            <w:pPr>
              <w:spacing w:line="240" w:lineRule="auto"/>
              <w:jc w:val="both"/>
              <w:rPr>
                <w:rFonts w:ascii="Times New Roman" w:eastAsia="Times New Roman" w:hAnsi="Times New Roman" w:cs="Times New Roman"/>
                <w:sz w:val="24"/>
                <w:szCs w:val="24"/>
                <w:highlight w:val="white"/>
              </w:rPr>
            </w:pPr>
          </w:p>
        </w:tc>
        <w:tc>
          <w:tcPr>
            <w:tcW w:w="6210" w:type="dxa"/>
            <w:vMerge/>
            <w:tcBorders>
              <w:top w:val="nil"/>
              <w:left w:val="nil"/>
              <w:bottom w:val="single" w:sz="6" w:space="0" w:color="000000"/>
              <w:right w:val="single" w:sz="6" w:space="0" w:color="999999"/>
            </w:tcBorders>
            <w:tcMar>
              <w:top w:w="0" w:type="dxa"/>
              <w:left w:w="100" w:type="dxa"/>
              <w:bottom w:w="0" w:type="dxa"/>
              <w:right w:w="100" w:type="dxa"/>
            </w:tcMar>
          </w:tcPr>
          <w:p w14:paraId="2236E750" w14:textId="77777777" w:rsidR="00315874" w:rsidRDefault="00315874">
            <w:pPr>
              <w:shd w:val="clear" w:color="auto" w:fill="FFFFFF"/>
              <w:spacing w:line="240" w:lineRule="auto"/>
              <w:jc w:val="both"/>
              <w:rPr>
                <w:rFonts w:ascii="Times New Roman" w:eastAsia="Times New Roman" w:hAnsi="Times New Roman" w:cs="Times New Roman"/>
                <w:b/>
                <w:bCs/>
                <w:sz w:val="24"/>
                <w:szCs w:val="24"/>
                <w:highlight w:val="white"/>
              </w:rPr>
            </w:pPr>
          </w:p>
        </w:tc>
      </w:tr>
      <w:tr w:rsidR="00315874" w14:paraId="182426D5" w14:textId="77777777">
        <w:trPr>
          <w:trHeight w:val="1335"/>
        </w:trPr>
        <w:tc>
          <w:tcPr>
            <w:tcW w:w="735" w:type="dxa"/>
            <w:vMerge w:val="restart"/>
            <w:tcBorders>
              <w:top w:val="single" w:sz="6" w:space="0" w:color="999999"/>
              <w:left w:val="single" w:sz="6" w:space="0" w:color="999999"/>
              <w:bottom w:val="single" w:sz="6" w:space="0" w:color="999999"/>
              <w:right w:val="single" w:sz="6" w:space="0" w:color="999999"/>
            </w:tcBorders>
            <w:tcMar>
              <w:top w:w="0" w:type="dxa"/>
              <w:bottom w:w="0" w:type="dxa"/>
            </w:tcMar>
          </w:tcPr>
          <w:p w14:paraId="5C6F8856" w14:textId="77777777" w:rsidR="00315874"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17.</w:t>
            </w:r>
          </w:p>
        </w:tc>
        <w:tc>
          <w:tcPr>
            <w:tcW w:w="2835" w:type="dxa"/>
            <w:vMerge w:val="restart"/>
            <w:tcBorders>
              <w:top w:val="single" w:sz="6" w:space="0" w:color="999999"/>
              <w:left w:val="single" w:sz="6" w:space="0" w:color="999999"/>
              <w:bottom w:val="single" w:sz="6" w:space="0" w:color="999999"/>
              <w:right w:val="single" w:sz="6" w:space="0" w:color="999999"/>
            </w:tcBorders>
            <w:tcMar>
              <w:top w:w="0" w:type="dxa"/>
              <w:bottom w:w="0" w:type="dxa"/>
            </w:tcMar>
          </w:tcPr>
          <w:p w14:paraId="3DCE3CC2" w14:textId="77777777" w:rsidR="00315874" w:rsidRDefault="00000000">
            <w:pPr>
              <w:ind w:left="14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Casa Națională de Asigurări Sociale</w:t>
            </w:r>
          </w:p>
          <w:p w14:paraId="2BFDBF6F" w14:textId="77777777" w:rsidR="00315874" w:rsidRDefault="00000000">
            <w:pPr>
              <w:ind w:left="140"/>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Nr. 10915 din 01.07.2026</w:t>
            </w: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40A5E0D0" w14:textId="77777777" w:rsidR="00315874" w:rsidRDefault="00000000">
            <w:pPr>
              <w:jc w:val="both"/>
              <w:rPr>
                <w:rFonts w:ascii="Times New Roman" w:eastAsia="Times New Roman" w:hAnsi="Times New Roman" w:cs="Times New Roman"/>
                <w:b/>
                <w:bCs/>
                <w:i/>
                <w:iCs/>
                <w:sz w:val="24"/>
                <w:szCs w:val="24"/>
                <w:highlight w:val="white"/>
              </w:rPr>
            </w:pPr>
            <w:r>
              <w:rPr>
                <w:rFonts w:ascii="Times New Roman" w:eastAsia="Times New Roman" w:hAnsi="Times New Roman" w:cs="Times New Roman"/>
                <w:b/>
                <w:bCs/>
                <w:i/>
                <w:iCs/>
                <w:sz w:val="24"/>
                <w:szCs w:val="24"/>
                <w:highlight w:val="white"/>
              </w:rPr>
              <w:t xml:space="preserve">La Art. V. care modifică Codul Muncii al Republicii Moldova: </w:t>
            </w:r>
          </w:p>
          <w:p w14:paraId="36AE5D16"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La pct. 5 în alineatul (1) din articolul 113 textul ,,</w:t>
            </w:r>
            <w:r>
              <w:rPr>
                <w:rFonts w:ascii="Times New Roman" w:eastAsia="Times New Roman" w:hAnsi="Times New Roman" w:cs="Times New Roman"/>
                <w:i/>
                <w:iCs/>
                <w:sz w:val="24"/>
                <w:szCs w:val="24"/>
                <w:highlight w:val="white"/>
              </w:rPr>
              <w:t>luându-se drept bază durata normală a timpului de muncă”</w:t>
            </w:r>
            <w:r>
              <w:rPr>
                <w:rFonts w:ascii="Times New Roman" w:eastAsia="Times New Roman" w:hAnsi="Times New Roman" w:cs="Times New Roman"/>
                <w:sz w:val="24"/>
                <w:szCs w:val="24"/>
                <w:highlight w:val="white"/>
              </w:rPr>
              <w:t xml:space="preserve"> de exclus sau de substituit cu o formulare care să definească în mod expres efectul juridic urmărit. </w:t>
            </w:r>
            <w:r>
              <w:rPr>
                <w:rFonts w:ascii="Times New Roman" w:eastAsia="Times New Roman" w:hAnsi="Times New Roman" w:cs="Times New Roman"/>
                <w:b/>
                <w:bCs/>
                <w:i/>
                <w:iCs/>
                <w:sz w:val="24"/>
                <w:szCs w:val="24"/>
                <w:highlight w:val="white"/>
              </w:rPr>
              <w:t>Argumentare:</w:t>
            </w:r>
            <w:r>
              <w:rPr>
                <w:rFonts w:ascii="Times New Roman" w:eastAsia="Times New Roman" w:hAnsi="Times New Roman" w:cs="Times New Roman"/>
                <w:sz w:val="24"/>
                <w:szCs w:val="24"/>
                <w:highlight w:val="white"/>
              </w:rPr>
              <w:t xml:space="preserve"> Sintagma „luându-se drept bază durata normală a timpului de muncă” nu este clară și previzibilă, deoarece nu rezultă în mod explicit care este efectul juridic al acesteia asupra stabilirii duratei concediului de odihnă anual. Nu este clar care este criteriu de calcul al concediului pentru salariații cu timp parțial de muncă. </w:t>
            </w:r>
          </w:p>
          <w:p w14:paraId="5A35E072"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Totodată, proiectul stabilește expres că tuturor salariaților li se acordă anual un concediu de odihnă plătit cu o durată </w:t>
            </w:r>
            <w:r>
              <w:rPr>
                <w:rFonts w:ascii="Times New Roman" w:eastAsia="Times New Roman" w:hAnsi="Times New Roman" w:cs="Times New Roman"/>
                <w:sz w:val="24"/>
                <w:szCs w:val="24"/>
                <w:highlight w:val="white"/>
              </w:rPr>
              <w:lastRenderedPageBreak/>
              <w:t xml:space="preserve">de cel puțin 22 de zile lucrătoare, iar prin alin. (1¹) din proiect se prevede că, durata efectivă a concediului se stabilește în contractul individual de muncă, cu respectarea dispozițiilor legale, a contractului colectiv de muncă și, după caz, a regulamentului intern, fără a reglementa criteriile în baza cărora se stabilește o durată mai mare. În această redactare, norma lasă un grad larg de apreciere angajatorului, ceea ce poate conduce la practici neuniforme și la diferențe de tratament între salariații aflați în situații comparabile </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5FF04BE1"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 xml:space="preserve">Se acceptă. </w:t>
            </w:r>
          </w:p>
          <w:p w14:paraId="209BE81B"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Proiectul a fost ajustat cu completări la art. 113 din Codul muncii</w:t>
            </w:r>
          </w:p>
        </w:tc>
      </w:tr>
      <w:tr w:rsidR="00315874" w14:paraId="2F6A5095" w14:textId="77777777">
        <w:trPr>
          <w:trHeight w:val="1335"/>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3DF276BF"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19C24E29" w14:textId="77777777" w:rsidR="00315874" w:rsidRDefault="00315874">
            <w:pPr>
              <w:spacing w:line="240" w:lineRule="auto"/>
              <w:jc w:val="center"/>
              <w:rPr>
                <w:rFonts w:ascii="Times New Roman" w:eastAsia="Times New Roman" w:hAnsi="Times New Roman" w:cs="Times New Roman"/>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4E3D4D64"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pct. 8 </w:t>
            </w:r>
            <w:r>
              <w:rPr>
                <w:rFonts w:ascii="Times New Roman" w:eastAsia="Times New Roman" w:hAnsi="Times New Roman" w:cs="Times New Roman"/>
                <w:sz w:val="24"/>
                <w:szCs w:val="24"/>
                <w:highlight w:val="white"/>
              </w:rPr>
              <w:t>va avea următorul cuprins: „8. Articolul 121: la alineatele (1), cuvântul „calendaristice” se substituie cu cuvântul „lucrătoare”; alineatul (4) va avea următorul cuprins:</w:t>
            </w:r>
          </w:p>
          <w:p w14:paraId="20CECEA5"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,,(4) Fiecărui părinte care are 2 şi mai mulţi copii în vârstă de până la 14 ani (sau un copil cu dizabilităţi) i se acordă, în baza unei cereri scrise, un concediu de odihnă anual suplimentar plătit cu durata de 4 zile lucrătoare”; </w:t>
            </w:r>
          </w:p>
          <w:p w14:paraId="38DA5733"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alineatul (5) se completează în final cu o propoziție cu următorul cuprins: </w:t>
            </w:r>
          </w:p>
          <w:p w14:paraId="2B500F67"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„Concediile de odihnă anuale suplimentare plătite se acordă după utilizarea cel puțin a două săptămâni lucrătoare de concediu neîntrerupt în anul de referință.”.”</w:t>
            </w:r>
          </w:p>
          <w:p w14:paraId="396BAE05"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i/>
                <w:iCs/>
                <w:sz w:val="24"/>
                <w:szCs w:val="24"/>
                <w:highlight w:val="white"/>
              </w:rPr>
              <w:t>Argumentare:</w:t>
            </w:r>
            <w:r>
              <w:rPr>
                <w:rFonts w:ascii="Times New Roman" w:eastAsia="Times New Roman" w:hAnsi="Times New Roman" w:cs="Times New Roman"/>
                <w:sz w:val="24"/>
                <w:szCs w:val="24"/>
                <w:highlight w:val="white"/>
              </w:rPr>
              <w:t xml:space="preserve"> Dreptul la concediul de odihnă anual suplimentar plătit să constituie un drept individual al </w:t>
            </w:r>
            <w:r>
              <w:rPr>
                <w:rFonts w:ascii="Times New Roman" w:eastAsia="Times New Roman" w:hAnsi="Times New Roman" w:cs="Times New Roman"/>
                <w:sz w:val="24"/>
                <w:szCs w:val="24"/>
                <w:highlight w:val="white"/>
              </w:rPr>
              <w:lastRenderedPageBreak/>
              <w:t xml:space="preserve">fiecărui părinte care are 2 și mai mulți copii în vârstă de până la 14 ani sau un copil cu dizabilități. Reglementarea actuală limitează beneficiul la unul dintre părinți, fără a stabili un mecanism eficient de verificare și monitorizare a exercitării acestui drept. Totodată, îngrijirea și creșterea copiilor reprezintă o responsabilitate comună a ambilor părinți. Acordarea concediului suplimentar fiecărui părinte reflectă principiul egalității, promovează distribuirea echitabilă a responsabilităților familiale și încurajează implicarea ambilor părinți în îngrijirea copiilor. </w:t>
            </w:r>
          </w:p>
          <w:p w14:paraId="72FFDA38"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De asemenea, modificarea propusă va contribui la un echilibru mai bun între viața profesională și cea de familie pentru ambii părinți. </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5C637F77"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Nu se acceptă</w:t>
            </w:r>
          </w:p>
          <w:p w14:paraId="701DF270"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47EA9658"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Referitor la propunerea de a acorda concediul suplimentar prevăzut la art. 121 alin. (4) drept un drept individual al fiecărui părinte, și nu doar unuia dintre părinți: propunerea are o justificare de principiu, însă extinderea acestui drept excedează obiectul prezentului proiect (uniformizarea modului de exprimare a duratei concediilor) și ar produce un impact bugetar neevaluat în Nota de fundamentare. Propunerea va fi examinată separat, în cadrul unei revizuiri dedicate a cadrului privind concediile pentru îngrijirea copiilor.</w:t>
            </w:r>
          </w:p>
          <w:p w14:paraId="0D9677ED"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60837D49" w14:textId="77777777" w:rsidR="00315874" w:rsidRDefault="00315874">
            <w:pPr>
              <w:shd w:val="clear" w:color="auto" w:fill="FFFFFF"/>
              <w:jc w:val="both"/>
              <w:rPr>
                <w:rFonts w:ascii="Times New Roman" w:eastAsia="Times New Roman" w:hAnsi="Times New Roman" w:cs="Times New Roman"/>
                <w:sz w:val="24"/>
                <w:szCs w:val="24"/>
                <w:highlight w:val="white"/>
              </w:rPr>
            </w:pPr>
          </w:p>
        </w:tc>
      </w:tr>
      <w:tr w:rsidR="00315874" w14:paraId="6BFC6CE2" w14:textId="77777777">
        <w:trPr>
          <w:trHeight w:val="1335"/>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1CA22FA9"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150B1D78" w14:textId="77777777" w:rsidR="00315874" w:rsidRDefault="00315874">
            <w:pPr>
              <w:spacing w:line="240" w:lineRule="auto"/>
              <w:jc w:val="center"/>
              <w:rPr>
                <w:rFonts w:ascii="Times New Roman" w:eastAsia="Times New Roman" w:hAnsi="Times New Roman" w:cs="Times New Roman"/>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66764B79" w14:textId="77777777" w:rsidR="00315874" w:rsidRDefault="00000000">
            <w:pPr>
              <w:jc w:val="both"/>
              <w:rPr>
                <w:rFonts w:ascii="Times New Roman" w:eastAsia="Times New Roman" w:hAnsi="Times New Roman" w:cs="Times New Roman"/>
                <w:b/>
                <w:bCs/>
                <w:i/>
                <w:iCs/>
                <w:sz w:val="24"/>
                <w:szCs w:val="24"/>
                <w:highlight w:val="white"/>
              </w:rPr>
            </w:pPr>
            <w:r>
              <w:rPr>
                <w:rFonts w:ascii="Times New Roman" w:eastAsia="Times New Roman" w:hAnsi="Times New Roman" w:cs="Times New Roman"/>
                <w:b/>
                <w:bCs/>
                <w:i/>
                <w:iCs/>
                <w:sz w:val="24"/>
                <w:szCs w:val="24"/>
                <w:highlight w:val="white"/>
              </w:rPr>
              <w:t xml:space="preserve">La art. IX care modifică Legea nr.158/2008 cu privire la funcția publică și statutul funcționarului public: </w:t>
            </w:r>
          </w:p>
          <w:p w14:paraId="633A5AB7"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La </w:t>
            </w:r>
            <w:r>
              <w:rPr>
                <w:rFonts w:ascii="Times New Roman" w:eastAsia="Times New Roman" w:hAnsi="Times New Roman" w:cs="Times New Roman"/>
                <w:b/>
                <w:bCs/>
                <w:sz w:val="24"/>
                <w:szCs w:val="24"/>
                <w:highlight w:val="white"/>
              </w:rPr>
              <w:t>pct. 1</w:t>
            </w:r>
            <w:r>
              <w:rPr>
                <w:rFonts w:ascii="Times New Roman" w:eastAsia="Times New Roman" w:hAnsi="Times New Roman" w:cs="Times New Roman"/>
                <w:sz w:val="24"/>
                <w:szCs w:val="24"/>
                <w:highlight w:val="white"/>
              </w:rPr>
              <w:t xml:space="preserve"> textul ,,15% din salariul lunar stabilit” de substituit cu o formulare care desemnează în mod expres componenta salariului ce constituie baza de calcul a indemnizației unice în serviciul public.</w:t>
            </w:r>
          </w:p>
          <w:p w14:paraId="50B6FEB0"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i/>
                <w:iCs/>
                <w:sz w:val="24"/>
                <w:szCs w:val="24"/>
                <w:highlight w:val="white"/>
              </w:rPr>
              <w:t>Argumentare:</w:t>
            </w:r>
            <w:r>
              <w:rPr>
                <w:rFonts w:ascii="Times New Roman" w:eastAsia="Times New Roman" w:hAnsi="Times New Roman" w:cs="Times New Roman"/>
                <w:sz w:val="24"/>
                <w:szCs w:val="24"/>
                <w:highlight w:val="white"/>
              </w:rPr>
              <w:t xml:space="preserve"> Conform reglementărilor ce vizează sistemul de salarizare în sectorul bugetar, salariul lunar poate avea un caracter variabil, fiind influențat de sporuri, suplimente, premii, etc. care pot fi diferite de la o lună la alta. În aceste condiții, nu este clar cuantumul salariului </w:t>
            </w:r>
            <w:r>
              <w:rPr>
                <w:rFonts w:ascii="Times New Roman" w:eastAsia="Times New Roman" w:hAnsi="Times New Roman" w:cs="Times New Roman"/>
                <w:sz w:val="24"/>
                <w:szCs w:val="24"/>
                <w:highlight w:val="white"/>
              </w:rPr>
              <w:lastRenderedPageBreak/>
              <w:t xml:space="preserve">de bază necesar pentru calcularea indemnizației unice în serviciul public. </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17558879"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Se acceptă.</w:t>
            </w:r>
          </w:p>
          <w:p w14:paraId="476137F6"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77ACC66F"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Pentru claritate și aplicare uniformă, proiectul va fi modificat prin precizarea expresă a componentei salariale care constituie baza de calcul a indemnizației unice prevăzute la art. 42 alin. (3) din Legea nr. 158/2008.</w:t>
            </w:r>
          </w:p>
          <w:p w14:paraId="3A458A02"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18CC47F8"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Astfel, la art. IX pct. 1, textul „15% din salariul lunar stabilit” va fi substituit cu textul „15% din salariul de bază lunar stabilit pentru funcția deținută, determinat conform clasei de salarizare, la data depunerii cererii”.</w:t>
            </w:r>
          </w:p>
          <w:p w14:paraId="6FF1B561"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26C84499" w14:textId="77777777" w:rsidR="00315874" w:rsidRDefault="00315874">
            <w:pPr>
              <w:shd w:val="clear" w:color="auto" w:fill="FFFFFF"/>
              <w:jc w:val="both"/>
              <w:rPr>
                <w:rFonts w:ascii="Times New Roman" w:eastAsia="Times New Roman" w:hAnsi="Times New Roman" w:cs="Times New Roman"/>
                <w:sz w:val="24"/>
                <w:szCs w:val="24"/>
                <w:highlight w:val="white"/>
              </w:rPr>
            </w:pPr>
          </w:p>
        </w:tc>
      </w:tr>
      <w:tr w:rsidR="00315874" w14:paraId="6969AEC5" w14:textId="77777777">
        <w:trPr>
          <w:trHeight w:val="1335"/>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4DEA08FF"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2667F1E2" w14:textId="77777777" w:rsidR="00315874" w:rsidRDefault="00315874">
            <w:pPr>
              <w:spacing w:line="240" w:lineRule="auto"/>
              <w:jc w:val="center"/>
              <w:rPr>
                <w:rFonts w:ascii="Times New Roman" w:eastAsia="Times New Roman" w:hAnsi="Times New Roman" w:cs="Times New Roman"/>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7CB73D5F"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La </w:t>
            </w:r>
            <w:r>
              <w:rPr>
                <w:rFonts w:ascii="Times New Roman" w:eastAsia="Times New Roman" w:hAnsi="Times New Roman" w:cs="Times New Roman"/>
                <w:b/>
                <w:bCs/>
                <w:sz w:val="24"/>
                <w:szCs w:val="24"/>
                <w:highlight w:val="white"/>
              </w:rPr>
              <w:t>pct. 2</w:t>
            </w:r>
            <w:r>
              <w:rPr>
                <w:rFonts w:ascii="Times New Roman" w:eastAsia="Times New Roman" w:hAnsi="Times New Roman" w:cs="Times New Roman"/>
                <w:sz w:val="24"/>
                <w:szCs w:val="24"/>
                <w:highlight w:val="white"/>
              </w:rPr>
              <w:t xml:space="preserve"> textul ,,alineatul (2) se exclude” de exclus. </w:t>
            </w:r>
            <w:r>
              <w:rPr>
                <w:rFonts w:ascii="Times New Roman" w:eastAsia="Times New Roman" w:hAnsi="Times New Roman" w:cs="Times New Roman"/>
                <w:b/>
                <w:bCs/>
                <w:i/>
                <w:iCs/>
                <w:sz w:val="24"/>
                <w:szCs w:val="24"/>
                <w:highlight w:val="white"/>
              </w:rPr>
              <w:t>Argumentare:</w:t>
            </w:r>
            <w:r>
              <w:rPr>
                <w:rFonts w:ascii="Times New Roman" w:eastAsia="Times New Roman" w:hAnsi="Times New Roman" w:cs="Times New Roman"/>
                <w:sz w:val="24"/>
                <w:szCs w:val="24"/>
                <w:highlight w:val="white"/>
              </w:rPr>
              <w:t xml:space="preserve"> Modificarea propusă vizează reducerea unei garanții sociale specifice funcției publice, prin excluderea majorării duratei concediului anual în funcție de vechimea în serviciul public. Majorarea concediului de odihnă în funcție de vechimea în serviciul public constituie un mecanism de recunoaștere a experienței profesionale, a continuității în exercitarea funcției publice și a loialității față de serviciul public. Eliminarea acestei garanții va putea reduce atractivitatea funcției publice, în special în contextul dificultăților existente privind recrutarea și menținerea personalului calificat, al concurenței cu sectorul privat și al necesității consolidării unui corp profesionist și stabil al funcționarilor publici. </w:t>
            </w:r>
          </w:p>
          <w:p w14:paraId="1CBA5049"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Totodată, funcția publică este supusă unor restricții și incompatibilități specifice, precum și unor standarde sporite de integritate, imparțialitate și responsabilitate. Garanțiile sociale instituite în prezent compensează aceste exigențe și contribuie la motivarea și retenția personalului. </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32A6D437"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 xml:space="preserve">Nu se acceptă. </w:t>
            </w:r>
          </w:p>
          <w:p w14:paraId="452817B3"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2E220013"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Poziția Ministerului este cea expusă la pct. 8 (avizul Ministerului Justiției) din prezenta Sinteză.</w:t>
            </w:r>
          </w:p>
        </w:tc>
      </w:tr>
      <w:tr w:rsidR="00315874" w14:paraId="0326EAA3" w14:textId="77777777">
        <w:trPr>
          <w:trHeight w:val="1335"/>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16629B8D"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5FF63DD9" w14:textId="77777777" w:rsidR="00315874" w:rsidRDefault="00315874">
            <w:pPr>
              <w:spacing w:line="240" w:lineRule="auto"/>
              <w:jc w:val="center"/>
              <w:rPr>
                <w:rFonts w:ascii="Times New Roman" w:eastAsia="Times New Roman" w:hAnsi="Times New Roman" w:cs="Times New Roman"/>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04AF8E92"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La </w:t>
            </w:r>
            <w:r>
              <w:rPr>
                <w:rFonts w:ascii="Times New Roman" w:eastAsia="Times New Roman" w:hAnsi="Times New Roman" w:cs="Times New Roman"/>
                <w:b/>
                <w:bCs/>
                <w:sz w:val="24"/>
                <w:szCs w:val="24"/>
                <w:highlight w:val="white"/>
              </w:rPr>
              <w:t xml:space="preserve">Art. XII </w:t>
            </w:r>
            <w:r>
              <w:rPr>
                <w:rFonts w:ascii="Times New Roman" w:eastAsia="Times New Roman" w:hAnsi="Times New Roman" w:cs="Times New Roman"/>
                <w:sz w:val="24"/>
                <w:szCs w:val="24"/>
                <w:highlight w:val="white"/>
              </w:rPr>
              <w:t xml:space="preserve">care modifică Legea nr.199/2010 cu privire la statutul persoanelor cu funcții de demnitate publică, textul ,,24 zile lucrătoare” de substituit cu textul ,,28 zile lucrătoare”. </w:t>
            </w:r>
          </w:p>
          <w:p w14:paraId="5DFD1742"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i/>
                <w:iCs/>
                <w:sz w:val="24"/>
                <w:szCs w:val="24"/>
                <w:highlight w:val="white"/>
              </w:rPr>
              <w:t>Argumentare:</w:t>
            </w:r>
            <w:r>
              <w:rPr>
                <w:rFonts w:ascii="Times New Roman" w:eastAsia="Times New Roman" w:hAnsi="Times New Roman" w:cs="Times New Roman"/>
                <w:sz w:val="24"/>
                <w:szCs w:val="24"/>
                <w:highlight w:val="white"/>
              </w:rPr>
              <w:t xml:space="preserve"> În prezent conform cadrului normativ atât funcţionarului public cât şi persoanelor cu funcţii de demnitate publică li se acordă un concediu de odihnă anual, plătit, cu o durată de 35 de zile calendaristice, iar conform proiectul de lege se propune acordarea unui concediu de odihnă anual de 28 de zile lucrătoare funcționarilor publici, în timp ce pentru persoanele cu funcții de demnitate publică se stabilește o durată de 24 de zile lucrătoare. Se consideră oportună stabilirea unei durate a concediului de odihnă anual de 28 de zile lucrătoare atât funcţionarilor publici cât şi persoanelor cu funcţii de demnitate publică, pentru a asigura coerența reglementărilor aplicabile diferitelor categorii de persoane care exercită funcții în serviciul public și pentru a evita diminuarea garanțiilor sociale aferente statutului persoanelor cu funcții de demnitate publică. </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51721CDC"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 xml:space="preserve">Se acceptă. </w:t>
            </w:r>
          </w:p>
          <w:p w14:paraId="21CA149E"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6085AC11"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Durata concediului pentru persoanele cu funcții de demnitate publică a fost deja aliniată la 28 de zile lucrătoare, conform celor consemnate la pct. 2 (avizul Secretariatului Parlamentului) din prezenta Sinteză.</w:t>
            </w:r>
          </w:p>
        </w:tc>
      </w:tr>
      <w:tr w:rsidR="00315874" w14:paraId="7368E8E9" w14:textId="77777777">
        <w:trPr>
          <w:trHeight w:val="1178"/>
        </w:trPr>
        <w:tc>
          <w:tcPr>
            <w:tcW w:w="735" w:type="dxa"/>
            <w:tcBorders>
              <w:top w:val="single" w:sz="6" w:space="0" w:color="999999"/>
              <w:left w:val="single" w:sz="6" w:space="0" w:color="999999"/>
              <w:bottom w:val="single" w:sz="6" w:space="0" w:color="999999"/>
              <w:right w:val="single" w:sz="6" w:space="0" w:color="999999"/>
            </w:tcBorders>
            <w:tcMar>
              <w:top w:w="0" w:type="dxa"/>
              <w:bottom w:w="0" w:type="dxa"/>
            </w:tcMar>
          </w:tcPr>
          <w:p w14:paraId="07041642" w14:textId="77777777" w:rsidR="00315874"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18.</w:t>
            </w:r>
          </w:p>
        </w:tc>
        <w:tc>
          <w:tcPr>
            <w:tcW w:w="2835" w:type="dxa"/>
            <w:tcBorders>
              <w:top w:val="single" w:sz="6" w:space="0" w:color="999999"/>
              <w:left w:val="single" w:sz="6" w:space="0" w:color="999999"/>
              <w:bottom w:val="single" w:sz="6" w:space="0" w:color="999999"/>
              <w:right w:val="single" w:sz="6" w:space="0" w:color="999999"/>
            </w:tcBorders>
            <w:tcMar>
              <w:top w:w="0" w:type="dxa"/>
              <w:bottom w:w="0" w:type="dxa"/>
            </w:tcMar>
          </w:tcPr>
          <w:p w14:paraId="42D68771" w14:textId="77777777" w:rsidR="00315874" w:rsidRDefault="00000000">
            <w:pPr>
              <w:spacing w:line="240" w:lineRule="auto"/>
              <w:ind w:left="14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Compania Națională de Asigurări în Medicină</w:t>
            </w:r>
          </w:p>
          <w:p w14:paraId="3B16E3FE" w14:textId="77777777" w:rsidR="00315874" w:rsidRDefault="00000000">
            <w:pPr>
              <w:spacing w:line="240" w:lineRule="auto"/>
              <w:ind w:left="140"/>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Nr. 01-08/2010 din 02.07.2026</w:t>
            </w: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78354BAE"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Lipsă de obiecții și propuneri.</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2FA54C32"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S-a luat act.</w:t>
            </w:r>
          </w:p>
        </w:tc>
      </w:tr>
      <w:tr w:rsidR="00315874" w14:paraId="096E5C2F" w14:textId="77777777">
        <w:trPr>
          <w:trHeight w:val="1395"/>
        </w:trPr>
        <w:tc>
          <w:tcPr>
            <w:tcW w:w="735" w:type="dxa"/>
            <w:vMerge w:val="restart"/>
            <w:tcBorders>
              <w:top w:val="single" w:sz="6" w:space="0" w:color="999999"/>
              <w:left w:val="single" w:sz="6" w:space="0" w:color="999999"/>
              <w:bottom w:val="single" w:sz="6" w:space="0" w:color="999999"/>
              <w:right w:val="single" w:sz="6" w:space="0" w:color="999999"/>
            </w:tcBorders>
            <w:tcMar>
              <w:top w:w="0" w:type="dxa"/>
              <w:bottom w:w="0" w:type="dxa"/>
            </w:tcMar>
          </w:tcPr>
          <w:p w14:paraId="1ABC2F2E" w14:textId="77777777" w:rsidR="00315874"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19.</w:t>
            </w:r>
          </w:p>
        </w:tc>
        <w:tc>
          <w:tcPr>
            <w:tcW w:w="2835" w:type="dxa"/>
            <w:vMerge w:val="restart"/>
            <w:tcBorders>
              <w:top w:val="single" w:sz="6" w:space="0" w:color="999999"/>
              <w:left w:val="single" w:sz="6" w:space="0" w:color="999999"/>
              <w:bottom w:val="single" w:sz="6" w:space="0" w:color="999999"/>
              <w:right w:val="single" w:sz="6" w:space="0" w:color="999999"/>
            </w:tcBorders>
            <w:tcMar>
              <w:top w:w="0" w:type="dxa"/>
              <w:bottom w:w="0" w:type="dxa"/>
            </w:tcMar>
          </w:tcPr>
          <w:p w14:paraId="406AA6FE" w14:textId="77777777" w:rsidR="00315874" w:rsidRDefault="00000000">
            <w:pPr>
              <w:ind w:left="14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Centrul Național pentru Protecția Datelor cu Caracter Personal</w:t>
            </w:r>
          </w:p>
          <w:p w14:paraId="5695295A" w14:textId="77777777" w:rsidR="00315874" w:rsidRDefault="00000000">
            <w:pPr>
              <w:ind w:left="140"/>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Nr. 04-01/2350 din. 06.07.2026</w:t>
            </w: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33603BAF"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La Art. IX pct. 2</w:t>
            </w:r>
            <w:r>
              <w:rPr>
                <w:rFonts w:ascii="Times New Roman" w:eastAsia="Times New Roman" w:hAnsi="Times New Roman" w:cs="Times New Roman"/>
                <w:sz w:val="24"/>
                <w:szCs w:val="24"/>
                <w:highlight w:val="white"/>
              </w:rPr>
              <w:t xml:space="preserve"> din proiect se propune modificarea </w:t>
            </w:r>
            <w:r>
              <w:rPr>
                <w:rFonts w:ascii="Times New Roman" w:eastAsia="Times New Roman" w:hAnsi="Times New Roman" w:cs="Times New Roman"/>
                <w:b/>
                <w:bCs/>
                <w:sz w:val="24"/>
                <w:szCs w:val="24"/>
                <w:highlight w:val="white"/>
              </w:rPr>
              <w:t>art. 43 alin. (1) din Legea nr. 158/2008</w:t>
            </w:r>
            <w:r>
              <w:rPr>
                <w:rFonts w:ascii="Times New Roman" w:eastAsia="Times New Roman" w:hAnsi="Times New Roman" w:cs="Times New Roman"/>
                <w:sz w:val="24"/>
                <w:szCs w:val="24"/>
                <w:highlight w:val="white"/>
              </w:rPr>
              <w:t xml:space="preserve">, prin substituirea duratei concediului de odihnă anual de </w:t>
            </w:r>
            <w:r>
              <w:rPr>
                <w:rFonts w:ascii="Times New Roman" w:eastAsia="Times New Roman" w:hAnsi="Times New Roman" w:cs="Times New Roman"/>
                <w:i/>
                <w:iCs/>
                <w:sz w:val="24"/>
                <w:szCs w:val="24"/>
                <w:highlight w:val="white"/>
              </w:rPr>
              <w:t>35 de zile calendaristice cu 28 de zile lucrătoare,</w:t>
            </w:r>
            <w:r>
              <w:rPr>
                <w:rFonts w:ascii="Times New Roman" w:eastAsia="Times New Roman" w:hAnsi="Times New Roman" w:cs="Times New Roman"/>
                <w:sz w:val="24"/>
                <w:szCs w:val="24"/>
                <w:highlight w:val="white"/>
              </w:rPr>
              <w:t xml:space="preserve"> iar sintagma </w:t>
            </w:r>
            <w:r>
              <w:rPr>
                <w:rFonts w:ascii="Times New Roman" w:eastAsia="Times New Roman" w:hAnsi="Times New Roman" w:cs="Times New Roman"/>
                <w:i/>
                <w:iCs/>
                <w:sz w:val="24"/>
                <w:szCs w:val="24"/>
                <w:highlight w:val="white"/>
              </w:rPr>
              <w:t>„14 zile calendaristice”</w:t>
            </w:r>
            <w:r>
              <w:rPr>
                <w:rFonts w:ascii="Times New Roman" w:eastAsia="Times New Roman" w:hAnsi="Times New Roman" w:cs="Times New Roman"/>
                <w:sz w:val="24"/>
                <w:szCs w:val="24"/>
                <w:highlight w:val="white"/>
              </w:rPr>
              <w:t xml:space="preserve"> se înlocuiește cu sintagma </w:t>
            </w:r>
            <w:r>
              <w:rPr>
                <w:rFonts w:ascii="Times New Roman" w:eastAsia="Times New Roman" w:hAnsi="Times New Roman" w:cs="Times New Roman"/>
                <w:i/>
                <w:iCs/>
                <w:sz w:val="24"/>
                <w:szCs w:val="24"/>
                <w:highlight w:val="white"/>
              </w:rPr>
              <w:t>„două săptămâni lucrătoare de concediu neîntrerupt”</w:t>
            </w:r>
            <w:r>
              <w:rPr>
                <w:rFonts w:ascii="Times New Roman" w:eastAsia="Times New Roman" w:hAnsi="Times New Roman" w:cs="Times New Roman"/>
                <w:sz w:val="24"/>
                <w:szCs w:val="24"/>
                <w:highlight w:val="white"/>
              </w:rPr>
              <w:t>.</w:t>
            </w:r>
          </w:p>
          <w:p w14:paraId="0DDE8830"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Totodată, prin același punct se propune abrogarea alin. (2) al art. 43, care, în redacția în vigoare, prevede acordarea unui concediu suplimentar de odihnă anual, proporțional vechimii în serviciul public, respectiv cu 3, 5 și 7 zile calendaristice pentru o vechime ce depășește 5, 10 și, respectiv, 15 ani. </w:t>
            </w:r>
          </w:p>
          <w:p w14:paraId="2D1B4439"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Pornind de la obiectivul declarat al proiectului privind uniformizarea reglementărilor referitoare la concediul anual de odihnă prin raportarea acestuia la zile lucrătoare, constatăm că soluția legislativă propusă nu este aplicată în mod consecvent tuturor categoriilor de personal din sectorul public. Astfel, pentru alte categorii de personal aflate în raporturi speciale de serviciu sau care exercită atribuții cu un grad comparabil, iar în unele cazuri chiar inferior, de complexitate și responsabilitate, legislația continuă să prevadă concedii anuale cu durate de 30, 32 sau 34 de zile lucrătoare.</w:t>
            </w:r>
          </w:p>
          <w:p w14:paraId="0A150DAF"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În lipsa unei fundamentări obiective și rezonabile privind criteriile care justifică aceste diferențe de </w:t>
            </w:r>
            <w:r>
              <w:rPr>
                <w:rFonts w:ascii="Times New Roman" w:eastAsia="Times New Roman" w:hAnsi="Times New Roman" w:cs="Times New Roman"/>
                <w:sz w:val="24"/>
                <w:szCs w:val="24"/>
                <w:highlight w:val="white"/>
              </w:rPr>
              <w:lastRenderedPageBreak/>
              <w:t xml:space="preserve">tratament, soluția propusă poate genera percepția unei </w:t>
            </w:r>
            <w:r>
              <w:rPr>
                <w:rFonts w:ascii="Times New Roman" w:eastAsia="Times New Roman" w:hAnsi="Times New Roman" w:cs="Times New Roman"/>
                <w:sz w:val="24"/>
                <w:szCs w:val="24"/>
                <w:highlight w:val="white"/>
                <w:u w:val="single"/>
              </w:rPr>
              <w:t>inechități legislative</w:t>
            </w:r>
            <w:r>
              <w:rPr>
                <w:rFonts w:ascii="Times New Roman" w:eastAsia="Times New Roman" w:hAnsi="Times New Roman" w:cs="Times New Roman"/>
                <w:sz w:val="24"/>
                <w:szCs w:val="24"/>
                <w:highlight w:val="white"/>
              </w:rPr>
              <w:t xml:space="preserve"> și </w:t>
            </w:r>
            <w:r>
              <w:rPr>
                <w:rFonts w:ascii="Times New Roman" w:eastAsia="Times New Roman" w:hAnsi="Times New Roman" w:cs="Times New Roman"/>
                <w:sz w:val="24"/>
                <w:szCs w:val="24"/>
                <w:highlight w:val="white"/>
                <w:u w:val="single"/>
              </w:rPr>
              <w:t>poate ridica semne de întrebare sub aspectul respectării principiului egalității de tratament pentru persoane aflate în situații comparabile</w:t>
            </w:r>
            <w:r>
              <w:rPr>
                <w:rFonts w:ascii="Times New Roman" w:eastAsia="Times New Roman" w:hAnsi="Times New Roman" w:cs="Times New Roman"/>
                <w:sz w:val="24"/>
                <w:szCs w:val="24"/>
                <w:highlight w:val="white"/>
              </w:rPr>
              <w:t>.</w:t>
            </w:r>
          </w:p>
          <w:p w14:paraId="64BAB748"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Or, tratamentul juridic diferențiat este admisibil numai în măsura în care se întemeiază pe criterii obiective, rezonabile și proporționale cu scopul urmărit.</w:t>
            </w:r>
          </w:p>
          <w:p w14:paraId="6A1634A6"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Din Nota de fundamentare nu rezultă însă care sunt criteriile utilizate pentru stabilirea noii durate a concediului anual în cazul funcționarilor publici și nici motivele pentru care anumite categorii profesionale beneficiază în continuare de un regim mai favorabil.</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70EEA8EE"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Se acceptă parțial</w:t>
            </w:r>
          </w:p>
          <w:p w14:paraId="0ED3B07E"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6A269954"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Referitor la abrogarea alin. (2) al art. 43 din Legea nr. 158/2008 (concediul suplimentar pentru vechime): poziția Ministerului este cea expusă la pct. 8 (avizul Ministerului Justiției) și pct. 13 (avizul Ministerului Afacerilor Interne); soluția proiectului se menține, recunoașterea vechimii realizându-se prin salarizare, nu prin concediu suplimentar.</w:t>
            </w:r>
          </w:p>
          <w:p w14:paraId="65D51743"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Referitor la diferențele dintre duratele concediului de bază stabilite pentru categorii care în prezent beneficiază de aceeași durată exprimată în zile calendaristice: observația este parțial întemeiată. </w:t>
            </w:r>
          </w:p>
          <w:p w14:paraId="3AEA46D2"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Durata concediului pentru persoanele cu funcții de demnitate publică și pentru personalul din cabinetul acestora a fost deja aliniată la 28 de zile lucrătoare, conform celor consemnate la pct. 2 (avizul Secretariatului Parlamentului) din prezenta Sinteză. Nota de fundamentare va fi completată cu criteriile obiective utilizate pentru diferențierea rămasă între categorii (natură constituțională/statutară a funcției, regim de negociere colectivă etc.).</w:t>
            </w:r>
          </w:p>
          <w:p w14:paraId="48ABCC31"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01C54ED8" w14:textId="77777777" w:rsidR="00315874" w:rsidRDefault="00315874">
            <w:pPr>
              <w:shd w:val="clear" w:color="auto" w:fill="FFFFFF"/>
              <w:jc w:val="both"/>
              <w:rPr>
                <w:rFonts w:ascii="Times New Roman" w:eastAsia="Times New Roman" w:hAnsi="Times New Roman" w:cs="Times New Roman"/>
                <w:sz w:val="24"/>
                <w:szCs w:val="24"/>
                <w:highlight w:val="white"/>
              </w:rPr>
            </w:pPr>
          </w:p>
        </w:tc>
      </w:tr>
      <w:tr w:rsidR="00315874" w14:paraId="78BE867A" w14:textId="77777777">
        <w:trPr>
          <w:trHeight w:val="1395"/>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69D334E4" w14:textId="77777777" w:rsidR="00315874" w:rsidRDefault="00315874">
            <w:pPr>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66A0FA0A" w14:textId="77777777" w:rsidR="00315874" w:rsidRDefault="00315874">
            <w:pPr>
              <w:ind w:left="140"/>
              <w:jc w:val="center"/>
              <w:rPr>
                <w:rFonts w:ascii="Times New Roman" w:eastAsia="Times New Roman" w:hAnsi="Times New Roman" w:cs="Times New Roman"/>
                <w:sz w:val="24"/>
                <w:szCs w:val="24"/>
              </w:rPr>
            </w:pPr>
          </w:p>
        </w:tc>
        <w:tc>
          <w:tcPr>
            <w:tcW w:w="5700" w:type="dxa"/>
            <w:vMerge w:val="restart"/>
            <w:tcBorders>
              <w:top w:val="nil"/>
              <w:left w:val="nil"/>
              <w:bottom w:val="single" w:sz="6" w:space="0" w:color="000000"/>
              <w:right w:val="single" w:sz="6" w:space="0" w:color="999999"/>
            </w:tcBorders>
            <w:tcMar>
              <w:top w:w="0" w:type="dxa"/>
              <w:left w:w="100" w:type="dxa"/>
              <w:bottom w:w="0" w:type="dxa"/>
              <w:right w:w="100" w:type="dxa"/>
            </w:tcMar>
          </w:tcPr>
          <w:p w14:paraId="48A53FC7"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De asemenea, proiectul propune eliminarea concediului suplimentar acordat în funcție de vechimea în serviciul public, fără instituirea unei măsuri compensatorii echivalente. Potrivit secțiunii 3.1 pct. II lit. b) din Nota de fundamentare, justificarea acestei soluții constă în faptul că </w:t>
            </w:r>
            <w:r>
              <w:rPr>
                <w:rFonts w:ascii="Times New Roman" w:eastAsia="Times New Roman" w:hAnsi="Times New Roman" w:cs="Times New Roman"/>
                <w:i/>
                <w:iCs/>
                <w:sz w:val="24"/>
                <w:szCs w:val="24"/>
                <w:highlight w:val="white"/>
              </w:rPr>
              <w:t>„menținerea zilelor suplimentare de concediu acordate exclusiv în funcție de vechimea în muncă nu mai este justificată, întrucât contribuie la acumularea unor solduri semnificative de concedii neutilizate, care generează obligații financiare considerabile pentru bugetul public”</w:t>
            </w:r>
            <w:r>
              <w:rPr>
                <w:rFonts w:ascii="Times New Roman" w:eastAsia="Times New Roman" w:hAnsi="Times New Roman" w:cs="Times New Roman"/>
                <w:sz w:val="24"/>
                <w:szCs w:val="24"/>
                <w:highlight w:val="white"/>
              </w:rPr>
              <w:t>.</w:t>
            </w:r>
          </w:p>
          <w:p w14:paraId="068C8F96"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Remarcăm că această argumentare nu vizează instituția concediului suplimentar în sine, ci efectele generate de </w:t>
            </w:r>
            <w:r>
              <w:rPr>
                <w:rFonts w:ascii="Times New Roman" w:eastAsia="Times New Roman" w:hAnsi="Times New Roman" w:cs="Times New Roman"/>
                <w:sz w:val="24"/>
                <w:szCs w:val="24"/>
                <w:highlight w:val="white"/>
              </w:rPr>
              <w:lastRenderedPageBreak/>
              <w:t>neutilizarea concediilor de odihnă. Prin urmare, problema identificată de autor este una de administrare a concediilor și de gestionare a soldurilor acestora, dar nu și existența dreptului la concediu suplimentar proporțional vechimii în serviciul public. În aceste condiții, eliminarea integrală a acestui drept reprezintă o măsură disproporționată în raport cu scopul declarat, deoarece conduce la suprimarea unei garanții distincte, care are rolul de a recompensa experiența profesională acumulată și de a încuraja continuitatea carierei în serviciul public.</w:t>
            </w:r>
          </w:p>
          <w:p w14:paraId="596D1C3F"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Mai mult, acumularea soldurilor de concediu ar putea reprezenta o consecință a aplicării normelor privind programarea și utilizarea concediilor, precum și a practicilor administrative existente la nivelul autorităților publice, și nu rezultatul existenței concediului suplimentar pentru vechime.</w:t>
            </w:r>
          </w:p>
          <w:p w14:paraId="49E183EA"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Din această perspectivă, obiectivul diminuării obligațiilor financiare aferente concediilor neutilizate poate fi realizat prin măsuri de management al resurselor umane și prin consolidarea mecanismelor de planificare și utilizare anuală a concediilor, fără a fi necesară eliminarea unui drept recunoscut funcționarilor publici.</w:t>
            </w:r>
          </w:p>
          <w:p w14:paraId="6B8E787A"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Totodată, Nota de fundamentare nu conține o evaluare a impactului pe care eliminarea concediului suplimentar îl va produce asupra stabilității funcției publice, asupra </w:t>
            </w:r>
            <w:r>
              <w:rPr>
                <w:rFonts w:ascii="Times New Roman" w:eastAsia="Times New Roman" w:hAnsi="Times New Roman" w:cs="Times New Roman"/>
                <w:sz w:val="24"/>
                <w:szCs w:val="24"/>
                <w:highlight w:val="white"/>
              </w:rPr>
              <w:lastRenderedPageBreak/>
              <w:t>fluctuației de personal și asupra capacității autorităților publice de a atrage și menține personal calificat. În lipsa unei asemenea analize, nu poate fi apreciat dacă beneficiile financiare estimate justifică diminuarea garanțiilor sociale acordate funcționarilor publici.</w:t>
            </w:r>
          </w:p>
          <w:p w14:paraId="53B0E3AB"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Din perspectiva managementului resurselor umane, concediul suplimentar pentru vechime constituie unul dintre puținele instrumente motivaționale nesalariale de care dispun autoritățile publice pentru motivarea personalului și diminuarea fluctuației de cadre. </w:t>
            </w:r>
          </w:p>
          <w:p w14:paraId="441B00FF"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În contextul constrângerilor specifice sistemului de salarizare bugetară și al dificultăților persistente de recrutare și menținere a funcționarilor publici calificați, eliminarea acestui beneficiu este susceptibilă să reducă atractivitatea funcției publice și să afecteze stabilitatea corpului funcționarilor publici.</w:t>
            </w:r>
          </w:p>
          <w:p w14:paraId="5B02035D"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De asemenea, vechimea în serviciul public reflectă experiența profesională acumulată, nivelul de responsabilitate și continuitatea exercitării funcției publice. Din această perspectivă, acordarea unor beneficii suplimentare corelate cu vechimea reprezintă un mecanism de recunoaștere a contribuției profesionale și de stimulare a stabilității în serviciul public a memoriei instituționale din sectorul public.</w:t>
            </w:r>
          </w:p>
          <w:p w14:paraId="7747E09F"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 xml:space="preserve"> Observăm, totodată, că autorul proiectului afirmă, la secțiunea 3.1 pct. I din Nota de fundamentare, că trecerea la exprimarea concediului în zile lucrătoare „nu va reduce numărul de zile de concediu efectiv la care angajatul are dreptul”, fiind urmărită „păstrarea beneficiului efectiv de care pot dispune salariații în sistemul actual”. În cazul funcționarilor publici însă, această afirmație nu se confirmă, întrucât modificarea propusă nu se limitează la conversia tehnică a zilelor calendaristice în zile lucrătoare, ci este însoțită de eliminarea concediului suplimentar pentru vechime, ceea ce conduce la diminuarea dreptului efectiv la odihnă pentru funcționarii publici care, în prezent, beneficiază de acest drept în considerarea experienței profesionale acumulate.</w:t>
            </w:r>
          </w:p>
          <w:p w14:paraId="1B812BCD"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În același timp, soluția propusă poate afecta previzibilitatea și stabilitatea statutului funcționarului public. Beneficiile acordate în funcție de vechimea în serviciul public reprezintă elemente ale regimului juridic al funcției publice care contribuie la planificarea și dezvoltarea unei cariere pe termen lung în administrația publică. Eliminarea acestora, în lipsa unei justificări suficiente și a unor măsuri compensatorii, este de natură să diminueze încrederea funcționarilor publici în stabilitatea garanțiilor asociate statutului lor profesional.</w:t>
            </w:r>
          </w:p>
          <w:p w14:paraId="457A0AA6"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 xml:space="preserve">   Reieșind din considerentele expuse, apreciem că </w:t>
            </w:r>
            <w:r>
              <w:rPr>
                <w:rFonts w:ascii="Times New Roman" w:eastAsia="Times New Roman" w:hAnsi="Times New Roman" w:cs="Times New Roman"/>
                <w:sz w:val="24"/>
                <w:szCs w:val="24"/>
                <w:highlight w:val="white"/>
                <w:u w:val="single"/>
              </w:rPr>
              <w:t>soluția legislativă prevăzută la Art. IX necesită a fi reexaminată</w:t>
            </w:r>
            <w:r>
              <w:rPr>
                <w:rFonts w:ascii="Times New Roman" w:eastAsia="Times New Roman" w:hAnsi="Times New Roman" w:cs="Times New Roman"/>
                <w:sz w:val="24"/>
                <w:szCs w:val="24"/>
                <w:highlight w:val="white"/>
              </w:rPr>
              <w:t xml:space="preserve">. </w:t>
            </w:r>
          </w:p>
        </w:tc>
        <w:tc>
          <w:tcPr>
            <w:tcW w:w="6210" w:type="dxa"/>
            <w:vMerge w:val="restart"/>
            <w:tcBorders>
              <w:top w:val="nil"/>
              <w:left w:val="nil"/>
              <w:bottom w:val="single" w:sz="6" w:space="0" w:color="000000"/>
              <w:right w:val="single" w:sz="6" w:space="0" w:color="999999"/>
            </w:tcBorders>
            <w:tcMar>
              <w:top w:w="0" w:type="dxa"/>
              <w:left w:w="100" w:type="dxa"/>
              <w:bottom w:w="0" w:type="dxa"/>
              <w:right w:w="100" w:type="dxa"/>
            </w:tcMar>
          </w:tcPr>
          <w:p w14:paraId="75F75E77"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 xml:space="preserve">Nu se acceptă. </w:t>
            </w:r>
          </w:p>
          <w:p w14:paraId="2DEFE51B"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6735099C"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 se vedea răspunsul de la punctul precedent din prezentul aviz (a se vedea și pct. 8 și pct. 13 din prezenta Sinteză).</w:t>
            </w:r>
          </w:p>
        </w:tc>
      </w:tr>
      <w:tr w:rsidR="00315874" w14:paraId="49D8D3DC" w14:textId="77777777">
        <w:trPr>
          <w:trHeight w:val="1395"/>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4039EA3C"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08DBD9A4" w14:textId="77777777" w:rsidR="00315874" w:rsidRDefault="00315874">
            <w:pPr>
              <w:spacing w:line="240" w:lineRule="auto"/>
              <w:jc w:val="center"/>
              <w:rPr>
                <w:rFonts w:ascii="Times New Roman" w:eastAsia="Times New Roman" w:hAnsi="Times New Roman" w:cs="Times New Roman"/>
                <w:sz w:val="24"/>
                <w:szCs w:val="24"/>
              </w:rPr>
            </w:pPr>
          </w:p>
        </w:tc>
        <w:tc>
          <w:tcPr>
            <w:tcW w:w="5700" w:type="dxa"/>
            <w:vMerge/>
            <w:tcBorders>
              <w:top w:val="nil"/>
              <w:left w:val="nil"/>
              <w:bottom w:val="single" w:sz="6" w:space="0" w:color="000000"/>
              <w:right w:val="single" w:sz="6" w:space="0" w:color="999999"/>
            </w:tcBorders>
            <w:tcMar>
              <w:top w:w="0" w:type="dxa"/>
              <w:left w:w="100" w:type="dxa"/>
              <w:bottom w:w="0" w:type="dxa"/>
              <w:right w:w="100" w:type="dxa"/>
            </w:tcMar>
          </w:tcPr>
          <w:p w14:paraId="753913E2" w14:textId="77777777" w:rsidR="00315874" w:rsidRDefault="00315874">
            <w:pPr>
              <w:spacing w:line="240" w:lineRule="auto"/>
              <w:jc w:val="both"/>
              <w:rPr>
                <w:rFonts w:ascii="Times New Roman" w:eastAsia="Times New Roman" w:hAnsi="Times New Roman" w:cs="Times New Roman"/>
                <w:b/>
                <w:bCs/>
                <w:sz w:val="24"/>
                <w:szCs w:val="24"/>
                <w:highlight w:val="white"/>
              </w:rPr>
            </w:pPr>
          </w:p>
        </w:tc>
        <w:tc>
          <w:tcPr>
            <w:tcW w:w="6210" w:type="dxa"/>
            <w:vMerge/>
            <w:tcBorders>
              <w:top w:val="nil"/>
              <w:left w:val="nil"/>
              <w:bottom w:val="single" w:sz="6" w:space="0" w:color="000000"/>
              <w:right w:val="single" w:sz="6" w:space="0" w:color="999999"/>
            </w:tcBorders>
            <w:tcMar>
              <w:top w:w="0" w:type="dxa"/>
              <w:left w:w="100" w:type="dxa"/>
              <w:bottom w:w="0" w:type="dxa"/>
              <w:right w:w="100" w:type="dxa"/>
            </w:tcMar>
          </w:tcPr>
          <w:p w14:paraId="29BCC4DB" w14:textId="77777777" w:rsidR="00315874" w:rsidRDefault="00315874">
            <w:pPr>
              <w:shd w:val="clear" w:color="auto" w:fill="FFFFFF"/>
              <w:spacing w:line="240" w:lineRule="auto"/>
              <w:jc w:val="both"/>
              <w:rPr>
                <w:rFonts w:ascii="Times New Roman" w:eastAsia="Times New Roman" w:hAnsi="Times New Roman" w:cs="Times New Roman"/>
                <w:b/>
                <w:bCs/>
                <w:sz w:val="24"/>
                <w:szCs w:val="24"/>
                <w:highlight w:val="white"/>
              </w:rPr>
            </w:pPr>
          </w:p>
        </w:tc>
      </w:tr>
      <w:tr w:rsidR="00315874" w14:paraId="6BB9EBDA" w14:textId="77777777">
        <w:trPr>
          <w:trHeight w:val="870"/>
        </w:trPr>
        <w:tc>
          <w:tcPr>
            <w:tcW w:w="735" w:type="dxa"/>
            <w:vMerge w:val="restart"/>
            <w:tcBorders>
              <w:top w:val="single" w:sz="6" w:space="0" w:color="999999"/>
              <w:left w:val="single" w:sz="6" w:space="0" w:color="999999"/>
              <w:bottom w:val="single" w:sz="6" w:space="0" w:color="999999"/>
              <w:right w:val="single" w:sz="6" w:space="0" w:color="999999"/>
            </w:tcBorders>
            <w:tcMar>
              <w:top w:w="0" w:type="dxa"/>
              <w:bottom w:w="0" w:type="dxa"/>
            </w:tcMar>
          </w:tcPr>
          <w:p w14:paraId="1E4471A5" w14:textId="77777777" w:rsidR="00315874"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20.</w:t>
            </w:r>
          </w:p>
        </w:tc>
        <w:tc>
          <w:tcPr>
            <w:tcW w:w="2835" w:type="dxa"/>
            <w:vMerge w:val="restart"/>
            <w:tcBorders>
              <w:top w:val="single" w:sz="6" w:space="0" w:color="999999"/>
              <w:left w:val="single" w:sz="6" w:space="0" w:color="999999"/>
              <w:bottom w:val="single" w:sz="6" w:space="0" w:color="999999"/>
              <w:right w:val="single" w:sz="6" w:space="0" w:color="999999"/>
            </w:tcBorders>
            <w:tcMar>
              <w:top w:w="0" w:type="dxa"/>
              <w:bottom w:w="0" w:type="dxa"/>
            </w:tcMar>
          </w:tcPr>
          <w:p w14:paraId="42C88ECC" w14:textId="77777777" w:rsidR="00315874" w:rsidRDefault="00000000">
            <w:pPr>
              <w:ind w:left="14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Biroul Național de Statistică</w:t>
            </w:r>
          </w:p>
          <w:p w14:paraId="231B095E" w14:textId="77777777" w:rsidR="00315874" w:rsidRDefault="00000000">
            <w:pPr>
              <w:ind w:left="140"/>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Nr. 26-10/71 din 23.06.2026</w:t>
            </w: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5F432C25"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b/>
                <w:bCs/>
                <w:sz w:val="24"/>
                <w:szCs w:val="24"/>
                <w:highlight w:val="white"/>
              </w:rPr>
              <w:t>1) La Art. IX pct. 2</w:t>
            </w:r>
            <w:r>
              <w:rPr>
                <w:rFonts w:ascii="Times New Roman" w:eastAsia="Times New Roman" w:hAnsi="Times New Roman" w:cs="Times New Roman"/>
                <w:sz w:val="24"/>
                <w:szCs w:val="24"/>
                <w:highlight w:val="white"/>
              </w:rPr>
              <w:t xml:space="preserve"> se propune menținerea alin. (2) al art. 43 din Legea nr. 158/2008 cu privire la funcția publică și statutul funcționarului public.</w:t>
            </w:r>
          </w:p>
          <w:p w14:paraId="2F016ED8"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Considerăm că abrogarea garanției sociale privind acordarea zilelor suplimentare de concediu pentru vechimea în serviciul public afectează una dintre puținele garanții sociale rămase funcționarilor publici. Prevederea normativă prin care se acordau zile suplimentare de concediu în funcție de vechimea în serviciul public reprezintă o recunoaștere firească a loialității, experienței și contribuției funcționarilor publici pe termen lung.</w:t>
            </w:r>
          </w:p>
          <w:p w14:paraId="6506216B"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Eliminarea acestui beneficiu reduce atractivitatea carierei în serviciul public și diminuează motivația personalului cu vechime, care se confruntă adesea cu un volum mai mare de responsabilități și sarcini complexe. În plus, dreptul la concediu suplimentar constituie o garanție socială menită să protejeze sănătatea și echilibrul dintre viața profesională și cea personală.</w:t>
            </w:r>
          </w:p>
          <w:p w14:paraId="373CF49E"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Prin urmare, considerăm că menținerea alin. (2) este esențială pentru respectarea principiilor de echitate și </w:t>
            </w:r>
            <w:r>
              <w:rPr>
                <w:rFonts w:ascii="Times New Roman" w:eastAsia="Times New Roman" w:hAnsi="Times New Roman" w:cs="Times New Roman"/>
                <w:sz w:val="24"/>
                <w:szCs w:val="24"/>
                <w:highlight w:val="white"/>
              </w:rPr>
              <w:lastRenderedPageBreak/>
              <w:t>stabilitate, iar abrogarea acestuia ar reprezenta un regres în materia garanțiilor sociale ale funcționarilor publici.</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388116B5"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 xml:space="preserve">Nu se acceptă </w:t>
            </w:r>
          </w:p>
          <w:p w14:paraId="4B50F844" w14:textId="77777777" w:rsidR="00315874"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A se vedea argumentarea de la punctul 2 la avizul către Secretariatul Parlamentului Nr. SGA-02 nr. 281 din 01.07.2026.</w:t>
            </w:r>
          </w:p>
          <w:p w14:paraId="7C5132B9"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5213E43C"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6027A38B" w14:textId="77777777" w:rsidR="00315874" w:rsidRDefault="00315874">
            <w:pPr>
              <w:shd w:val="clear" w:color="auto" w:fill="FFFFFF"/>
              <w:jc w:val="both"/>
              <w:rPr>
                <w:rFonts w:ascii="Times New Roman" w:eastAsia="Times New Roman" w:hAnsi="Times New Roman" w:cs="Times New Roman"/>
                <w:b/>
                <w:bCs/>
                <w:sz w:val="24"/>
                <w:szCs w:val="24"/>
                <w:highlight w:val="white"/>
              </w:rPr>
            </w:pPr>
          </w:p>
        </w:tc>
      </w:tr>
      <w:tr w:rsidR="00315874" w14:paraId="5A0A42E7" w14:textId="77777777">
        <w:trPr>
          <w:trHeight w:val="870"/>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5699FAA9"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6C3217F5" w14:textId="77777777" w:rsidR="00315874" w:rsidRDefault="00315874">
            <w:pPr>
              <w:spacing w:line="240" w:lineRule="auto"/>
              <w:jc w:val="center"/>
              <w:rPr>
                <w:rFonts w:ascii="Times New Roman" w:eastAsia="Times New Roman" w:hAnsi="Times New Roman" w:cs="Times New Roman"/>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58CE07CA"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  2) La Art. XX, prevederile alin. (2)</w:t>
            </w:r>
            <w:r>
              <w:rPr>
                <w:rFonts w:ascii="Times New Roman" w:eastAsia="Times New Roman" w:hAnsi="Times New Roman" w:cs="Times New Roman"/>
                <w:sz w:val="24"/>
                <w:szCs w:val="24"/>
                <w:highlight w:val="white"/>
              </w:rPr>
              <w:t xml:space="preserve"> stabilesc că zilele de concediu de odihnă anual acumulate și nefolosite până la intrarea în vigoare a legii se acordă și se calculează în zile calendaristice, până la epuizarea soldului acestora.</w:t>
            </w:r>
          </w:p>
          <w:p w14:paraId="730DBEE6"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Totodată, norma nu reglementează expres situația soldurilor de concediu rămase neutilizate după data de 1 ianuarie 2027. În lipsa unei prevederi tranzitorii clare, textul poate genera interpretări diferite cu privire la modalitatea de calcul și de evidență a acestora după data menționată sau la eventuala transformare a zilelor de concediu din zile calendaristice în zile lucrătoare. Or, dreptul la concediul de odihnă anual reprezintă un drept garantat al salariatului, care nu poate fi restrâns sau stins prin efectul tăcerii legii. Din perspectiva principiului securității raporturilor juridice și al previzibilității normei, se impune reglementarea expresă a regimului juridic aplicabil soldurilor zilelor de concedii neepuizate după 1 ianuarie 2027.</w:t>
            </w:r>
          </w:p>
          <w:p w14:paraId="71617AAF"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În acest sens, se recomandă completarea normei cu o prevedere tranzitorie care să stabilească în mod expres dacă soldurile rămase continuă să fie acordate și calculate în zile calendaristice până la epuizarea integrală a acestora </w:t>
            </w:r>
            <w:r>
              <w:rPr>
                <w:rFonts w:ascii="Times New Roman" w:eastAsia="Times New Roman" w:hAnsi="Times New Roman" w:cs="Times New Roman"/>
                <w:sz w:val="24"/>
                <w:szCs w:val="24"/>
                <w:highlight w:val="white"/>
              </w:rPr>
              <w:lastRenderedPageBreak/>
              <w:t>sau dacă acestea se recalculează în zile lucrătoare, potrivit noilor reguli de acordare a concediului de odihnă anual.</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43AC729A" w14:textId="77777777" w:rsidR="00315874" w:rsidRDefault="00000000">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Se acceptă</w:t>
            </w:r>
          </w:p>
          <w:p w14:paraId="49B54E7E" w14:textId="77777777" w:rsidR="00315874"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Dispozițiile tranzitorii au fost modificate:</w:t>
            </w:r>
          </w:p>
          <w:p w14:paraId="4B911BBA"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”Zilele de concediu de odihnă anual acumulate și neutilizate  de către salariați până la intrarea în vigoare a prezentei legi se acordă și se calculează în zile calendaristice până la epuizarea integrală a soldului de concediu restant. </w:t>
            </w:r>
          </w:p>
          <w:p w14:paraId="18E19440"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Începând cu 1 ianuarie 2027, concediile de odihnă anuale și cele suplimentare plătite aferente anului 2027 și perioadelor următoare se acordă și se calculează în zile lucrătoare, cu respectarea art. 116 din prezentul cod.</w:t>
            </w:r>
          </w:p>
          <w:p w14:paraId="21012163"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Pentru anul 2026, concediile vor fi acordate și calculate în zile calendaristice proporțional cu perioada pentru care a fost dobândit dreptul la acest concediu până la data de 31 decembrie 2026.”</w:t>
            </w:r>
          </w:p>
          <w:p w14:paraId="436A870A"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68CB6DB0"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Suplimentar art. 113/1 va fi modificat:</w:t>
            </w:r>
          </w:p>
          <w:p w14:paraId="5F3BD7B8"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 Anul de muncă pentru care se acordă concediul de odihnă anual corespunde perioadei cuprinse între 1 ianuarie și 31 decembrie a anului calendaristic. În cazul în care salariatul nu a prestat activitate pe întreaga durată a anului de muncă, concediul de odihnă anual se acordă proporțional cu perioada efectiv lucrată, în condițiile prevăzute de legislația în vigoare.”</w:t>
            </w:r>
          </w:p>
          <w:p w14:paraId="15CFA56F" w14:textId="77777777" w:rsidR="00315874" w:rsidRDefault="00315874">
            <w:pPr>
              <w:jc w:val="both"/>
              <w:rPr>
                <w:rFonts w:ascii="Times New Roman" w:eastAsia="Times New Roman" w:hAnsi="Times New Roman" w:cs="Times New Roman"/>
                <w:sz w:val="24"/>
                <w:szCs w:val="24"/>
                <w:highlight w:val="yellow"/>
              </w:rPr>
            </w:pPr>
          </w:p>
        </w:tc>
      </w:tr>
      <w:tr w:rsidR="00315874" w14:paraId="5B7B5C66" w14:textId="77777777">
        <w:trPr>
          <w:trHeight w:val="990"/>
        </w:trPr>
        <w:tc>
          <w:tcPr>
            <w:tcW w:w="735" w:type="dxa"/>
            <w:vMerge w:val="restart"/>
            <w:tcBorders>
              <w:top w:val="single" w:sz="6" w:space="0" w:color="999999"/>
              <w:left w:val="single" w:sz="6" w:space="0" w:color="999999"/>
              <w:bottom w:val="single" w:sz="6" w:space="0" w:color="999999"/>
              <w:right w:val="single" w:sz="6" w:space="0" w:color="999999"/>
            </w:tcBorders>
            <w:tcMar>
              <w:top w:w="0" w:type="dxa"/>
              <w:bottom w:w="0" w:type="dxa"/>
            </w:tcMar>
          </w:tcPr>
          <w:p w14:paraId="56B57EDE" w14:textId="77777777" w:rsidR="00315874"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21.</w:t>
            </w:r>
          </w:p>
        </w:tc>
        <w:tc>
          <w:tcPr>
            <w:tcW w:w="2835" w:type="dxa"/>
            <w:vMerge w:val="restart"/>
            <w:tcBorders>
              <w:top w:val="single" w:sz="6" w:space="0" w:color="999999"/>
              <w:left w:val="single" w:sz="6" w:space="0" w:color="999999"/>
              <w:bottom w:val="single" w:sz="6" w:space="0" w:color="999999"/>
              <w:right w:val="single" w:sz="6" w:space="0" w:color="999999"/>
            </w:tcBorders>
            <w:tcMar>
              <w:top w:w="0" w:type="dxa"/>
              <w:bottom w:w="0" w:type="dxa"/>
            </w:tcMar>
          </w:tcPr>
          <w:p w14:paraId="0BD0FA85" w14:textId="77777777" w:rsidR="00315874" w:rsidRDefault="00000000">
            <w:pPr>
              <w:spacing w:line="240" w:lineRule="auto"/>
              <w:ind w:left="14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Oficiul Avocatului Poporului</w:t>
            </w:r>
          </w:p>
          <w:p w14:paraId="6B277B0F" w14:textId="77777777" w:rsidR="00315874" w:rsidRDefault="00000000">
            <w:pPr>
              <w:spacing w:line="240" w:lineRule="auto"/>
              <w:ind w:left="140"/>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Nr.04-3/45-1661 din 02.07.2026</w:t>
            </w: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64A8D7DF"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În partea ce ține de calculul concediilor de odihnă în </w:t>
            </w:r>
            <w:r>
              <w:rPr>
                <w:rFonts w:ascii="Times New Roman" w:eastAsia="Times New Roman" w:hAnsi="Times New Roman" w:cs="Times New Roman"/>
                <w:i/>
                <w:iCs/>
                <w:sz w:val="24"/>
                <w:szCs w:val="24"/>
                <w:highlight w:val="white"/>
              </w:rPr>
              <w:t>„zile lucrătoare”</w:t>
            </w:r>
            <w:r>
              <w:rPr>
                <w:rFonts w:ascii="Times New Roman" w:eastAsia="Times New Roman" w:hAnsi="Times New Roman" w:cs="Times New Roman"/>
                <w:sz w:val="24"/>
                <w:szCs w:val="24"/>
                <w:highlight w:val="white"/>
              </w:rPr>
              <w:t>, în special al angajaților din structurile de forță, Ombudsmanul atrage atenție asupra faptului că, zilele de odihnă care nu vor mai constitui zile de concediu, ar putea servi temei pentru angajatori de implicare a persoanelor (aflate în concediu) în activități ce necesită monitorizare (proteste pașnice, festivaluri și alte evenimente publice etc.), pentru care de obicei fie că nu se achită, fie că li se oferă zi liberă în schimb în cazurile de rechemare din concedii.</w:t>
            </w:r>
          </w:p>
          <w:p w14:paraId="3C6E75BB"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Pornind de la premisa că atât concediul de odihnă, cât și zilele de odihnă din perioada concediului de odihnă sunt planificate pentru odihnă (fie în țară, fie în afara țării), sau pentru alte necesități personale, implicarea angajaților din structurile de forță la muncă în zilele de odihnă din perioada concediului de odihnă ar putea crea ingerințe în dreptul persoanelor la recreere, recuperare, la viața privată etc., ceea ce ar putea duce la dezechilibre personale, inclusiv la ardere profesională, ceea ce în ultimă instanță nu ar fi în favoarea angajatorului deoarece va fi afectat randamentul acestor angajați la locul de muncă, și având în vedere specificul activităților desfășurate, apar </w:t>
            </w:r>
            <w:r>
              <w:rPr>
                <w:rFonts w:ascii="Times New Roman" w:eastAsia="Times New Roman" w:hAnsi="Times New Roman" w:cs="Times New Roman"/>
                <w:sz w:val="24"/>
                <w:szCs w:val="24"/>
                <w:highlight w:val="white"/>
              </w:rPr>
              <w:lastRenderedPageBreak/>
              <w:t>îngrijorări privind respectarea drepturilor omului atât față de angajați, cât și de către aceste categorii de angajați.</w:t>
            </w:r>
          </w:p>
          <w:p w14:paraId="74A75A1A"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Ombudsmanul înțelege că în caz de forță majoră, dreptul la odihnă poate fi îngrădit, totuși pentru a nu lăsa loc de interpretări sau ingerințe nejustificate, care ar putea fi apreciate ca abuzuri sau hărțuire la locul de muncă, aceste riscuri trebuie prevenite, sau, după caz, diminuate.</w:t>
            </w:r>
          </w:p>
          <w:p w14:paraId="5338891C"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i/>
                <w:iCs/>
                <w:sz w:val="24"/>
                <w:szCs w:val="24"/>
                <w:highlight w:val="white"/>
              </w:rPr>
              <w:t xml:space="preserve">  Recomandare:</w:t>
            </w:r>
            <w:r>
              <w:rPr>
                <w:rFonts w:ascii="Times New Roman" w:eastAsia="Times New Roman" w:hAnsi="Times New Roman" w:cs="Times New Roman"/>
                <w:sz w:val="24"/>
                <w:szCs w:val="24"/>
                <w:highlight w:val="white"/>
              </w:rPr>
              <w:t xml:space="preserve"> Identificarea soluțiilor care se impun, astfel încât legislația să prevadă garanții că angajații aflați în concediile de odihnă planificate, să nu fie implicate în activitățile specifice muncii inclusiv în zilele de odihnă din perioada concediului de odihnă.</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3AF0E624"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Se acceptă, parțial.</w:t>
            </w:r>
          </w:p>
          <w:p w14:paraId="46B9CD4B"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Preocuparea este întemeiată. Se va clarifica, prin normele metodologice de aplicare și prin instrucțiunile adresate autorităților cu personal din structurile de forță, că zilele de repaus săptămânal cuprinse în perioada concediului de odihnă rămân zile de odihnă efectivă și nu pot fi utilizate de angajator pentru antrenarea salariatului aflat în concediu în activități de serviciu, în afara cazurilor de rechemare din concediu expres reglementate de statutele speciale, care presupun fie reprogramarea zilelor respective, fie compensarea corespunzătoare.</w:t>
            </w:r>
          </w:p>
          <w:p w14:paraId="61058465"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2BB501D7"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5A146534" w14:textId="42D09D8F" w:rsidR="0021239A" w:rsidRDefault="0021239A">
            <w:pPr>
              <w:shd w:val="clear" w:color="auto" w:fill="FFFFFF"/>
              <w:jc w:val="both"/>
              <w:rPr>
                <w:rFonts w:ascii="Times New Roman" w:eastAsia="Times New Roman" w:hAnsi="Times New Roman" w:cs="Times New Roman"/>
                <w:sz w:val="24"/>
                <w:szCs w:val="24"/>
                <w:highlight w:val="white"/>
              </w:rPr>
            </w:pPr>
          </w:p>
        </w:tc>
      </w:tr>
      <w:tr w:rsidR="00315874" w14:paraId="36398FD4" w14:textId="77777777">
        <w:trPr>
          <w:trHeight w:val="990"/>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26948D19"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2BF5BBF8" w14:textId="77777777" w:rsidR="00315874" w:rsidRDefault="00315874">
            <w:pPr>
              <w:spacing w:line="240" w:lineRule="auto"/>
              <w:jc w:val="center"/>
              <w:rPr>
                <w:rFonts w:ascii="Times New Roman" w:eastAsia="Times New Roman" w:hAnsi="Times New Roman" w:cs="Times New Roman"/>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0D38E24D"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  Cu referire la excluderea concediilor suplimentare pentru vechime în muncă</w:t>
            </w:r>
            <w:r>
              <w:rPr>
                <w:rFonts w:ascii="Times New Roman" w:eastAsia="Times New Roman" w:hAnsi="Times New Roman" w:cs="Times New Roman"/>
                <w:sz w:val="24"/>
                <w:szCs w:val="24"/>
                <w:highlight w:val="white"/>
              </w:rPr>
              <w:t xml:space="preserve">, Avocatul Poporului înțelege necesitatea uniformizării practicilor instituționale și a conformării cu standardele europene în materia dreptului muncii. </w:t>
            </w:r>
            <w:r>
              <w:rPr>
                <w:rFonts w:ascii="Times New Roman" w:eastAsia="Times New Roman" w:hAnsi="Times New Roman" w:cs="Times New Roman"/>
                <w:sz w:val="24"/>
                <w:szCs w:val="24"/>
                <w:highlight w:val="white"/>
                <w:u w:val="single"/>
              </w:rPr>
              <w:t>Cu toate acestea, eliminarea concediilor suplimentare acordate în funcție de vechimea în serviciu – aplicabilă, prin modificările propuse, funcționarilor publici, judecătorilor, procurorilor, etc. – ar putea genera un impact negativ cu caracter multiplu, care nu poate fi ignorat în analiza de conformitate cu drepturile omului</w:t>
            </w:r>
            <w:r>
              <w:rPr>
                <w:rFonts w:ascii="Times New Roman" w:eastAsia="Times New Roman" w:hAnsi="Times New Roman" w:cs="Times New Roman"/>
                <w:sz w:val="24"/>
                <w:szCs w:val="24"/>
                <w:highlight w:val="white"/>
              </w:rPr>
              <w:t>.</w:t>
            </w:r>
          </w:p>
          <w:p w14:paraId="5A4E6935"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Pe plan profesional, vechimea în serviciu nu reprezintă exclusiv un indiciu al experienței acumulate, ci și un factor de expunere prelungită la presiunea funcției și </w:t>
            </w:r>
            <w:r>
              <w:rPr>
                <w:rFonts w:ascii="Times New Roman" w:eastAsia="Times New Roman" w:hAnsi="Times New Roman" w:cs="Times New Roman"/>
                <w:sz w:val="24"/>
                <w:szCs w:val="24"/>
                <w:highlight w:val="white"/>
              </w:rPr>
              <w:lastRenderedPageBreak/>
              <w:t>condițiilor materiale/psihologice/emoționale în cadrul exercitării serviciului. Personalul cu vechime ridicată exercită atribuții cu un grad sporit de complexitate, răspundere și risc, ceea ce implică o solicitare sistematică și continuă a capacităților cognitive, emoționale și decizionale. În absența unui mecanism compensatoriu progresiv - precum creșterea graduală a duratei concediului de odihnă, această solicitare se acumulează și favorizează apariția epuizării profesionale (</w:t>
            </w:r>
            <w:r>
              <w:rPr>
                <w:rFonts w:ascii="Times New Roman" w:eastAsia="Times New Roman" w:hAnsi="Times New Roman" w:cs="Times New Roman"/>
                <w:i/>
                <w:iCs/>
                <w:sz w:val="24"/>
                <w:szCs w:val="24"/>
                <w:highlight w:val="white"/>
              </w:rPr>
              <w:t>burnout)</w:t>
            </w:r>
            <w:r>
              <w:rPr>
                <w:rFonts w:ascii="Times New Roman" w:eastAsia="Times New Roman" w:hAnsi="Times New Roman" w:cs="Times New Roman"/>
                <w:sz w:val="24"/>
                <w:szCs w:val="24"/>
                <w:highlight w:val="white"/>
              </w:rPr>
              <w:t>, fenomen documentat clinic și recunoscut de Organizația Mondiala a Sănătății ca risc ocupațional. Epuizarea profesională nu afectează exclusiv starea de sănătate a angajatului ci se transpune direct în scăderea randamentului, erodarea motivației și în final în regres instituțional. Acest aspect poate fi extins și asupra familiei și stării emoționale/sănătății mintale a tuturor membrilor familiei.</w:t>
            </w:r>
          </w:p>
          <w:p w14:paraId="0D26E9CD"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Pe plan social, suprimarea creșterii graduale a duratei concediului constituie, în sine, o diminuare a unui drept social dobândit în timp prin exercitarea continuă a serviciului. Deși modernizarea sistemelor informatice a fluidizat unele componente ale activității profesionale, aceasta a sporit concomitent dinamica și densitatea exercitării funcției, intensificând fluxul de sarcini și reducând intervalele de recuperare efectivă. Diminuarea </w:t>
            </w:r>
            <w:r>
              <w:rPr>
                <w:rFonts w:ascii="Times New Roman" w:eastAsia="Times New Roman" w:hAnsi="Times New Roman" w:cs="Times New Roman"/>
                <w:sz w:val="24"/>
                <w:szCs w:val="24"/>
                <w:highlight w:val="white"/>
              </w:rPr>
              <w:lastRenderedPageBreak/>
              <w:t>intervalelor de recuperare în mod direct poate duce la afectarea în mod semnificativ a sănătății fizice și mintale a angajaților, printr-o continuă accentuare a stresului ocupațional, a anxietății și a tulburărilor de somn. De asemenea, prin amplificarea unor asemenea circumstanțe pot avea consecințe nefaste asupra exercitării efective a dreptului la viața privată și de familie, prin reducerea timpului destinat familiei și creșterii copiilor. Mai mult ca atât, poate pune în pericol posibilitatea menținerii unui echilibru adecvat între viața profesională și cea personală. Astfel, Avocatul Poporului accentuează asupra faptului că orice măsură care limitează persoanele de un repaos/concediu trebuie analizate prin prisma obligației statului de a asigura condiții de muncă corespunzătoare, inclusiv cu garantarea unui nivel corespunzător de protecție a sănătății lucrătorilor.</w:t>
            </w:r>
          </w:p>
          <w:p w14:paraId="28E42541"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Prin urmare, argumentul digitalizării nu poate substitui, fără o analiză empirică prealabilă, rațiunea care a stat la baza concediilor suplimentare.</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537608E7"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Nu se acceptă.</w:t>
            </w:r>
          </w:p>
          <w:p w14:paraId="72405B09"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29F14F4C"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Poziția Ministerului este cea expusă la pct. 8 (Ministerul Justiției) și pct. 13 (Ministerul Afacerilor Interne): concediul suplimentar pentru vechime nu constituie o garanție indispensabilă a drepturilor fundamentale, ci o măsură de politică socială, reevaluabilă de legiuitor.</w:t>
            </w:r>
          </w:p>
          <w:p w14:paraId="297BE729" w14:textId="1E2AA5FA"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Riscul de epuizare profesională (burnout), semnalat de Avocatul Poporului, este real și trebuie prevenit, însă instrumentul adecvat este respectarea strictă a normelor privind timpul de muncă, munca suplimentară, gărzile și repausul săptămânal/zilnic, precum și accesul efectiv la concediul de odihnă anual de bază menținut, pentru toate categoriile vizate, </w:t>
            </w:r>
            <w:r>
              <w:rPr>
                <w:rFonts w:ascii="Times New Roman" w:eastAsia="Times New Roman" w:hAnsi="Times New Roman" w:cs="Times New Roman"/>
                <w:sz w:val="24"/>
                <w:szCs w:val="24"/>
                <w:highlight w:val="white"/>
              </w:rPr>
              <w:t xml:space="preserve">la un nivel egal sau superior </w:t>
            </w:r>
            <w:r w:rsidRPr="00607B56">
              <w:rPr>
                <w:rFonts w:ascii="Times New Roman" w:eastAsia="Times New Roman" w:hAnsi="Times New Roman" w:cs="Times New Roman"/>
                <w:sz w:val="24"/>
                <w:szCs w:val="24"/>
              </w:rPr>
              <w:t>standardului minim de 24 de zile lucrătoare</w:t>
            </w:r>
            <w:r w:rsidR="00607B5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(Convenția OIM nr. 132/1970, Directiva 2003/88/CE) și nu un mecanism suplimentar care, în practică, s-a transformat într-o formă de compensare financiară indirectă, contrară chiar funcției de odihnă efectivă invocate de Avocatul Poporului.</w:t>
            </w:r>
          </w:p>
          <w:p w14:paraId="115FCD7D"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Faptul că reglementarea actuală nu a fost contestată la nivel internațional nu echivalează cu o obligație de a o menține neschimbată: statul dispune de o marjă de apreciere în reconfigurarea politicilor sociale, cu condiția respectării standardului minim, respectată în proiect.</w:t>
            </w:r>
          </w:p>
          <w:p w14:paraId="235AF3BA"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7344ECB3" w14:textId="77777777" w:rsidR="00315874" w:rsidRDefault="00315874">
            <w:pPr>
              <w:shd w:val="clear" w:color="auto" w:fill="FFFFFF"/>
              <w:jc w:val="both"/>
              <w:rPr>
                <w:rFonts w:ascii="Times New Roman" w:eastAsia="Times New Roman" w:hAnsi="Times New Roman" w:cs="Times New Roman"/>
                <w:sz w:val="24"/>
                <w:szCs w:val="24"/>
                <w:highlight w:val="white"/>
              </w:rPr>
            </w:pPr>
          </w:p>
        </w:tc>
      </w:tr>
      <w:tr w:rsidR="00315874" w14:paraId="17973B94" w14:textId="77777777">
        <w:trPr>
          <w:trHeight w:val="990"/>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594F9B25"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5DFFC031" w14:textId="77777777" w:rsidR="00315874" w:rsidRDefault="00315874">
            <w:pPr>
              <w:spacing w:line="240" w:lineRule="auto"/>
              <w:jc w:val="center"/>
              <w:rPr>
                <w:rFonts w:ascii="Times New Roman" w:eastAsia="Times New Roman" w:hAnsi="Times New Roman" w:cs="Times New Roman"/>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377D0B44"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Deoarece în Nota de fundamentare nu au fost identificate date cu privire la un studiu de impact privind sănătatea ocupațională a categoriilor vizate, care să propună și măsuri compensatorii alternative, astfel încât uniformizarea să nu fie formală și să nu diminueze din realizarea scopului propus prin proiect, fapt ce ar putea fi </w:t>
            </w:r>
            <w:r>
              <w:rPr>
                <w:rFonts w:ascii="Times New Roman" w:eastAsia="Times New Roman" w:hAnsi="Times New Roman" w:cs="Times New Roman"/>
                <w:sz w:val="24"/>
                <w:szCs w:val="24"/>
                <w:highlight w:val="white"/>
              </w:rPr>
              <w:lastRenderedPageBreak/>
              <w:t>perceput ca diminuare substanțială a timpului de odihnă și a protecției sănătății la locul de muncă, garantate de Constituție. De asemenea din aspect contextual, faptul că Republica Moldova trece prin procesul alinierii cu legislația Uniunii Europene și sunt întreprinse toate acțiunile pentru eventuala aderare este necesară inclusiv concordanța cu Carta UE.</w:t>
            </w:r>
          </w:p>
          <w:p w14:paraId="53260605"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i/>
                <w:iCs/>
                <w:sz w:val="24"/>
                <w:szCs w:val="24"/>
                <w:highlight w:val="white"/>
              </w:rPr>
              <w:t xml:space="preserve">  Recomandare:</w:t>
            </w:r>
            <w:r>
              <w:rPr>
                <w:rFonts w:ascii="Times New Roman" w:eastAsia="Times New Roman" w:hAnsi="Times New Roman" w:cs="Times New Roman"/>
                <w:sz w:val="24"/>
                <w:szCs w:val="24"/>
                <w:highlight w:val="white"/>
              </w:rPr>
              <w:t xml:space="preserve"> Reexaminarea dispozițiilor care elimină concediile suplimentare pentru vechime în muncă, prin prisma identificării soluțiilor alternative la drepturile ce urmează a fi restrânse, astfel încât să fie diminuate eventualele riscuri față de beneficiarii serviciilor prestate de către subiecții legii.</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74C1D13E"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 xml:space="preserve">Nu se acceptă. </w:t>
            </w:r>
          </w:p>
          <w:p w14:paraId="4A853926"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73EE49EF"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 se vedea răspunsul consolidat de la pct. 21 (paragraful anterior din avizul Avocatului Poporului).</w:t>
            </w:r>
          </w:p>
        </w:tc>
      </w:tr>
      <w:tr w:rsidR="00315874" w14:paraId="01D7DEED" w14:textId="77777777">
        <w:trPr>
          <w:trHeight w:val="990"/>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1FD56A05"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5950FFB5" w14:textId="77777777" w:rsidR="00315874" w:rsidRDefault="00315874">
            <w:pPr>
              <w:spacing w:line="240" w:lineRule="auto"/>
              <w:jc w:val="center"/>
              <w:rPr>
                <w:rFonts w:ascii="Times New Roman" w:eastAsia="Times New Roman" w:hAnsi="Times New Roman" w:cs="Times New Roman"/>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136E9DF2"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  Privind condiționarea concediilor suplimentare de utilizarea prealabilă a concediului de bază, </w:t>
            </w:r>
            <w:r>
              <w:rPr>
                <w:rFonts w:ascii="Times New Roman" w:eastAsia="Times New Roman" w:hAnsi="Times New Roman" w:cs="Times New Roman"/>
                <w:sz w:val="24"/>
                <w:szCs w:val="24"/>
                <w:highlight w:val="white"/>
              </w:rPr>
              <w:t>Avocatul Poporului înțelege necesitatea unificării practicilor privind utilizarea concediului de odihnă fie integral, fie în fracțiuni, dintre care una nu poate fi mai mică decât două săptămâni lucrătoare de concediu neîntrerupt, care pe de o parte ar asigura previzibilitate pentru angajator, iar pe de altă parte ar asigura o evidență a zilelor de concediu, și remunerare palpabilă pentru angajat.</w:t>
            </w:r>
          </w:p>
          <w:p w14:paraId="15AE0291"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Cu toate acestea, Ombudsmanul nu poate susține condiționarea acordării concediilor suplimentare de utilizarea prealabilă a cel puțin două săptămâni lucrătoare </w:t>
            </w:r>
            <w:r>
              <w:rPr>
                <w:rFonts w:ascii="Times New Roman" w:eastAsia="Times New Roman" w:hAnsi="Times New Roman" w:cs="Times New Roman"/>
                <w:sz w:val="24"/>
                <w:szCs w:val="24"/>
                <w:highlight w:val="white"/>
              </w:rPr>
              <w:lastRenderedPageBreak/>
              <w:t>de concediu neîntrerupt în anul de referință, fără a se oferi alternative.</w:t>
            </w:r>
          </w:p>
          <w:p w14:paraId="4FA52A40"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Întâi de toate, se menționează că în acest sens nu a fost identificat corespondent în standardele internaționale aplicabile, fapt ce ar putea genera efecte discriminatorii față de categoriile de salariați care s-ar afla în momente de vulnerabile, în special cei cu afecțiuni cronice, părinți cu copii mici sau salariați rechemați din concediu din motive de serviciu etc. care, independent de voința lor, nu pot îndeplini condiția de continuitate.</w:t>
            </w:r>
          </w:p>
          <w:p w14:paraId="0E52AE39"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Prin urmare, Avocatul Poporului consideră că diminuarea drepturilor dobândite pentru salariați intră în coliziune cu respectarea standardelor internaționale care reglementează principiul non-regresului în materia drepturilor sociale (</w:t>
            </w:r>
            <w:r>
              <w:rPr>
                <w:rFonts w:ascii="Times New Roman" w:eastAsia="Times New Roman" w:hAnsi="Times New Roman" w:cs="Times New Roman"/>
                <w:sz w:val="18"/>
                <w:szCs w:val="18"/>
                <w:highlight w:val="white"/>
              </w:rPr>
              <w:t>Art. 2 alin. (1) din Pactul Internațional cu privire la Drepturile Economice, Sociale și Culturale</w:t>
            </w:r>
            <w:r>
              <w:rPr>
                <w:rFonts w:ascii="Times New Roman" w:eastAsia="Times New Roman" w:hAnsi="Times New Roman" w:cs="Times New Roman"/>
                <w:sz w:val="24"/>
                <w:szCs w:val="24"/>
                <w:highlight w:val="white"/>
              </w:rPr>
              <w:t>)</w:t>
            </w:r>
          </w:p>
          <w:p w14:paraId="14F27370"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În aceeași ordine de idei, Comitetul ONU pentru Drepturi Economice, Sociale și Culturale a statuat explicit că, orice măsuri deliberat regresive [...] necesită cea mai atentă examinare și trebuie să fie pe deplin justificate prin referire la totalitatea drepturilor prevăzute în Pact și în contextul utilizării depline a resurselor maxime disponibile.</w:t>
            </w:r>
          </w:p>
          <w:p w14:paraId="3443420A"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Curtea Constituțională a menționat că Republica Moldova s-a angajat să acţioneze atât prin propriul său </w:t>
            </w:r>
            <w:r>
              <w:rPr>
                <w:rFonts w:ascii="Times New Roman" w:eastAsia="Times New Roman" w:hAnsi="Times New Roman" w:cs="Times New Roman"/>
                <w:sz w:val="24"/>
                <w:szCs w:val="24"/>
                <w:highlight w:val="white"/>
              </w:rPr>
              <w:lastRenderedPageBreak/>
              <w:t>efort, cât şi prin asistenţă şi cooperare internaţională, folosind la maximum resursele sale disponibile pentru ca exercitarea deplină a drepturilor recunoscute de Pact să fie asigurată progresiv prin toate mijloacele adecvate, inclusiv prin adoptarea de măsuri legislative. Protejarea drepturilor, libertăților, intereselor legitime ale cetățenilor, respectarea principiilor egalității și echității sociale constituie componente obligatorii ale oricărui act legislativ.</w:t>
            </w:r>
          </w:p>
          <w:p w14:paraId="134955DF"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Nu mai puțin important, art. 54 din Constituția Republicii Moldova garantează că, în Republica Moldova nu pot fi adoptate legi care ar suprima sau ar diminua drepturile și libertățile fundamentale ale omului și cetățeanului. Orice restrângere a exercițiului unor drepturi trebuie să treacă testul proporționalității.</w:t>
            </w:r>
          </w:p>
          <w:p w14:paraId="7F70167D"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În lumina celor menționate </w:t>
            </w:r>
            <w:r>
              <w:rPr>
                <w:rFonts w:ascii="Times New Roman" w:eastAsia="Times New Roman" w:hAnsi="Times New Roman" w:cs="Times New Roman"/>
                <w:i/>
                <w:iCs/>
                <w:sz w:val="24"/>
                <w:szCs w:val="24"/>
                <w:highlight w:val="white"/>
              </w:rPr>
              <w:t>supra,</w:t>
            </w:r>
            <w:r>
              <w:rPr>
                <w:rFonts w:ascii="Times New Roman" w:eastAsia="Times New Roman" w:hAnsi="Times New Roman" w:cs="Times New Roman"/>
                <w:sz w:val="24"/>
                <w:szCs w:val="24"/>
                <w:highlight w:val="white"/>
              </w:rPr>
              <w:t xml:space="preserve"> Avocatul Poporului consideră că propunerea din proiectul de lege privind condiționarea acordării concediilor suplimentare de utilizarea prealabilă a cel puțin două săptămâni lucrătoare de concediu neîntrerupt în anul de referință, ar putea fi acceptabilă ca regulă generală. Totuși, legea trebuie să ofere și garanții alternative, ca excepții de la regula generală ce ar oferi posibilitatea utilizării unei părți mai mici din concediu, cu acordul angajatorului pentru </w:t>
            </w:r>
            <w:r>
              <w:rPr>
                <w:rFonts w:ascii="Times New Roman" w:eastAsia="Times New Roman" w:hAnsi="Times New Roman" w:cs="Times New Roman"/>
                <w:sz w:val="24"/>
                <w:szCs w:val="24"/>
                <w:highlight w:val="white"/>
              </w:rPr>
              <w:lastRenderedPageBreak/>
              <w:t>situațiile ce impun, fără aplicarea regulii celor două săptămâni.</w:t>
            </w:r>
          </w:p>
          <w:p w14:paraId="0A1BA862"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Această excepție, pe de o parte va oferi posibilitatea legală de realizare a altor drepturi ale angajaților, concomitent sporind încrederea în angajator, cu asigurarea instrumentelor efective de negociere între angajat-angajator.</w:t>
            </w:r>
          </w:p>
          <w:p w14:paraId="62176B86"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i/>
                <w:iCs/>
                <w:sz w:val="24"/>
                <w:szCs w:val="24"/>
                <w:highlight w:val="white"/>
              </w:rPr>
              <w:t xml:space="preserve">  Recomandare:</w:t>
            </w:r>
            <w:r>
              <w:rPr>
                <w:rFonts w:ascii="Times New Roman" w:eastAsia="Times New Roman" w:hAnsi="Times New Roman" w:cs="Times New Roman"/>
                <w:sz w:val="24"/>
                <w:szCs w:val="24"/>
                <w:highlight w:val="white"/>
              </w:rPr>
              <w:t xml:space="preserve"> identificarea soluțiilor alternative pentru asigurarea posibilității valorificării de către angajat, cu acordul angajatorului, a unei părți mai mici din concediu, ca excepție la regula celor două săptămâni.</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3784EF2A"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lastRenderedPageBreak/>
              <w:t>Se acceptă</w:t>
            </w:r>
          </w:p>
        </w:tc>
      </w:tr>
      <w:tr w:rsidR="00315874" w14:paraId="7E93625A" w14:textId="77777777">
        <w:trPr>
          <w:trHeight w:val="990"/>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518FD435"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15CCD23F" w14:textId="77777777" w:rsidR="00315874" w:rsidRDefault="00315874">
            <w:pPr>
              <w:spacing w:line="240" w:lineRule="auto"/>
              <w:jc w:val="center"/>
              <w:rPr>
                <w:rFonts w:ascii="Times New Roman" w:eastAsia="Times New Roman" w:hAnsi="Times New Roman" w:cs="Times New Roman"/>
                <w:sz w:val="24"/>
                <w:szCs w:val="24"/>
              </w:rPr>
            </w:pPr>
          </w:p>
        </w:tc>
        <w:tc>
          <w:tcPr>
            <w:tcW w:w="5700" w:type="dxa"/>
            <w:vMerge w:val="restart"/>
            <w:tcBorders>
              <w:top w:val="nil"/>
              <w:left w:val="nil"/>
              <w:bottom w:val="single" w:sz="6" w:space="0" w:color="000000"/>
              <w:right w:val="single" w:sz="6" w:space="0" w:color="999999"/>
            </w:tcBorders>
            <w:tcMar>
              <w:top w:w="0" w:type="dxa"/>
              <w:left w:w="100" w:type="dxa"/>
              <w:bottom w:w="0" w:type="dxa"/>
              <w:right w:w="100" w:type="dxa"/>
            </w:tcMar>
          </w:tcPr>
          <w:p w14:paraId="6DAA6EF6" w14:textId="77777777" w:rsidR="00315874" w:rsidRDefault="00000000">
            <w:pPr>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4"/>
                <w:szCs w:val="24"/>
                <w:highlight w:val="white"/>
              </w:rPr>
              <w:t xml:space="preserve"> Suplimentar, Avocatul Poporului atrage atenție că potrivit Confederației Naționale a Sindicatelor din Moldova, de la adoptarea Codului Muncii în anul 2003 și până în prezent, Republica Moldova nu a primit nicio observație din partea organismelor internaționale cu privire la actuala reglementare referitoare la concediul de odihnă anual. Cu alte cuvinte, actuala reglementare nu a fost contestată la nivel internațional (</w:t>
            </w:r>
            <w:hyperlink r:id="rId10">
              <w:r w:rsidR="00315874">
                <w:rPr>
                  <w:rFonts w:ascii="Times New Roman" w:eastAsia="Times New Roman" w:hAnsi="Times New Roman" w:cs="Times New Roman"/>
                  <w:color w:val="1155CC"/>
                  <w:sz w:val="20"/>
                  <w:szCs w:val="20"/>
                  <w:highlight w:val="white"/>
                  <w:u w:val="single"/>
                </w:rPr>
                <w:t>https://sindicate.md/2026/06/29/reducerea-duratei-concediului-de-odihna-anual-nu-este-o-solutie-pozitia-sindicatelor-privind-propunerea-de-modificare-a-codului-muncii/</w:t>
              </w:r>
            </w:hyperlink>
            <w:r>
              <w:rPr>
                <w:rFonts w:ascii="Times New Roman" w:eastAsia="Times New Roman" w:hAnsi="Times New Roman" w:cs="Times New Roman"/>
                <w:sz w:val="20"/>
                <w:szCs w:val="20"/>
                <w:highlight w:val="white"/>
              </w:rPr>
              <w:t xml:space="preserve"> )</w:t>
            </w:r>
          </w:p>
        </w:tc>
        <w:tc>
          <w:tcPr>
            <w:tcW w:w="6210" w:type="dxa"/>
            <w:vMerge w:val="restart"/>
            <w:tcBorders>
              <w:top w:val="nil"/>
              <w:left w:val="nil"/>
              <w:bottom w:val="single" w:sz="6" w:space="0" w:color="000000"/>
              <w:right w:val="single" w:sz="6" w:space="0" w:color="999999"/>
            </w:tcBorders>
            <w:tcMar>
              <w:top w:w="0" w:type="dxa"/>
              <w:left w:w="100" w:type="dxa"/>
              <w:bottom w:w="0" w:type="dxa"/>
              <w:right w:w="100" w:type="dxa"/>
            </w:tcMar>
          </w:tcPr>
          <w:p w14:paraId="3E6FB66C"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 xml:space="preserve">Nu se acceptă. </w:t>
            </w:r>
          </w:p>
          <w:p w14:paraId="5EB62C2B"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0DC94CC9"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 se vedea răspunsul consolidat de la pct. 21 (paragraful anterior din avizul Avocatului Poporului).</w:t>
            </w:r>
          </w:p>
        </w:tc>
      </w:tr>
      <w:tr w:rsidR="00315874" w14:paraId="47E097C7" w14:textId="77777777">
        <w:trPr>
          <w:trHeight w:val="990"/>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773124C2"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335C0F4D" w14:textId="77777777" w:rsidR="00315874" w:rsidRDefault="00315874">
            <w:pPr>
              <w:spacing w:line="240" w:lineRule="auto"/>
              <w:jc w:val="center"/>
              <w:rPr>
                <w:rFonts w:ascii="Times New Roman" w:eastAsia="Times New Roman" w:hAnsi="Times New Roman" w:cs="Times New Roman"/>
                <w:sz w:val="24"/>
                <w:szCs w:val="24"/>
              </w:rPr>
            </w:pPr>
          </w:p>
        </w:tc>
        <w:tc>
          <w:tcPr>
            <w:tcW w:w="5700" w:type="dxa"/>
            <w:vMerge/>
            <w:tcBorders>
              <w:top w:val="nil"/>
              <w:left w:val="nil"/>
              <w:bottom w:val="single" w:sz="6" w:space="0" w:color="000000"/>
              <w:right w:val="single" w:sz="6" w:space="0" w:color="999999"/>
            </w:tcBorders>
            <w:tcMar>
              <w:top w:w="0" w:type="dxa"/>
              <w:left w:w="100" w:type="dxa"/>
              <w:bottom w:w="0" w:type="dxa"/>
              <w:right w:w="100" w:type="dxa"/>
            </w:tcMar>
          </w:tcPr>
          <w:p w14:paraId="6DC3DB4E" w14:textId="77777777" w:rsidR="00315874" w:rsidRDefault="00315874">
            <w:pPr>
              <w:spacing w:line="240" w:lineRule="auto"/>
              <w:jc w:val="both"/>
              <w:rPr>
                <w:rFonts w:ascii="Times New Roman" w:eastAsia="Times New Roman" w:hAnsi="Times New Roman" w:cs="Times New Roman"/>
                <w:sz w:val="24"/>
                <w:szCs w:val="24"/>
                <w:highlight w:val="white"/>
              </w:rPr>
            </w:pPr>
          </w:p>
        </w:tc>
        <w:tc>
          <w:tcPr>
            <w:tcW w:w="6210" w:type="dxa"/>
            <w:vMerge/>
            <w:tcBorders>
              <w:top w:val="nil"/>
              <w:left w:val="nil"/>
              <w:bottom w:val="single" w:sz="6" w:space="0" w:color="000000"/>
              <w:right w:val="single" w:sz="6" w:space="0" w:color="999999"/>
            </w:tcBorders>
            <w:tcMar>
              <w:top w:w="0" w:type="dxa"/>
              <w:left w:w="100" w:type="dxa"/>
              <w:bottom w:w="0" w:type="dxa"/>
              <w:right w:w="100" w:type="dxa"/>
            </w:tcMar>
          </w:tcPr>
          <w:p w14:paraId="0DC1337A" w14:textId="77777777" w:rsidR="00315874" w:rsidRDefault="00315874">
            <w:pPr>
              <w:shd w:val="clear" w:color="auto" w:fill="FFFFFF"/>
              <w:spacing w:line="240" w:lineRule="auto"/>
              <w:jc w:val="both"/>
              <w:rPr>
                <w:rFonts w:ascii="Times New Roman" w:eastAsia="Times New Roman" w:hAnsi="Times New Roman" w:cs="Times New Roman"/>
                <w:b/>
                <w:bCs/>
                <w:sz w:val="24"/>
                <w:szCs w:val="24"/>
                <w:highlight w:val="white"/>
              </w:rPr>
            </w:pPr>
          </w:p>
        </w:tc>
      </w:tr>
      <w:tr w:rsidR="00315874" w14:paraId="2AC409AB" w14:textId="77777777">
        <w:trPr>
          <w:trHeight w:val="990"/>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0E2B7993"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34E3AC6F" w14:textId="77777777" w:rsidR="00315874" w:rsidRDefault="00315874">
            <w:pPr>
              <w:spacing w:line="240" w:lineRule="auto"/>
              <w:jc w:val="center"/>
              <w:rPr>
                <w:rFonts w:ascii="Times New Roman" w:eastAsia="Times New Roman" w:hAnsi="Times New Roman" w:cs="Times New Roman"/>
                <w:sz w:val="24"/>
                <w:szCs w:val="24"/>
              </w:rPr>
            </w:pPr>
          </w:p>
        </w:tc>
        <w:tc>
          <w:tcPr>
            <w:tcW w:w="5700" w:type="dxa"/>
            <w:vMerge/>
            <w:tcBorders>
              <w:top w:val="nil"/>
              <w:left w:val="nil"/>
              <w:bottom w:val="single" w:sz="6" w:space="0" w:color="000000"/>
              <w:right w:val="single" w:sz="6" w:space="0" w:color="999999"/>
            </w:tcBorders>
            <w:tcMar>
              <w:top w:w="0" w:type="dxa"/>
              <w:left w:w="100" w:type="dxa"/>
              <w:bottom w:w="0" w:type="dxa"/>
              <w:right w:w="100" w:type="dxa"/>
            </w:tcMar>
          </w:tcPr>
          <w:p w14:paraId="1D5AE25D" w14:textId="77777777" w:rsidR="00315874" w:rsidRDefault="00315874">
            <w:pPr>
              <w:spacing w:line="240" w:lineRule="auto"/>
              <w:jc w:val="both"/>
              <w:rPr>
                <w:rFonts w:ascii="Times New Roman" w:eastAsia="Times New Roman" w:hAnsi="Times New Roman" w:cs="Times New Roman"/>
                <w:sz w:val="24"/>
                <w:szCs w:val="24"/>
                <w:highlight w:val="white"/>
              </w:rPr>
            </w:pPr>
          </w:p>
        </w:tc>
        <w:tc>
          <w:tcPr>
            <w:tcW w:w="6210" w:type="dxa"/>
            <w:vMerge/>
            <w:tcBorders>
              <w:top w:val="nil"/>
              <w:left w:val="nil"/>
              <w:bottom w:val="single" w:sz="6" w:space="0" w:color="000000"/>
              <w:right w:val="single" w:sz="6" w:space="0" w:color="999999"/>
            </w:tcBorders>
            <w:tcMar>
              <w:top w:w="0" w:type="dxa"/>
              <w:left w:w="100" w:type="dxa"/>
              <w:bottom w:w="0" w:type="dxa"/>
              <w:right w:w="100" w:type="dxa"/>
            </w:tcMar>
          </w:tcPr>
          <w:p w14:paraId="42AABA90" w14:textId="77777777" w:rsidR="00315874" w:rsidRDefault="00315874">
            <w:pPr>
              <w:shd w:val="clear" w:color="auto" w:fill="FFFFFF"/>
              <w:spacing w:line="240" w:lineRule="auto"/>
              <w:jc w:val="both"/>
              <w:rPr>
                <w:rFonts w:ascii="Times New Roman" w:eastAsia="Times New Roman" w:hAnsi="Times New Roman" w:cs="Times New Roman"/>
                <w:b/>
                <w:bCs/>
                <w:sz w:val="24"/>
                <w:szCs w:val="24"/>
                <w:highlight w:val="white"/>
              </w:rPr>
            </w:pPr>
          </w:p>
        </w:tc>
      </w:tr>
      <w:tr w:rsidR="00315874" w14:paraId="5129EE3A" w14:textId="77777777">
        <w:trPr>
          <w:trHeight w:val="690"/>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3DB3B96A"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32DCFE9C" w14:textId="77777777" w:rsidR="00315874" w:rsidRDefault="00315874">
            <w:pPr>
              <w:spacing w:line="240" w:lineRule="auto"/>
              <w:jc w:val="center"/>
              <w:rPr>
                <w:rFonts w:ascii="Times New Roman" w:eastAsia="Times New Roman" w:hAnsi="Times New Roman" w:cs="Times New Roman"/>
                <w:sz w:val="24"/>
                <w:szCs w:val="24"/>
              </w:rPr>
            </w:pPr>
          </w:p>
        </w:tc>
        <w:tc>
          <w:tcPr>
            <w:tcW w:w="5700" w:type="dxa"/>
            <w:vMerge/>
            <w:tcBorders>
              <w:top w:val="nil"/>
              <w:left w:val="nil"/>
              <w:bottom w:val="single" w:sz="6" w:space="0" w:color="000000"/>
              <w:right w:val="single" w:sz="6" w:space="0" w:color="999999"/>
            </w:tcBorders>
            <w:tcMar>
              <w:top w:w="0" w:type="dxa"/>
              <w:left w:w="100" w:type="dxa"/>
              <w:bottom w:w="0" w:type="dxa"/>
              <w:right w:w="100" w:type="dxa"/>
            </w:tcMar>
          </w:tcPr>
          <w:p w14:paraId="63207E1D" w14:textId="77777777" w:rsidR="00315874" w:rsidRDefault="00315874">
            <w:pPr>
              <w:spacing w:line="240" w:lineRule="auto"/>
              <w:jc w:val="both"/>
              <w:rPr>
                <w:rFonts w:ascii="Times New Roman" w:eastAsia="Times New Roman" w:hAnsi="Times New Roman" w:cs="Times New Roman"/>
                <w:sz w:val="24"/>
                <w:szCs w:val="24"/>
                <w:highlight w:val="white"/>
              </w:rPr>
            </w:pPr>
          </w:p>
        </w:tc>
        <w:tc>
          <w:tcPr>
            <w:tcW w:w="6210" w:type="dxa"/>
            <w:vMerge/>
            <w:tcBorders>
              <w:top w:val="nil"/>
              <w:left w:val="nil"/>
              <w:bottom w:val="single" w:sz="6" w:space="0" w:color="000000"/>
              <w:right w:val="single" w:sz="6" w:space="0" w:color="999999"/>
            </w:tcBorders>
            <w:tcMar>
              <w:top w:w="0" w:type="dxa"/>
              <w:left w:w="100" w:type="dxa"/>
              <w:bottom w:w="0" w:type="dxa"/>
              <w:right w:w="100" w:type="dxa"/>
            </w:tcMar>
          </w:tcPr>
          <w:p w14:paraId="7092F766" w14:textId="77777777" w:rsidR="00315874" w:rsidRDefault="00315874">
            <w:pPr>
              <w:shd w:val="clear" w:color="auto" w:fill="FFFFFF"/>
              <w:spacing w:line="240" w:lineRule="auto"/>
              <w:jc w:val="both"/>
              <w:rPr>
                <w:rFonts w:ascii="Times New Roman" w:eastAsia="Times New Roman" w:hAnsi="Times New Roman" w:cs="Times New Roman"/>
                <w:b/>
                <w:bCs/>
                <w:sz w:val="24"/>
                <w:szCs w:val="24"/>
                <w:highlight w:val="white"/>
              </w:rPr>
            </w:pPr>
          </w:p>
        </w:tc>
      </w:tr>
      <w:tr w:rsidR="00315874" w14:paraId="5053E15D" w14:textId="77777777">
        <w:trPr>
          <w:trHeight w:val="765"/>
        </w:trPr>
        <w:tc>
          <w:tcPr>
            <w:tcW w:w="735" w:type="dxa"/>
            <w:vMerge w:val="restart"/>
            <w:tcBorders>
              <w:top w:val="single" w:sz="6" w:space="0" w:color="999999"/>
              <w:left w:val="single" w:sz="6" w:space="0" w:color="999999"/>
              <w:bottom w:val="single" w:sz="6" w:space="0" w:color="999999"/>
              <w:right w:val="single" w:sz="6" w:space="0" w:color="999999"/>
            </w:tcBorders>
            <w:tcMar>
              <w:top w:w="0" w:type="dxa"/>
              <w:bottom w:w="0" w:type="dxa"/>
            </w:tcMar>
          </w:tcPr>
          <w:p w14:paraId="50A50FBF" w14:textId="77777777" w:rsidR="00315874"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22.</w:t>
            </w:r>
          </w:p>
        </w:tc>
        <w:tc>
          <w:tcPr>
            <w:tcW w:w="2835" w:type="dxa"/>
            <w:vMerge w:val="restart"/>
            <w:tcBorders>
              <w:top w:val="single" w:sz="6" w:space="0" w:color="999999"/>
              <w:left w:val="single" w:sz="6" w:space="0" w:color="999999"/>
              <w:bottom w:val="single" w:sz="6" w:space="0" w:color="999999"/>
              <w:right w:val="single" w:sz="6" w:space="0" w:color="999999"/>
            </w:tcBorders>
            <w:tcMar>
              <w:top w:w="0" w:type="dxa"/>
              <w:bottom w:w="0" w:type="dxa"/>
            </w:tcMar>
          </w:tcPr>
          <w:p w14:paraId="6759E2B5" w14:textId="77777777" w:rsidR="00315874" w:rsidRDefault="00000000">
            <w:pPr>
              <w:spacing w:line="240" w:lineRule="auto"/>
              <w:ind w:left="14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Curtea de Conturi</w:t>
            </w:r>
          </w:p>
          <w:p w14:paraId="7E5B2F2A" w14:textId="77777777" w:rsidR="00315874" w:rsidRDefault="00000000">
            <w:pPr>
              <w:spacing w:line="240" w:lineRule="auto"/>
              <w:ind w:left="140"/>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lastRenderedPageBreak/>
              <w:t>Nr. 2/3-495-26 din 25.06.2026</w:t>
            </w: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0B2D504D"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 xml:space="preserve">  Proiectul include prevederi orientate spre consolidarea disciplinei financiare în procesul negocierii și aplicării </w:t>
            </w:r>
            <w:r>
              <w:rPr>
                <w:rFonts w:ascii="Times New Roman" w:eastAsia="Times New Roman" w:hAnsi="Times New Roman" w:cs="Times New Roman"/>
                <w:sz w:val="24"/>
                <w:szCs w:val="24"/>
                <w:highlight w:val="white"/>
              </w:rPr>
              <w:lastRenderedPageBreak/>
              <w:t xml:space="preserve">contractelor colective de muncă și a convențiilor colective din sectorul bugetar, prin instituirea unor mecanisme de consultare și monitorizare a impactului financiar. </w:t>
            </w:r>
          </w:p>
          <w:p w14:paraId="646E5F21"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În acest context, Curtea de Conturi apreciază pozitiv completarea cadrului normativ cu prevederi care urmăresc corelarea angajamentelor asumate aferente negocierilor colective cu resursele financiare disponibile, inclusiv prin implicarea Ministerului Finanțelor în procesul de evaluare a impactului financiar al acestora. Astfel de măsuri sunt în concordanță cu principiile responsabilității fiscal-bugetare și contribuie la diminuarea riscului asumării unor obligații financiare fără acoperire bugetară corespunzătoare. </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794467ED"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Se ia act.</w:t>
            </w:r>
          </w:p>
        </w:tc>
      </w:tr>
      <w:tr w:rsidR="00315874" w14:paraId="1309EC69" w14:textId="77777777">
        <w:trPr>
          <w:trHeight w:val="765"/>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3CF986C6"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4BB4398A" w14:textId="77777777" w:rsidR="00315874" w:rsidRDefault="00315874">
            <w:pPr>
              <w:spacing w:line="240" w:lineRule="auto"/>
              <w:jc w:val="center"/>
              <w:rPr>
                <w:rFonts w:ascii="Times New Roman" w:eastAsia="Times New Roman" w:hAnsi="Times New Roman" w:cs="Times New Roman"/>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5C103447"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Totodată, se constată că nota de fundamentare nu conține informații suficiente privind impactul financiar estimat al modificărilor propuse. În acest sens, se consideră oportună completarea acesteia cu estimări privind efectele bugetare ale implementării proiectului, inclusiv prin raportarea la numărul de beneficiari vizați, impactul asupra cheltuielilor de personal și eventualele economii sau costuri suplimentare generate de noile reglementări. </w:t>
            </w:r>
          </w:p>
          <w:p w14:paraId="74B27D21"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De asemenea, se recomandă evaluarea implicațiilor administrative și financiare aferente aplicării. </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7E77460F"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Se acceptă parțial.</w:t>
            </w:r>
          </w:p>
          <w:p w14:paraId="40C79D05"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44DF8E20"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Nota de fundamentare a fost revizuită.</w:t>
            </w:r>
          </w:p>
          <w:p w14:paraId="4F5C3C23"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207BF4BE"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Totodată, nu se acceptă concluzia potrivit căreia lipsa unor estimări financiare detaliate ar afecta validitatea soluțiilor normative propuse. Proiectul urmărește, în principal, uniformizarea modului de calcul al concediilor, trecerea de la zile calendaristice la zile lucrătoare și orientarea concediului spre utilizarea efectivă a perioadei de odihnă.</w:t>
            </w:r>
          </w:p>
          <w:p w14:paraId="4E68D153"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26332EC0"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Impactul financiar al proiectului urmează a fi analizat diferențiat. Pe de o parte, implementarea noilor reguli poate genera costuri administrative tranzitorii, legate de ajustarea evidențelor, regulamentelor interne, contractelor individuale de muncă și sistemelor de salarizare. Pe de altă parte, proiectul este de natură să reducă, pentru viitor, acumularea soldurilor mari de concedii neutilizate și, implicit, obligațiile de compensare financiară la încetarea raporturilor de muncă sau de serviciu.</w:t>
            </w:r>
          </w:p>
          <w:p w14:paraId="14954E2D"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3EE4C055"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În ceea ce privește numărul beneficiarilor vizați și efectele asupra cheltuielilor de personal, acestea vor fi reflectate în Nota de fundamentare în măsura datelor disponibile autorităților competente, cu indicarea faptului că efectele bugetare concrete depind de soldurile individuale de concediu, de utilizarea efectivă a concediilor și de dinamica raporturilor de muncă sau de serviciu.</w:t>
            </w:r>
          </w:p>
          <w:p w14:paraId="68B34841"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40E7DB7A" w14:textId="4CE71A84"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Prin urmare, Nota de fundamentare </w:t>
            </w:r>
            <w:r w:rsidR="00607B56">
              <w:rPr>
                <w:rFonts w:ascii="Times New Roman" w:eastAsia="Times New Roman" w:hAnsi="Times New Roman" w:cs="Times New Roman"/>
                <w:sz w:val="24"/>
                <w:szCs w:val="24"/>
                <w:highlight w:val="white"/>
              </w:rPr>
              <w:t>a fost</w:t>
            </w:r>
            <w:r>
              <w:rPr>
                <w:rFonts w:ascii="Times New Roman" w:eastAsia="Times New Roman" w:hAnsi="Times New Roman" w:cs="Times New Roman"/>
                <w:sz w:val="24"/>
                <w:szCs w:val="24"/>
                <w:highlight w:val="white"/>
              </w:rPr>
              <w:t xml:space="preserve"> completată cu explicații privind implicațiile financiare și administrative ale proiectului, fără modificarea soluțiilor normative promovate.</w:t>
            </w:r>
          </w:p>
          <w:p w14:paraId="19DBA672"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365FC4B4" w14:textId="58F124CD" w:rsidR="0021239A" w:rsidRDefault="0021239A">
            <w:pPr>
              <w:shd w:val="clear" w:color="auto" w:fill="FFFFFF"/>
              <w:jc w:val="both"/>
              <w:rPr>
                <w:rFonts w:ascii="Times New Roman" w:eastAsia="Times New Roman" w:hAnsi="Times New Roman" w:cs="Times New Roman"/>
                <w:sz w:val="24"/>
                <w:szCs w:val="24"/>
                <w:highlight w:val="white"/>
              </w:rPr>
            </w:pPr>
          </w:p>
        </w:tc>
      </w:tr>
      <w:tr w:rsidR="00315874" w14:paraId="24757009" w14:textId="77777777">
        <w:trPr>
          <w:trHeight w:val="765"/>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7EBF2267"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0597B458" w14:textId="77777777" w:rsidR="00315874" w:rsidRDefault="00315874">
            <w:pPr>
              <w:spacing w:line="240" w:lineRule="auto"/>
              <w:jc w:val="center"/>
              <w:rPr>
                <w:rFonts w:ascii="Times New Roman" w:eastAsia="Times New Roman" w:hAnsi="Times New Roman" w:cs="Times New Roman"/>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27EE4F3D"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Suplimentar, se consideră oportună completarea prevederilor propuse la articolele 32 și 37 din Codul muncii al Republicii Moldova nr. 154/2003 (art. V din proiect) cu stabilirea expresă a termenului în care Ministerul Finanțelor urmează să emită opinia consultativă solicitată de părți. </w:t>
            </w:r>
          </w:p>
          <w:p w14:paraId="7C62A4A2"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În opinia Curții de Conturi, reglementarea unui asemenea termen este necesară pentru asigurarea previzibilității procesului de negociere colectivă și pentru evitarea eventualelor întârzieri în desfășurarea procedurilor de negociere și încheiere a contractelor colective de muncă și a convențiilor colective. </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6F52D402"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Se acceptă.</w:t>
            </w:r>
          </w:p>
          <w:p w14:paraId="579C45FD"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2135DF17"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Observația este întemeiată și corespunde soluției legislative deja acceptate pentru mecanismul de solicitare a opiniei consultative a Ministerului Finanțelor.</w:t>
            </w:r>
          </w:p>
          <w:p w14:paraId="2ABC4994"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145F6C8A"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Pentru asigurarea previzibilității procesului de negociere colectivă și evitarea tergiversării procedurilor de negociere și încheiere a contractelor colective de muncă și a convențiilor colective, proiectul va fi completat cu prevederi exprese privind termenul de emitere a opiniei consultative.</w:t>
            </w:r>
          </w:p>
          <w:p w14:paraId="2BD39F55"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7094585E"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Astfel, la art. 32 și art. 37 din Codul muncii se va preciza că opinia consultativă a Ministerului Finanțelor se emite în termen de 10 zile lucrătoare de la data solicitării, nu are caracter obligatoriu, iar neemiterea acesteia în termen nu împiedică inițierea, desfășurarea sau finalizarea negocierilor colective și nici semnarea contractului colectiv de muncă sau a convenției colective.</w:t>
            </w:r>
          </w:p>
          <w:p w14:paraId="060EFBD9"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07E06450"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Această soluție menține caracterul consultativ al opiniei Ministerului Finanțelor și exclude interpretarea acesteia ca o condiție de validitate sau ca un mecanism de blocare a negocierii colective.</w:t>
            </w:r>
          </w:p>
          <w:p w14:paraId="4675188B"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153B7147" w14:textId="77777777" w:rsidR="00315874" w:rsidRDefault="00315874">
            <w:pPr>
              <w:shd w:val="clear" w:color="auto" w:fill="FFFFFF"/>
              <w:jc w:val="both"/>
              <w:rPr>
                <w:rFonts w:ascii="Times New Roman" w:eastAsia="Times New Roman" w:hAnsi="Times New Roman" w:cs="Times New Roman"/>
                <w:sz w:val="24"/>
                <w:szCs w:val="24"/>
                <w:highlight w:val="white"/>
              </w:rPr>
            </w:pPr>
          </w:p>
        </w:tc>
      </w:tr>
      <w:tr w:rsidR="00315874" w14:paraId="0C7CA903" w14:textId="77777777">
        <w:trPr>
          <w:trHeight w:val="840"/>
        </w:trPr>
        <w:tc>
          <w:tcPr>
            <w:tcW w:w="735" w:type="dxa"/>
            <w:tcBorders>
              <w:top w:val="single" w:sz="6" w:space="0" w:color="999999"/>
              <w:left w:val="single" w:sz="6" w:space="0" w:color="999999"/>
              <w:bottom w:val="single" w:sz="6" w:space="0" w:color="999999"/>
              <w:right w:val="single" w:sz="6" w:space="0" w:color="999999"/>
            </w:tcBorders>
            <w:tcMar>
              <w:top w:w="0" w:type="dxa"/>
              <w:bottom w:w="0" w:type="dxa"/>
            </w:tcMar>
          </w:tcPr>
          <w:p w14:paraId="4857C86F" w14:textId="77777777" w:rsidR="00315874"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23.</w:t>
            </w:r>
          </w:p>
        </w:tc>
        <w:tc>
          <w:tcPr>
            <w:tcW w:w="2835" w:type="dxa"/>
            <w:tcBorders>
              <w:top w:val="single" w:sz="6" w:space="0" w:color="999999"/>
              <w:left w:val="single" w:sz="6" w:space="0" w:color="999999"/>
              <w:bottom w:val="single" w:sz="6" w:space="0" w:color="999999"/>
              <w:right w:val="single" w:sz="6" w:space="0" w:color="999999"/>
            </w:tcBorders>
            <w:tcMar>
              <w:top w:w="0" w:type="dxa"/>
              <w:bottom w:w="0" w:type="dxa"/>
            </w:tcMar>
          </w:tcPr>
          <w:p w14:paraId="6AB128E2" w14:textId="77777777" w:rsidR="00315874" w:rsidRDefault="00000000">
            <w:pPr>
              <w:spacing w:line="240" w:lineRule="auto"/>
              <w:ind w:left="14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Curtea Constituțională</w:t>
            </w:r>
          </w:p>
          <w:p w14:paraId="297A48C9" w14:textId="77777777" w:rsidR="00315874" w:rsidRDefault="00000000">
            <w:pPr>
              <w:spacing w:line="240" w:lineRule="auto"/>
              <w:ind w:left="140"/>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SCC- 01-196 din 24.06.2026</w:t>
            </w: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534702F6"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Astfel, proiectul propune substituirea textului </w:t>
            </w:r>
            <w:r>
              <w:rPr>
                <w:rFonts w:ascii="Times New Roman" w:eastAsia="Times New Roman" w:hAnsi="Times New Roman" w:cs="Times New Roman"/>
                <w:i/>
                <w:iCs/>
                <w:sz w:val="24"/>
                <w:szCs w:val="24"/>
                <w:highlight w:val="white"/>
              </w:rPr>
              <w:t>„14 zile calendaristice”</w:t>
            </w:r>
            <w:r>
              <w:rPr>
                <w:rFonts w:ascii="Times New Roman" w:eastAsia="Times New Roman" w:hAnsi="Times New Roman" w:cs="Times New Roman"/>
                <w:sz w:val="24"/>
                <w:szCs w:val="24"/>
                <w:highlight w:val="white"/>
              </w:rPr>
              <w:t xml:space="preserve"> cu </w:t>
            </w:r>
            <w:r>
              <w:rPr>
                <w:rFonts w:ascii="Times New Roman" w:eastAsia="Times New Roman" w:hAnsi="Times New Roman" w:cs="Times New Roman"/>
                <w:i/>
                <w:iCs/>
                <w:sz w:val="24"/>
                <w:szCs w:val="24"/>
                <w:highlight w:val="white"/>
              </w:rPr>
              <w:t>„două săptămâni lucrătoare de concediu neîntrerupt”</w:t>
            </w:r>
            <w:r>
              <w:rPr>
                <w:rFonts w:ascii="Times New Roman" w:eastAsia="Times New Roman" w:hAnsi="Times New Roman" w:cs="Times New Roman"/>
                <w:sz w:val="24"/>
                <w:szCs w:val="24"/>
                <w:highlight w:val="white"/>
              </w:rPr>
              <w:t xml:space="preserve"> stabilit în Legea nr. 158/04.07.2008 cu privire la funcţia publică şi statutul funcţionarului public, precum și în Legea nr. 80/07.05.2010 cu privire la statutul personalului din cabinetul persoanelor cu funcţii de demnitate publică.</w:t>
            </w:r>
          </w:p>
          <w:p w14:paraId="66497D31"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Având în vedere ambiguitatea noțiunii de </w:t>
            </w:r>
            <w:r>
              <w:rPr>
                <w:rFonts w:ascii="Times New Roman" w:eastAsia="Times New Roman" w:hAnsi="Times New Roman" w:cs="Times New Roman"/>
                <w:i/>
                <w:iCs/>
                <w:sz w:val="24"/>
                <w:szCs w:val="24"/>
                <w:highlight w:val="white"/>
              </w:rPr>
              <w:t>„săptămână lucrătoare”</w:t>
            </w:r>
            <w:r>
              <w:rPr>
                <w:rFonts w:ascii="Times New Roman" w:eastAsia="Times New Roman" w:hAnsi="Times New Roman" w:cs="Times New Roman"/>
                <w:sz w:val="24"/>
                <w:szCs w:val="24"/>
                <w:highlight w:val="white"/>
              </w:rPr>
              <w:t xml:space="preserve">, se propune substituirea textului propus </w:t>
            </w:r>
            <w:r>
              <w:rPr>
                <w:rFonts w:ascii="Times New Roman" w:eastAsia="Times New Roman" w:hAnsi="Times New Roman" w:cs="Times New Roman"/>
                <w:i/>
                <w:iCs/>
                <w:sz w:val="24"/>
                <w:szCs w:val="24"/>
                <w:highlight w:val="white"/>
              </w:rPr>
              <w:t>„două săptămâni lucrătoare de concediu neîntrerupt”</w:t>
            </w:r>
            <w:r>
              <w:rPr>
                <w:rFonts w:ascii="Times New Roman" w:eastAsia="Times New Roman" w:hAnsi="Times New Roman" w:cs="Times New Roman"/>
                <w:sz w:val="24"/>
                <w:szCs w:val="24"/>
                <w:highlight w:val="white"/>
              </w:rPr>
              <w:t xml:space="preserve"> cu textul </w:t>
            </w:r>
            <w:r>
              <w:rPr>
                <w:rFonts w:ascii="Times New Roman" w:eastAsia="Times New Roman" w:hAnsi="Times New Roman" w:cs="Times New Roman"/>
                <w:i/>
                <w:iCs/>
                <w:sz w:val="24"/>
                <w:szCs w:val="24"/>
                <w:highlight w:val="white"/>
              </w:rPr>
              <w:t>„10 zile lucrătoare de concediu consecutiv”</w:t>
            </w:r>
            <w:r>
              <w:rPr>
                <w:rFonts w:ascii="Times New Roman" w:eastAsia="Times New Roman" w:hAnsi="Times New Roman" w:cs="Times New Roman"/>
                <w:sz w:val="24"/>
                <w:szCs w:val="24"/>
                <w:highlight w:val="white"/>
              </w:rPr>
              <w:t>, or la calculul indemnizației de concediu se utilizează termenul de „</w:t>
            </w:r>
            <w:r>
              <w:rPr>
                <w:rFonts w:ascii="Times New Roman" w:eastAsia="Times New Roman" w:hAnsi="Times New Roman" w:cs="Times New Roman"/>
                <w:i/>
                <w:iCs/>
                <w:sz w:val="24"/>
                <w:szCs w:val="24"/>
                <w:highlight w:val="white"/>
              </w:rPr>
              <w:t>numărul mediu de zile calendaristice pe lună;”</w:t>
            </w:r>
            <w:r>
              <w:rPr>
                <w:rFonts w:ascii="Times New Roman" w:eastAsia="Times New Roman" w:hAnsi="Times New Roman" w:cs="Times New Roman"/>
                <w:sz w:val="24"/>
                <w:szCs w:val="24"/>
                <w:highlight w:val="white"/>
              </w:rPr>
              <w:t xml:space="preserve"> sau </w:t>
            </w:r>
            <w:r>
              <w:rPr>
                <w:rFonts w:ascii="Times New Roman" w:eastAsia="Times New Roman" w:hAnsi="Times New Roman" w:cs="Times New Roman"/>
                <w:i/>
                <w:iCs/>
                <w:sz w:val="24"/>
                <w:szCs w:val="24"/>
                <w:highlight w:val="white"/>
              </w:rPr>
              <w:t>„numărul mediu de zile lucrătoare pe lună în dependență de săptămâna de lucru de 4, 5 sau 6 zile”</w:t>
            </w:r>
            <w:r>
              <w:rPr>
                <w:rFonts w:ascii="Times New Roman" w:eastAsia="Times New Roman" w:hAnsi="Times New Roman" w:cs="Times New Roman"/>
                <w:sz w:val="24"/>
                <w:szCs w:val="24"/>
                <w:highlight w:val="white"/>
              </w:rPr>
              <w:t>. Având în vedere că indemnizația de concediu se calculează potrivit salariului mediu pe o zi calendaristică, trebuie utilizată terminologia și conceptele stabilite în Hotărârea Guvernului nr. 426 din 26 aprilie 2004 privind aprobarea Modului de calculare a salariului mediu.</w:t>
            </w:r>
          </w:p>
          <w:p w14:paraId="2C54BB3C"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Mai mult, chiar dacă Convenția nr. 132 din 1970 - Convenţia privind concediile anuale plătite (revizuită) la </w:t>
            </w:r>
            <w:r>
              <w:rPr>
                <w:rFonts w:ascii="Times New Roman" w:eastAsia="Times New Roman" w:hAnsi="Times New Roman" w:cs="Times New Roman"/>
                <w:sz w:val="24"/>
                <w:szCs w:val="24"/>
                <w:highlight w:val="white"/>
              </w:rPr>
              <w:lastRenderedPageBreak/>
              <w:t xml:space="preserve">care Republica Moldova este parte utilizează textul </w:t>
            </w:r>
            <w:r>
              <w:rPr>
                <w:rFonts w:ascii="Times New Roman" w:eastAsia="Times New Roman" w:hAnsi="Times New Roman" w:cs="Times New Roman"/>
                <w:i/>
                <w:iCs/>
                <w:sz w:val="24"/>
                <w:szCs w:val="24"/>
                <w:highlight w:val="white"/>
              </w:rPr>
              <w:t>„cel puţin două săptămâni lucrătoare neîntrerupte”</w:t>
            </w:r>
            <w:r>
              <w:rPr>
                <w:rFonts w:ascii="Times New Roman" w:eastAsia="Times New Roman" w:hAnsi="Times New Roman" w:cs="Times New Roman"/>
                <w:sz w:val="24"/>
                <w:szCs w:val="24"/>
                <w:highlight w:val="white"/>
              </w:rPr>
              <w:t>, acest standard trebuie adaptat cadrului normativ național pentru a asigura claritatea normei și aplicarea previzibilă a acesteia.</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499FBEFE"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Se acceptă</w:t>
            </w:r>
          </w:p>
          <w:p w14:paraId="106EFA15"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Proiectul a fost modificat </w:t>
            </w:r>
          </w:p>
        </w:tc>
      </w:tr>
      <w:tr w:rsidR="00315874" w14:paraId="5C536F95" w14:textId="77777777">
        <w:trPr>
          <w:trHeight w:val="630"/>
        </w:trPr>
        <w:tc>
          <w:tcPr>
            <w:tcW w:w="735" w:type="dxa"/>
            <w:vMerge w:val="restart"/>
            <w:tcBorders>
              <w:top w:val="single" w:sz="6" w:space="0" w:color="999999"/>
              <w:left w:val="single" w:sz="6" w:space="0" w:color="999999"/>
              <w:bottom w:val="single" w:sz="6" w:space="0" w:color="999999"/>
              <w:right w:val="single" w:sz="6" w:space="0" w:color="999999"/>
            </w:tcBorders>
            <w:tcMar>
              <w:top w:w="0" w:type="dxa"/>
              <w:bottom w:w="0" w:type="dxa"/>
            </w:tcMar>
          </w:tcPr>
          <w:p w14:paraId="256C801A" w14:textId="77777777" w:rsidR="00315874"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24.</w:t>
            </w:r>
          </w:p>
        </w:tc>
        <w:tc>
          <w:tcPr>
            <w:tcW w:w="2835" w:type="dxa"/>
            <w:vMerge w:val="restart"/>
            <w:tcBorders>
              <w:top w:val="single" w:sz="6" w:space="0" w:color="999999"/>
              <w:left w:val="single" w:sz="6" w:space="0" w:color="999999"/>
              <w:bottom w:val="single" w:sz="6" w:space="0" w:color="999999"/>
              <w:right w:val="single" w:sz="6" w:space="0" w:color="999999"/>
            </w:tcBorders>
            <w:tcMar>
              <w:top w:w="0" w:type="dxa"/>
              <w:bottom w:w="0" w:type="dxa"/>
            </w:tcMar>
          </w:tcPr>
          <w:p w14:paraId="4E7B3F22" w14:textId="77777777" w:rsidR="00315874" w:rsidRDefault="00000000">
            <w:pPr>
              <w:spacing w:line="240" w:lineRule="auto"/>
              <w:ind w:left="14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Consiliul Concurenței</w:t>
            </w:r>
          </w:p>
          <w:p w14:paraId="6931E573" w14:textId="77777777" w:rsidR="00315874" w:rsidRDefault="00000000">
            <w:pPr>
              <w:spacing w:line="240" w:lineRule="auto"/>
              <w:ind w:left="140"/>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Nr. DJ-06/714-1321 din 02.07.2026</w:t>
            </w: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3A3C4E69"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Cu referire la art. </w:t>
            </w:r>
            <w:r>
              <w:rPr>
                <w:rFonts w:ascii="Times New Roman" w:eastAsia="Times New Roman" w:hAnsi="Times New Roman" w:cs="Times New Roman"/>
                <w:b/>
                <w:bCs/>
                <w:sz w:val="24"/>
                <w:szCs w:val="24"/>
                <w:highlight w:val="white"/>
              </w:rPr>
              <w:t>V pct. 3</w:t>
            </w:r>
            <w:r>
              <w:rPr>
                <w:rFonts w:ascii="Times New Roman" w:eastAsia="Times New Roman" w:hAnsi="Times New Roman" w:cs="Times New Roman"/>
                <w:sz w:val="24"/>
                <w:szCs w:val="24"/>
                <w:highlight w:val="white"/>
              </w:rPr>
              <w:t xml:space="preserve"> din proiectul de lege, prin care se propune completarea </w:t>
            </w:r>
            <w:r>
              <w:rPr>
                <w:rFonts w:ascii="Times New Roman" w:eastAsia="Times New Roman" w:hAnsi="Times New Roman" w:cs="Times New Roman"/>
                <w:b/>
                <w:bCs/>
                <w:sz w:val="24"/>
                <w:szCs w:val="24"/>
                <w:highlight w:val="white"/>
              </w:rPr>
              <w:t>alin. (1) al art. 32 din Codul muncii nr. 154/2003</w:t>
            </w:r>
            <w:r>
              <w:rPr>
                <w:rFonts w:ascii="Times New Roman" w:eastAsia="Times New Roman" w:hAnsi="Times New Roman" w:cs="Times New Roman"/>
                <w:sz w:val="24"/>
                <w:szCs w:val="24"/>
                <w:highlight w:val="white"/>
              </w:rPr>
              <w:t xml:space="preserve"> cu prevederi privind obligativitatea solicitării, de către angajatorii din sectorul bugetar, a opiniei consultative a Ministerului Finanțelor cu privire la cadrul bugetar de resurse financiare disponibil înainte de inițierea negocierilor colective, considerăm necesară excluderea de la această obligație a autorităților publice autonome și acordarea unei derogări exprese pentru autoritățile publice autonome.</w:t>
            </w:r>
          </w:p>
          <w:p w14:paraId="3698DF9F" w14:textId="77777777" w:rsidR="00315874" w:rsidRDefault="00000000">
            <w:pPr>
              <w:jc w:val="both"/>
              <w:rPr>
                <w:rFonts w:ascii="Times New Roman" w:eastAsia="Times New Roman" w:hAnsi="Times New Roman" w:cs="Times New Roman"/>
                <w:i/>
                <w:iCs/>
                <w:sz w:val="24"/>
                <w:szCs w:val="24"/>
                <w:highlight w:val="white"/>
              </w:rPr>
            </w:pPr>
            <w:r>
              <w:rPr>
                <w:rFonts w:ascii="Times New Roman" w:eastAsia="Times New Roman" w:hAnsi="Times New Roman" w:cs="Times New Roman"/>
                <w:sz w:val="24"/>
                <w:szCs w:val="24"/>
                <w:highlight w:val="white"/>
              </w:rPr>
              <w:t xml:space="preserve">  În acest sens, menționăm că, potrivit art. 32 alin. (1) din Legea concurenței nr. 183/2012, Consiliul Concurenței este o autoritate publică autonomă, independentă și imparțială față de alte autorități, responsabilă față de Parlament. Statutul juridic special al autorităților publice autonome presupune exercitarea atribuțiilor și adoptarea deciziilor în mod independent, în limitele competențelor și resurselor financiare alocate, în acord cu standardele europene de organizare și funcționare, asigurate de Directiva (UE) 2019/1 a Parlamentului European și a </w:t>
            </w:r>
            <w:r>
              <w:rPr>
                <w:rFonts w:ascii="Times New Roman" w:eastAsia="Times New Roman" w:hAnsi="Times New Roman" w:cs="Times New Roman"/>
                <w:sz w:val="24"/>
                <w:szCs w:val="24"/>
                <w:highlight w:val="white"/>
              </w:rPr>
              <w:lastRenderedPageBreak/>
              <w:t xml:space="preserve">Consiliului din 11 decembrie 2018 </w:t>
            </w:r>
            <w:r>
              <w:rPr>
                <w:rFonts w:ascii="Times New Roman" w:eastAsia="Times New Roman" w:hAnsi="Times New Roman" w:cs="Times New Roman"/>
                <w:i/>
                <w:iCs/>
                <w:sz w:val="24"/>
                <w:szCs w:val="24"/>
                <w:highlight w:val="white"/>
              </w:rPr>
              <w:t>privind oferirea de mijloace autorităților de concurență din statele membre astfel încât să fie mai eficace în aplicarea legii și privind garantarea funcționării corespunzătoare a pieței interne.</w:t>
            </w:r>
          </w:p>
          <w:p w14:paraId="21C7A98F"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Totodată, caracterul consultativ al opiniei Ministerului Finanțelor nu exonerează autoritățile publice autonome de responsabilitatea gestionării resurselor bugetare și a încadrării în limitele mijloacelor financiare aprobate, astfel încât instituirea acestei obligații ar putea genera o barieră administrativă suplimentară, fără a modifica competențele și responsabilitățile stabilite de lege în cazurile gestionării resurselor bugetare.</w:t>
            </w:r>
          </w:p>
          <w:p w14:paraId="03C0A1C7"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Prin urmare, se propune completarea normei alin. (1) al art. 32 din Codul Muncii cu o derogare expresă pentru autoritățile publice autonome.</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100B0612"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Nu se acceptă.</w:t>
            </w:r>
          </w:p>
          <w:p w14:paraId="11F48B8D"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6D9A5DBD"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Propunerea de instituire a unei derogări exprese pentru autoritățile publice autonome nu poate fi acceptată, întrucât mecanismul propus la art. 32 alin. (1) din Codul muncii nu afectează autonomia funcțională, decizională sau instituțională a acestor autorități.</w:t>
            </w:r>
          </w:p>
          <w:p w14:paraId="560AFA5E"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7E33D8C3"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Opinia consultativă a Ministerului Finanțelor are ca obiect exclusiv cadrul bugetar de resurse financiare disponibil și evaluarea impactului financiar al angajamentelor ce urmează a fi asumate în cadrul negocierilor colective din sectorul bugetar. Aceasta nu constituie aprobare, autorizare sau condiție de validitate a contractului colectiv de muncă și nu poate împiedica inițierea, desfășurarea sau finalizarea negocierilor colective.</w:t>
            </w:r>
          </w:p>
          <w:p w14:paraId="260FB145"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4310646E"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Statutul de autoritate publică autonomă nu exclude obligația încadrării în limitele bugetare aprobate și nici necesitatea respectării disciplinei financiar-bugetare atunci când sunt </w:t>
            </w:r>
            <w:r>
              <w:rPr>
                <w:rFonts w:ascii="Times New Roman" w:eastAsia="Times New Roman" w:hAnsi="Times New Roman" w:cs="Times New Roman"/>
                <w:sz w:val="24"/>
                <w:szCs w:val="24"/>
                <w:highlight w:val="white"/>
              </w:rPr>
              <w:lastRenderedPageBreak/>
              <w:t>asumate angajamente cu impact asupra bugetului public. Mecanismul propus nu transferă competențe de decizie către Ministerul Finanțelor și nu limitează responsabilitatea autorității autonome în gestionarea propriilor resurse financiare.</w:t>
            </w:r>
          </w:p>
          <w:p w14:paraId="66E9AAEC"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2D4F0D35"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Totodată, instituirea unei derogări pentru autoritățile publice autonome ar crea un regim neuniform în sectorul bugetar, deși rațiunea normei este aceeași pentru toate entitățile care își finanțează angajamentele din bugetele componente ale bugetului public național.</w:t>
            </w:r>
          </w:p>
          <w:p w14:paraId="4CBA6C31"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26D567A6"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Prin urmare, completarea propusă la art. 32 alin. (1) din Codul muncii se menține, cu precizările deja acceptate privind caracterul exclusiv consultativ al opiniei, termenul de emitere și lipsa efectului blocant al acesteia.</w:t>
            </w:r>
          </w:p>
          <w:p w14:paraId="63F60898"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70B49F62" w14:textId="77777777" w:rsidR="00315874" w:rsidRDefault="00315874">
            <w:pPr>
              <w:shd w:val="clear" w:color="auto" w:fill="FFFFFF"/>
              <w:jc w:val="both"/>
              <w:rPr>
                <w:rFonts w:ascii="Times New Roman" w:eastAsia="Times New Roman" w:hAnsi="Times New Roman" w:cs="Times New Roman"/>
                <w:sz w:val="24"/>
                <w:szCs w:val="24"/>
                <w:highlight w:val="white"/>
              </w:rPr>
            </w:pPr>
          </w:p>
        </w:tc>
      </w:tr>
      <w:tr w:rsidR="00315874" w14:paraId="14F1AB95" w14:textId="77777777">
        <w:trPr>
          <w:trHeight w:val="630"/>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07EC8013"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16F9FD52" w14:textId="77777777" w:rsidR="00315874" w:rsidRDefault="00315874">
            <w:pPr>
              <w:spacing w:line="240" w:lineRule="auto"/>
              <w:jc w:val="center"/>
              <w:rPr>
                <w:rFonts w:ascii="Times New Roman" w:eastAsia="Times New Roman" w:hAnsi="Times New Roman" w:cs="Times New Roman"/>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0F77F0E8"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Cu referire la art. </w:t>
            </w:r>
            <w:r>
              <w:rPr>
                <w:rFonts w:ascii="Times New Roman" w:eastAsia="Times New Roman" w:hAnsi="Times New Roman" w:cs="Times New Roman"/>
                <w:b/>
                <w:bCs/>
                <w:sz w:val="24"/>
                <w:szCs w:val="24"/>
                <w:highlight w:val="white"/>
              </w:rPr>
              <w:t>IX pct. 2</w:t>
            </w:r>
            <w:r>
              <w:rPr>
                <w:rFonts w:ascii="Times New Roman" w:eastAsia="Times New Roman" w:hAnsi="Times New Roman" w:cs="Times New Roman"/>
                <w:sz w:val="24"/>
                <w:szCs w:val="24"/>
                <w:highlight w:val="white"/>
              </w:rPr>
              <w:t xml:space="preserve"> din proiectul de lege, prin care se propune excluderea </w:t>
            </w:r>
            <w:r>
              <w:rPr>
                <w:rFonts w:ascii="Times New Roman" w:eastAsia="Times New Roman" w:hAnsi="Times New Roman" w:cs="Times New Roman"/>
                <w:b/>
                <w:bCs/>
                <w:sz w:val="24"/>
                <w:szCs w:val="24"/>
                <w:highlight w:val="white"/>
              </w:rPr>
              <w:t>alin. (2) al art. 43 din Legea nr. 158/2008 cu privire la funcția publică și statutul funcționarului public</w:t>
            </w:r>
            <w:r>
              <w:rPr>
                <w:rFonts w:ascii="Times New Roman" w:eastAsia="Times New Roman" w:hAnsi="Times New Roman" w:cs="Times New Roman"/>
                <w:sz w:val="24"/>
                <w:szCs w:val="24"/>
                <w:highlight w:val="white"/>
              </w:rPr>
              <w:t>, considerăm că propunerea ar putea limita în mod neîntemeiat drepturile sociale ale funcționarilor publici cu o vechime mai mare în serviciu, care deja beneficiază de acest drept.</w:t>
            </w:r>
          </w:p>
          <w:p w14:paraId="0761BE04"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 xml:space="preserve">  Norma în vigoare stabilea un drept suplimentar la concediu de odihnă anual pentru funcționarii publici în funcție de vechimea în serviciul public, reprezentând o garanție socială care recompensează experiența profesională acumulată și contribuția funcționarului public la realizarea atribuțiilor autorității publice.   Totodată, această măsură reprezintă un mecanism de motivare și fidelizare a personalului, stimulând continuitatea raporturilor de muncă în domeniul public.</w:t>
            </w:r>
          </w:p>
          <w:p w14:paraId="4BC348BD"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Excluderea acestei garanții va conduce la diminuarea nivelului actual al drepturilor funcționarilor publici și la eliminarea unui stimulent legal destinat menținerii personalului calificat în serviciul public cu o mare vechime.</w:t>
            </w:r>
          </w:p>
          <w:p w14:paraId="1DCA57B9"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Totodată, temeinicia menținerii acestui drept este susținută de standardele internaționale și europene în materia protecției drepturilor sociale, precum și de principiile care guvernează organizarea serviciului public.</w:t>
            </w:r>
          </w:p>
          <w:p w14:paraId="76941E9C" w14:textId="77777777" w:rsidR="00315874" w:rsidRDefault="00000000">
            <w:pPr>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sz w:val="24"/>
                <w:szCs w:val="24"/>
                <w:highlight w:val="white"/>
              </w:rPr>
              <w:t xml:space="preserve"> Astfel, art. 2 pct. 3 din Carta Socială Europeană (revizuită), ratificată de Republica Moldova, consacră dreptul lucrătorilor la un concediu anual plătit de cel puțin patru săptămâni, </w:t>
            </w:r>
            <w:r>
              <w:rPr>
                <w:rFonts w:ascii="Times New Roman" w:eastAsia="Times New Roman" w:hAnsi="Times New Roman" w:cs="Times New Roman"/>
                <w:b/>
                <w:bCs/>
                <w:sz w:val="24"/>
                <w:szCs w:val="24"/>
                <w:highlight w:val="white"/>
              </w:rPr>
              <w:t>reprezentând un standard minim de protecție, fără a împiedica statele să instituie garanții mai favorabile.</w:t>
            </w:r>
          </w:p>
          <w:p w14:paraId="2B672EAD"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 xml:space="preserve">  În același timp, în dreptul social european principiul non-regresiunii interzice statelor să utilizeze transpunerea sau modificarea legislației pentru a reduce nivelul general de protecție a lucrătorilor. Odată ce statul a stabilit un standard superior - concediu suplimentar pentru vechime, retragerea acestuia fără o justificare obiectivă de interes major constituie un regres social.</w:t>
            </w:r>
          </w:p>
          <w:p w14:paraId="30765AD2"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Respectiv, art. 23 din Directiva 2003/88/CE privind anumite aspecte ale organizării timpului de lucru prevede expres că punerea în aplicare a directivei nu constituie un temei valabil pentru reducerea nivelului general de protecție oferit lucrătorilor. Această clauză de neregresiune consacră obligația statelor membre de a nu utiliza transpunerea sau modificarea cadrului normativ în domeniul timpului de lucru ca pretext pentru diminuarea garanțiilor deja existente la nivel național.</w:t>
            </w:r>
          </w:p>
          <w:p w14:paraId="4786F811"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În același timp, Convenția Organizației Internaționale a Muncii nr. 132/1970 privind concediile anuale plătite (revizuită) deși stabilește o durată minimă a concediului, Convenția permite și încurajează statele să prevadă prin legislația națională condiții mai favorabile. Menținerea zilelor suplimentare în funcție de vechime se aliniază recomandărilor internaționale de a recompensa stabilitatea în muncă a funcționarilor publici.</w:t>
            </w:r>
          </w:p>
          <w:p w14:paraId="1FE76C7C"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 xml:space="preserve">  Totodată, în dreptul comparat, se identifică exemple de reglementări care mențin mecanisme de stimulare a stabilității în funcția publică prin acordarea de concedii suplimentare în funcție de vechime. Astfel, în România, reglementările privind concediul de odihnă pentru personalul din sectorul bugetar prevăd acordarea unor zile suplimentare de concediu în raport cu vechimea în muncă, ca instrument de valorizare a experienței profesionale și de fidelizare a personalului din administrația publică, de exemplu, HG nr. 250/1992, cu modificările și completările ulterioare.</w:t>
            </w:r>
          </w:p>
          <w:p w14:paraId="0C398F64"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Prin urmare, abrogarea alin. (2) al art. 43 din Legea nr. 158/2008 ar reprezenta o limitare neîntemeiată a drepturilor funcționarilor publici cu o mare vechime în serviciu, afectând atractivitatea și stabilitatea serviciului public în Republica Moldova.</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173EA79A"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Nu se acceptă.</w:t>
            </w:r>
          </w:p>
          <w:p w14:paraId="59B0823B"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6380EF9E"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Poziția Ministerului este cea expusă la pct. 8 (Ministerul Justiției) și pct. 13 (Ministerul Afacerilor Interne). Referitor la argumentele de drept internațional invocate:</w:t>
            </w:r>
          </w:p>
          <w:p w14:paraId="64756699"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Art. 2 pct. 3 din Carta Socială Europeană (revizuită) și art. 7 din Convenția OIM nr. 132/1970 stabilesc un standard minim </w:t>
            </w:r>
            <w:r>
              <w:rPr>
                <w:rFonts w:ascii="Times New Roman" w:eastAsia="Times New Roman" w:hAnsi="Times New Roman" w:cs="Times New Roman"/>
                <w:sz w:val="24"/>
                <w:szCs w:val="24"/>
                <w:highlight w:val="white"/>
              </w:rPr>
              <w:lastRenderedPageBreak/>
              <w:t>al concediului anual (4 săptămâni/24 de zile lucrătoare), pe care proiectul îl respectă pentru toate categoriile de personal vizate. Aceste instrumente nu impun statelor obligația de a menține nedefinit orice garanție care excedează acest minim.</w:t>
            </w:r>
          </w:p>
          <w:p w14:paraId="06EDF27F"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Clauza de neregresiune din art. 23 al Directivei 2003/88/CE se referă la nivelul general de protecție asigurat prin transpunerea directivei, iar nu la orice beneficiu accesoriu instituit unilateral de legiuitorul național, care rămâne liber să îl reevalueze, cu respectarea standardului minim.</w:t>
            </w:r>
          </w:p>
          <w:p w14:paraId="717CAFBA"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Exemplul comparativ din România (HG nr. 250/1992) nu este determinant: alegerea de a menține concedii suplimentare pentru vechime este o opțiune de politică internă a fiecărui stat membru, iar existența unei asemenea practici într-un alt stat nu generează o obligație de aliniere pentru Republica Moldova.</w:t>
            </w:r>
          </w:p>
          <w:p w14:paraId="576E583F"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Prin urmare, excluderea alin. (2) al art. 43 din Legea nr. 158/2008 se menține.</w:t>
            </w:r>
          </w:p>
          <w:p w14:paraId="3F3C5575"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08A74AEA" w14:textId="77777777" w:rsidR="00315874" w:rsidRDefault="00315874">
            <w:pPr>
              <w:shd w:val="clear" w:color="auto" w:fill="FFFFFF"/>
              <w:jc w:val="both"/>
              <w:rPr>
                <w:rFonts w:ascii="Times New Roman" w:eastAsia="Times New Roman" w:hAnsi="Times New Roman" w:cs="Times New Roman"/>
                <w:sz w:val="24"/>
                <w:szCs w:val="24"/>
                <w:highlight w:val="white"/>
              </w:rPr>
            </w:pPr>
          </w:p>
        </w:tc>
      </w:tr>
      <w:tr w:rsidR="00315874" w14:paraId="104D66EC" w14:textId="77777777">
        <w:trPr>
          <w:trHeight w:val="630"/>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16502BED"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1CB1F0CD" w14:textId="77777777" w:rsidR="00315874" w:rsidRDefault="00315874">
            <w:pPr>
              <w:spacing w:line="240" w:lineRule="auto"/>
              <w:jc w:val="center"/>
              <w:rPr>
                <w:rFonts w:ascii="Times New Roman" w:eastAsia="Times New Roman" w:hAnsi="Times New Roman" w:cs="Times New Roman"/>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716FA9CF"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Cu privire la art. </w:t>
            </w:r>
            <w:r>
              <w:rPr>
                <w:rFonts w:ascii="Times New Roman" w:eastAsia="Times New Roman" w:hAnsi="Times New Roman" w:cs="Times New Roman"/>
                <w:b/>
                <w:bCs/>
                <w:sz w:val="24"/>
                <w:szCs w:val="24"/>
                <w:highlight w:val="white"/>
              </w:rPr>
              <w:t>V pct. 6</w:t>
            </w:r>
            <w:r>
              <w:rPr>
                <w:rFonts w:ascii="Times New Roman" w:eastAsia="Times New Roman" w:hAnsi="Times New Roman" w:cs="Times New Roman"/>
                <w:sz w:val="24"/>
                <w:szCs w:val="24"/>
                <w:highlight w:val="white"/>
              </w:rPr>
              <w:t xml:space="preserve"> din proiectul de lege, care vizează modificarea art. 115 alin. (5) din Codul muncii nr. 154/2003, prin substituirea sintagmei 14 zile calendaristice cu sintagma două săptămâni lucrătoare de concediu neîntrerupt, menționăm că norma propusă nu este formulată suficient de clar și nu stabilește modul în care această prevedere urmează să fie aplicată în practică la calcularea zilelor de concediu și la calcularea indemnizației pentru concediu de odihnă.</w:t>
            </w:r>
          </w:p>
          <w:p w14:paraId="63D25306" w14:textId="77777777" w:rsidR="00315874" w:rsidRDefault="00315874">
            <w:pPr>
              <w:jc w:val="both"/>
              <w:rPr>
                <w:rFonts w:ascii="Times New Roman" w:eastAsia="Times New Roman" w:hAnsi="Times New Roman" w:cs="Times New Roman"/>
                <w:sz w:val="24"/>
                <w:szCs w:val="24"/>
                <w:highlight w:val="white"/>
              </w:rPr>
            </w:pPr>
          </w:p>
          <w:p w14:paraId="16C7EB84"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Astfel, în lipsa unor prevederi clare, norma este susceptibilă de interpretări diferite, ceea ce ar putea genera dificultăți și practici neuniforme în procesul de implementare. Din aceste considerente, se recomandă completarea proiectului de lege cu prevederi clare și lipsite de echivoc privind modalitatea de calcul a duratei concediului neîntrerupt de două săptămâni lucrătoare, precum și, după caz, impactul acestei modificări asupra calculării indemnizației pentru concediul de odihnă.</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0EA2F4BB"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 xml:space="preserve">Se acceptă parțial. </w:t>
            </w:r>
          </w:p>
          <w:p w14:paraId="1C93723E"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5F9272DD"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 se vedea răspunsul consolidat de la pct. 26 (avizul Consiliului Superior al Procurorilor), referitor la corelarea metodologiei de calcul a indemnizației de concediu cu noua unitate de măsură a concediului.</w:t>
            </w:r>
          </w:p>
        </w:tc>
      </w:tr>
      <w:tr w:rsidR="00315874" w14:paraId="7C7D5CB9" w14:textId="77777777">
        <w:trPr>
          <w:trHeight w:val="900"/>
        </w:trPr>
        <w:tc>
          <w:tcPr>
            <w:tcW w:w="735" w:type="dxa"/>
            <w:tcBorders>
              <w:top w:val="single" w:sz="6" w:space="0" w:color="999999"/>
              <w:left w:val="single" w:sz="6" w:space="0" w:color="999999"/>
              <w:bottom w:val="single" w:sz="6" w:space="0" w:color="999999"/>
              <w:right w:val="single" w:sz="6" w:space="0" w:color="999999"/>
            </w:tcBorders>
            <w:tcMar>
              <w:top w:w="0" w:type="dxa"/>
              <w:bottom w:w="0" w:type="dxa"/>
            </w:tcMar>
          </w:tcPr>
          <w:p w14:paraId="04722F06" w14:textId="77777777" w:rsidR="00315874"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25.</w:t>
            </w:r>
          </w:p>
        </w:tc>
        <w:tc>
          <w:tcPr>
            <w:tcW w:w="2835" w:type="dxa"/>
            <w:tcBorders>
              <w:top w:val="single" w:sz="6" w:space="0" w:color="999999"/>
              <w:left w:val="single" w:sz="6" w:space="0" w:color="999999"/>
              <w:bottom w:val="single" w:sz="6" w:space="0" w:color="999999"/>
              <w:right w:val="single" w:sz="6" w:space="0" w:color="999999"/>
            </w:tcBorders>
            <w:tcMar>
              <w:top w:w="0" w:type="dxa"/>
              <w:bottom w:w="0" w:type="dxa"/>
            </w:tcMar>
          </w:tcPr>
          <w:p w14:paraId="2B82B101" w14:textId="77777777" w:rsidR="00315874" w:rsidRDefault="00000000">
            <w:pPr>
              <w:ind w:left="14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Consiliul pentru Egalitate</w:t>
            </w:r>
          </w:p>
          <w:p w14:paraId="4FCD3334" w14:textId="77777777" w:rsidR="00315874" w:rsidRDefault="00000000">
            <w:pPr>
              <w:ind w:left="140"/>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xml:space="preserve">Nr. 04/1047 din 26.06.2026 </w:t>
            </w: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0E322271"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Consiliul reține că Art. V din proiect prevede modificarea art. 115 alin. (5) din Codul muncii nr. 154/2003 prin substituirea textului „14 zile calendaristice” cu textul „două săptămâni lucrătoare de concediu neîntrerupt”. Consiliul notează că, prin această modificare, autorul proiectului urmărește stabilirea posibilității divizării concediului în părți, una dintre acestea urmând să aibă o durată de 10 zile lucrătoare.   Totuși, având în vedere că, în cursul unei săptămâni de lucru, poate interveni o zi de sărbătoare nelucrătoare, cele 10 zile lucrătoare pot fi repartizate, în fapt, pe parcursul a trei săptămâni calendaristice.</w:t>
            </w:r>
          </w:p>
          <w:p w14:paraId="346006A5"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De asemenea, Consiliul atenționează că termenul „neîntrerupt” poate genera interpretări diferite, în timp ce </w:t>
            </w:r>
            <w:r>
              <w:rPr>
                <w:rFonts w:ascii="Times New Roman" w:eastAsia="Times New Roman" w:hAnsi="Times New Roman" w:cs="Times New Roman"/>
                <w:sz w:val="24"/>
                <w:szCs w:val="24"/>
                <w:highlight w:val="white"/>
              </w:rPr>
              <w:lastRenderedPageBreak/>
              <w:t xml:space="preserve">termenul „consecutive” exprimă mai clar succesiunea zilelor lucrătoare. </w:t>
            </w:r>
          </w:p>
          <w:p w14:paraId="62EBA741"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Aceeași neclaritate se reține și în privința modificărilor propuse la art. 43 din Legea nr. 158/2008 cu privire la funcția publică și statutul funcționarului public, precum și alte acte normative. În vederea asigurării clarității normelor propuse de proiect și uniformității aplicării acestora, </w:t>
            </w:r>
          </w:p>
          <w:p w14:paraId="057C551D" w14:textId="77777777" w:rsidR="00315874" w:rsidRDefault="00000000">
            <w:pPr>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 xml:space="preserve">  Consiliul propune substituirea textului „două săptămâni lucrătoare de concediu neîntrerupt” cu textul „10 zile lucrătoare consecutive de concediu” în tot cuprinsul proiectului. </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0DD9ED9D"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Se acceptă</w:t>
            </w:r>
          </w:p>
        </w:tc>
      </w:tr>
      <w:tr w:rsidR="00315874" w14:paraId="0DECD21B" w14:textId="77777777">
        <w:trPr>
          <w:trHeight w:val="1260"/>
        </w:trPr>
        <w:tc>
          <w:tcPr>
            <w:tcW w:w="735" w:type="dxa"/>
            <w:vMerge w:val="restart"/>
            <w:tcBorders>
              <w:top w:val="single" w:sz="6" w:space="0" w:color="999999"/>
              <w:left w:val="single" w:sz="6" w:space="0" w:color="999999"/>
              <w:bottom w:val="single" w:sz="6" w:space="0" w:color="999999"/>
              <w:right w:val="single" w:sz="6" w:space="0" w:color="999999"/>
            </w:tcBorders>
            <w:tcMar>
              <w:top w:w="0" w:type="dxa"/>
              <w:bottom w:w="0" w:type="dxa"/>
            </w:tcMar>
          </w:tcPr>
          <w:p w14:paraId="705B2A5A" w14:textId="77777777" w:rsidR="00315874"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26.</w:t>
            </w:r>
          </w:p>
        </w:tc>
        <w:tc>
          <w:tcPr>
            <w:tcW w:w="2835" w:type="dxa"/>
            <w:tcBorders>
              <w:top w:val="single" w:sz="6" w:space="0" w:color="999999"/>
              <w:left w:val="single" w:sz="6" w:space="0" w:color="999999"/>
              <w:bottom w:val="single" w:sz="6" w:space="0" w:color="999999"/>
              <w:right w:val="single" w:sz="6" w:space="0" w:color="999999"/>
            </w:tcBorders>
            <w:tcMar>
              <w:top w:w="0" w:type="dxa"/>
              <w:bottom w:w="0" w:type="dxa"/>
            </w:tcMar>
          </w:tcPr>
          <w:p w14:paraId="7474B65A" w14:textId="77777777" w:rsidR="00315874" w:rsidRDefault="00000000">
            <w:pPr>
              <w:ind w:left="14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Consiliul Superior al Procurorilor</w:t>
            </w:r>
          </w:p>
          <w:p w14:paraId="3C849E0C" w14:textId="77777777" w:rsidR="00315874" w:rsidRDefault="00000000">
            <w:pPr>
              <w:ind w:left="140"/>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Nr.5/1-01d/26-1457 din 25.06.2026</w:t>
            </w: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46AFF5DF"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Consiliul observă că proiectul urmărește uniformizarea cadrului normativ aplicabil diferitor categorii de persoane care activează în sectorul public, inclusiv prin revizuirea modalității de acordare a concediilor de odihnă și a altor garanții sociale.</w:t>
            </w:r>
          </w:p>
          <w:p w14:paraId="677838BC"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Analiza conținutului proiectului relevă însă că soluțiile legislative propuse depășesc obiectivul tehnic al uniformizării și conduc, în realitate, la diminuarea unor garanții sociale consacrate pentru procurori, funcționari publici și alte categorii de persoane care exercită funcții de autoritate publică sau funcții cu statut special.</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0A258481"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 xml:space="preserve">Se ia act. </w:t>
            </w:r>
          </w:p>
          <w:p w14:paraId="5C58F42C"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5B9C155F"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Observațiile punctuale ale Consiliului Superior al Procurorilor sunt tratate la punctele următoare din prezentul aviz.</w:t>
            </w:r>
          </w:p>
        </w:tc>
      </w:tr>
      <w:tr w:rsidR="00315874" w14:paraId="1B6BF7A3" w14:textId="77777777">
        <w:trPr>
          <w:trHeight w:val="1260"/>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5144FB32"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tcBorders>
              <w:top w:val="single" w:sz="6" w:space="0" w:color="999999"/>
              <w:left w:val="single" w:sz="6" w:space="0" w:color="999999"/>
              <w:bottom w:val="single" w:sz="6" w:space="0" w:color="999999"/>
              <w:right w:val="single" w:sz="6" w:space="0" w:color="999999"/>
            </w:tcBorders>
            <w:tcMar>
              <w:top w:w="0" w:type="dxa"/>
              <w:bottom w:w="0" w:type="dxa"/>
            </w:tcMar>
          </w:tcPr>
          <w:p w14:paraId="5E659F81" w14:textId="77777777" w:rsidR="00315874" w:rsidRDefault="00315874">
            <w:pPr>
              <w:spacing w:line="240" w:lineRule="auto"/>
              <w:jc w:val="center"/>
              <w:rPr>
                <w:rFonts w:ascii="Times New Roman" w:eastAsia="Times New Roman" w:hAnsi="Times New Roman" w:cs="Times New Roman"/>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7BA4F8BE"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În ceea ce privește sistemul Procuraturii, proiectul propune reducerea duratei concediului anual de odihnă al procurorilor, eliminarea majorării concediului în funcție de vechimea în funcția de procuror, diminuarea plafonului de compensare prin zile de concediu pentru activitatea desfășurată în zilele de repaus și de sărbătoare, precum și eliminarea majorării concediului anual de odihnă în funcție de vechimea în serviciul public pentru funcționarii publici.</w:t>
            </w:r>
          </w:p>
          <w:p w14:paraId="02E78BE9"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Consiliul apreciază că aceste modificări afectează elemente esențiale ale statutului profesional al procurorilor și funcționarilor publici, fără ca proiectul să fie însoțit de o justificare suficientă care să demonstreze necesitatea, oportunitatea și proporționalitatea măsurilor propuse.</w:t>
            </w:r>
          </w:p>
          <w:p w14:paraId="07EF18EE"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Drepturile și garanțiile sociale asociate statutului procurorului și funcționarului public reprezintă componente ale regimului juridic special aplicabil acestor categorii profesionale și contribuie la realizarea obiectivelor constituționale și legale ale instituțiilor în care acestea activează. Deși legiuitorul dispune de o marjă de apreciere în configurarea politicilor sociale și de personal, diminuarea unor garanții deja consacrate trebuie să fie justificată prin motive obiective și suficient de </w:t>
            </w:r>
            <w:r>
              <w:rPr>
                <w:rFonts w:ascii="Times New Roman" w:eastAsia="Times New Roman" w:hAnsi="Times New Roman" w:cs="Times New Roman"/>
                <w:sz w:val="24"/>
                <w:szCs w:val="24"/>
                <w:highlight w:val="white"/>
              </w:rPr>
              <w:lastRenderedPageBreak/>
              <w:t>puternice, să urmărească un scop legitim de interes public și să respecte exigențele proporționalității.</w:t>
            </w:r>
          </w:p>
          <w:p w14:paraId="7A9C072D"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În lipsa unei asemenea justificări, măsurile propuse riscă să afecteze echilibrul dintre obligațiile și restricțiile specifice funcției și garanțiile instituite pentru exercitarea acesteia.</w:t>
            </w:r>
          </w:p>
          <w:p w14:paraId="4ECC3A54"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Consiliul reiterează că procurorii beneficiază de un statut constituțional distinct, caracterizat printr-un nivel sporit de responsabilitate, un regim extins de incompatibilități și restricții, obligații sporite de imparțialitate și integritate, precum și prin exercitarea unor atribuții indispensabile funcționării statului de drept și înfăptuirii justiției. Din această perspectivă, garanțiile sociale instituite de Legea nr. 3/2016 cu privire la Procuratură nu reprezintă privilegii acordate unei categorii profesionale, ci mecanisme necesare pentru asigurarea independenței funcționale, stabilității profesionale și atractivității funcției de procuror.</w:t>
            </w:r>
          </w:p>
          <w:p w14:paraId="0BE6964A"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În mod deosebit, Consiliul consideră nejustificată eliminarea mecanismului de majorare a concediului anual de odihnă în funcție de vechimea în funcția de procuror. Reglementarea actuală reflectă recunoașterea experienței profesionale acumulate, a gradului sporit de responsabilitate aferent exercitării funcției pe termen lung și a contribuției aduse sistemului Procuraturii de către </w:t>
            </w:r>
            <w:r>
              <w:rPr>
                <w:rFonts w:ascii="Times New Roman" w:eastAsia="Times New Roman" w:hAnsi="Times New Roman" w:cs="Times New Roman"/>
                <w:sz w:val="24"/>
                <w:szCs w:val="24"/>
                <w:highlight w:val="white"/>
              </w:rPr>
              <w:lastRenderedPageBreak/>
              <w:t>procurorii cu experiență. Eliminarea beneficiilor asociate vechimii transmite un semnal contrar obiectivelor de consolidare instituțională a Procuraturii și de menținere în sistem a profesioniștilor experimentați.</w:t>
            </w:r>
          </w:p>
          <w:p w14:paraId="28204C55"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Aceeași observație este valabilă și în privința funcționarilor publici, pentru care proiectul propune eliminarea majorării concediului anual de odihnă în funcție de vechimea în serviciul public. Experiența profesională acumulată în serviciul public constituie un element esențial pentru eficiența, continuitatea și memoria instituțională a autorităților publice.</w:t>
            </w:r>
          </w:p>
          <w:p w14:paraId="7A1D1C3C"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În cazul sistemului Procuraturii, efectele proiectului vizează inclusiv funcționarii publici din cadrul Aparatului Consiliului Superior al Procurorilor, a căror activitate este indispensabilă pentru exercitarea atribuțiilor constituționale și legale ale Consiliului, inclusiv pentru organizarea procedurilor de selecție, evaluare și promovare a procurorilor, asigurarea suportului juridic și administrativ al activității Consiliului, gestionarea proceselor instituționale și implementarea reformelor care vizează sistemul Procuraturii. Din această perspectivă, eliminarea beneficiilor asociate vechimii în serviciul public reduce stimulentele pentru dezvoltarea unei cariere profesionale în cadrul autorităților publice și afectează mecanismele de retenție a personalului calificat.</w:t>
            </w:r>
          </w:p>
          <w:p w14:paraId="49D13550" w14:textId="77777777" w:rsidR="00315874" w:rsidRDefault="00315874">
            <w:pPr>
              <w:jc w:val="both"/>
              <w:rPr>
                <w:rFonts w:ascii="Times New Roman" w:eastAsia="Times New Roman" w:hAnsi="Times New Roman" w:cs="Times New Roman"/>
                <w:sz w:val="24"/>
                <w:szCs w:val="24"/>
                <w:highlight w:val="white"/>
              </w:rPr>
            </w:pP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79F7204A"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Nu se acceptă.</w:t>
            </w:r>
          </w:p>
          <w:p w14:paraId="189EBC1C"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1CA33027"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La stabilirea duratei concediului anual pentru Procurori nu a fost aplicată formula de conversie aplicată pentru alte categorii de personal din sectorul bugetar ci un număr de de 30 de zile lucrătoare de concediu. </w:t>
            </w:r>
          </w:p>
          <w:p w14:paraId="3B7B0190"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Aceasta reflectă statutul constituțional distinct al acestei categorii — funcția de urmărire și acuzare publică, garanțiile de independență funcțională, exigențele sporite de imparțialitate și integritate — care nu este comparabilă cu funcția publică de execuție (pentru alte categorii numărul de zile de concediu a fost uniformizat la 28 de zile lucrătoare). </w:t>
            </w:r>
          </w:p>
          <w:p w14:paraId="78F7D065" w14:textId="77777777" w:rsidR="00315874" w:rsidRDefault="00000000">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 de altă parte obiectivul de uniformizare urmărit prin proiect constă în instituirea unei abordări comune privind exprimarea și calcularea duratei concediului anual de odihnă în zile lucrătoare, fără a presupune egalizarea duratei acestuia pentru toate categoriile profesionale din sistemul justiției.</w:t>
            </w:r>
          </w:p>
          <w:p w14:paraId="56029FC9" w14:textId="77777777" w:rsidR="00315874" w:rsidRDefault="00000000">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Totodată proiectul urmărește eliminarea unor concedii suplimentare pentru vechime în muncă pentru toate categoriile cu menținerea concediilor suplimentare care se acorda ca și garanții suplimentare (de ex: Potrivit Regulamentului Procuraturii aprobat prin Ordinul Procurorului General interimar nr. 33/3 din 03.05.2022 </w:t>
            </w:r>
            <w:r>
              <w:rPr>
                <w:rFonts w:ascii="Times New Roman" w:eastAsia="Times New Roman" w:hAnsi="Times New Roman" w:cs="Times New Roman"/>
                <w:i/>
                <w:iCs/>
                <w:sz w:val="24"/>
                <w:szCs w:val="24"/>
              </w:rPr>
              <w:t xml:space="preserve">„Personalul Procuraturii are </w:t>
            </w:r>
            <w:r>
              <w:rPr>
                <w:rFonts w:ascii="Times New Roman" w:eastAsia="Times New Roman" w:hAnsi="Times New Roman" w:cs="Times New Roman"/>
                <w:i/>
                <w:iCs/>
                <w:sz w:val="24"/>
                <w:szCs w:val="24"/>
              </w:rPr>
              <w:t xml:space="preserve">dreptul la concedii de odihnă anuale, concedii de odihnă suplimentare, concedii medicale, concedii de maternitate, concedii de paternitate, concedii parţiale plătite pentru îngrijirea copiilor, concedii suplimentare neplătite pentru îngrijirea copilului, concedii suplimentare plătite pe motive familiale, alte beneficii acordate în baza Codului Muncii şi Contractului colectiv de muncă, încheiat între conducerea Procuraturii Republicii Moldova şi Asociaţia Sindicală ramurală a angajaţilor Procuraturii Republicii Moldova.”). </w:t>
            </w:r>
            <w:r>
              <w:rPr>
                <w:rFonts w:ascii="Times New Roman" w:eastAsia="Times New Roman" w:hAnsi="Times New Roman" w:cs="Times New Roman"/>
                <w:sz w:val="24"/>
                <w:szCs w:val="24"/>
              </w:rPr>
              <w:t xml:space="preserve">Prin urmare este necesar de urmărit dacă se reușește ca aceste concedii suplimentare să fie utilizate astfel încât să se asigure un echilibru între viața profesională și personală a acestei categorii de salariați cu utilizarea tuturor drepturilor ce le revin prin legislație. </w:t>
            </w:r>
          </w:p>
          <w:p w14:paraId="3DB8CDD8" w14:textId="77777777" w:rsidR="00315874" w:rsidRDefault="00315874">
            <w:pPr>
              <w:shd w:val="clear" w:color="auto" w:fill="FFFFFF"/>
              <w:spacing w:before="240" w:after="240"/>
              <w:jc w:val="both"/>
              <w:rPr>
                <w:rFonts w:ascii="Times New Roman" w:eastAsia="Times New Roman" w:hAnsi="Times New Roman" w:cs="Times New Roman"/>
                <w:i/>
                <w:iCs/>
                <w:sz w:val="24"/>
                <w:szCs w:val="24"/>
              </w:rPr>
            </w:pPr>
          </w:p>
          <w:p w14:paraId="75BD998D" w14:textId="77777777" w:rsidR="00315874" w:rsidRDefault="00315874">
            <w:pPr>
              <w:shd w:val="clear" w:color="auto" w:fill="FFFFFF"/>
              <w:spacing w:before="240" w:after="240"/>
              <w:jc w:val="both"/>
              <w:rPr>
                <w:rFonts w:ascii="Times New Roman" w:eastAsia="Times New Roman" w:hAnsi="Times New Roman" w:cs="Times New Roman"/>
                <w:sz w:val="24"/>
                <w:szCs w:val="24"/>
                <w:highlight w:val="white"/>
              </w:rPr>
            </w:pPr>
          </w:p>
          <w:p w14:paraId="05B8BE5F" w14:textId="77777777" w:rsidR="00315874" w:rsidRDefault="00315874">
            <w:pPr>
              <w:shd w:val="clear" w:color="auto" w:fill="FFFFFF"/>
              <w:jc w:val="both"/>
              <w:rPr>
                <w:rFonts w:ascii="Times New Roman" w:eastAsia="Times New Roman" w:hAnsi="Times New Roman" w:cs="Times New Roman"/>
                <w:sz w:val="24"/>
                <w:szCs w:val="24"/>
                <w:highlight w:val="white"/>
              </w:rPr>
            </w:pPr>
          </w:p>
        </w:tc>
      </w:tr>
      <w:tr w:rsidR="00315874" w14:paraId="0D75215B" w14:textId="77777777">
        <w:trPr>
          <w:trHeight w:val="1260"/>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1807F9BD"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tcBorders>
              <w:top w:val="single" w:sz="6" w:space="0" w:color="999999"/>
              <w:left w:val="single" w:sz="6" w:space="0" w:color="999999"/>
              <w:bottom w:val="single" w:sz="6" w:space="0" w:color="999999"/>
              <w:right w:val="single" w:sz="6" w:space="0" w:color="999999"/>
            </w:tcBorders>
            <w:tcMar>
              <w:top w:w="0" w:type="dxa"/>
              <w:bottom w:w="0" w:type="dxa"/>
            </w:tcMar>
          </w:tcPr>
          <w:p w14:paraId="0504931E" w14:textId="77777777" w:rsidR="00315874" w:rsidRDefault="00315874">
            <w:pPr>
              <w:spacing w:line="240" w:lineRule="auto"/>
              <w:jc w:val="center"/>
              <w:rPr>
                <w:rFonts w:ascii="Times New Roman" w:eastAsia="Times New Roman" w:hAnsi="Times New Roman" w:cs="Times New Roman"/>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1B8C9601"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Consiliul constată, totodată, că soluția legislativă propusă nu este pe deplin coerentă nici din perspectiva obiectivului declarat de uniformizare a regimului concediilor în cadrul sistemului justiției. Astfel, proiectul prevede stabilirea unei durate a concediului anual de odihnă de 30 de zile pentru procurori, în timp ce pentru judecători se menține durata de 32 de zile. În lipsa unei justificări exprese în nota de fundamentare, nu este clară rațiunea acestei diferențieri, având în vedere că atât procurorii, cât și judecătorii exercită funcții constituționale, beneficiază de statute speciale și sunt supuși unor exigențe sporite de independență, integritate și responsabilitate profesională.</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7B636F5D"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 xml:space="preserve">Nu se acceptă. </w:t>
            </w:r>
          </w:p>
          <w:p w14:paraId="30B43C2C"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Durata de 30 de zile lucrătoare de concediu pentru procurori reflectă statutul constituțional distinct al acestei categorii — funcția de urmărire și acuzare publică, garanțiile de independență funcțională, exigențele sporite de imparțialitate și integritate — care nu este comparabilă cu funcția publică de execuție (pentru alte categorii numărul de zile de concediu a fost uniformizat la 28 de zile lucrătoare). </w:t>
            </w:r>
            <w:r>
              <w:rPr>
                <w:rFonts w:ascii="Times New Roman" w:eastAsia="Times New Roman" w:hAnsi="Times New Roman" w:cs="Times New Roman"/>
                <w:sz w:val="24"/>
                <w:szCs w:val="24"/>
              </w:rPr>
              <w:t>Obiectivul de uniformizare urmărit prin proiect constă în instituirea unei abordări comune privind exprimarea și calcularea duratei concediului anual de odihnă în zile lucrătoare, fără a presupune egalizarea duratei acestuia pentru toate categoriile profesionale din sistemul justiției.</w:t>
            </w:r>
          </w:p>
        </w:tc>
      </w:tr>
      <w:tr w:rsidR="00315874" w14:paraId="6B60634A" w14:textId="77777777">
        <w:trPr>
          <w:trHeight w:val="1260"/>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618D4A77"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tcBorders>
              <w:top w:val="single" w:sz="6" w:space="0" w:color="999999"/>
              <w:left w:val="single" w:sz="6" w:space="0" w:color="999999"/>
              <w:bottom w:val="single" w:sz="6" w:space="0" w:color="999999"/>
              <w:right w:val="single" w:sz="6" w:space="0" w:color="999999"/>
            </w:tcBorders>
            <w:tcMar>
              <w:top w:w="0" w:type="dxa"/>
              <w:bottom w:w="0" w:type="dxa"/>
            </w:tcMar>
          </w:tcPr>
          <w:p w14:paraId="046EB018" w14:textId="77777777" w:rsidR="00315874" w:rsidRDefault="00315874">
            <w:pPr>
              <w:spacing w:line="240" w:lineRule="auto"/>
              <w:jc w:val="center"/>
              <w:rPr>
                <w:rFonts w:ascii="Times New Roman" w:eastAsia="Times New Roman" w:hAnsi="Times New Roman" w:cs="Times New Roman"/>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25663BAC"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Distinct de aspectele ce țin de durata concediului anual de odihnă, Consiliul își exprimă dezacordul și față de propunerea de modificare a modului de acordare a concediului anual de odihnă prin înlocuirea zilelor calendaristice cu zile lucrătoare, în lipsa unor ajustări corespunzătoare ale mecanismului de calculare a indemnizației de concediu.</w:t>
            </w:r>
          </w:p>
          <w:p w14:paraId="5E0BFCBD"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Proiectul operează o modificare conceptuală a modului de acordare a concediului anual de odihnă, fără a fi însoțit de intervenții legislative și normative corelative privind metodologia de calculare a salariului mediu utilizat la stabilirea indemnizației de concediu.</w:t>
            </w:r>
          </w:p>
          <w:p w14:paraId="0CEBD4E7"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Potrivit Hotărârii Guvernului nr. 426/2004 privind aprobarea Modului de calculare a salariului mediu, la determinarea indemnizației de concediu se utilizează coeficientul timpului de muncă, care variază, de regulă, între 0,70 și 0,72. Menținerea actualei metodologii de calcul în condițiile trecerii la acordarea concediului în zile lucrătoare poate conduce la diminuarea cuantumului indemnizației de concediu și, implicit, la reducerea veniturilor efective ale salariaților în perioada exercitării dreptului la odihnă anuală.</w:t>
            </w:r>
          </w:p>
          <w:p w14:paraId="4E534728"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Actualul mecanism de calcul, construit pe acordarea concediului în zile calendaristice, asigură o corelare rezonabilă între indemnizația de concediu și salariul lunar al angajatului. În schimb, modificarea propusă riscă să producă efecte financiare negative asupra salariaților, fără ca nota de fundamentare să conțină o evaluare clară a impactului economic și social al acestei intervenții. Consiliul consideră că orice modificare a regimului juridic al concediilor de odihnă trebuie să respecte principiul menținerii garanțiilor sociale existente și să nu </w:t>
            </w:r>
            <w:r>
              <w:rPr>
                <w:rFonts w:ascii="Times New Roman" w:eastAsia="Times New Roman" w:hAnsi="Times New Roman" w:cs="Times New Roman"/>
                <w:sz w:val="24"/>
                <w:szCs w:val="24"/>
                <w:highlight w:val="white"/>
              </w:rPr>
              <w:lastRenderedPageBreak/>
              <w:t>conducă, direct sau indirect, la diminuarea drepturilor salariale ale angajaților.</w:t>
            </w:r>
          </w:p>
          <w:p w14:paraId="6BDDADEF"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În acest context, Consiliul apreciază necesară fie menținerea modului actual de acordare a concediului anual de odihnă în zile calendaristice, fie, în cazul adoptării sistemului bazat pe zile lucrătoare, modificarea corespunzătoare a Hotărârii Guvernului nr. 426/2004, astfel încât salariul mediu utilizat pentru calcularea indemnizației de concediu să fie determinat pentru o zi lucrătoare și să asigure menținerea nivelului actual al veniturilor salariale.</w:t>
            </w:r>
          </w:p>
          <w:p w14:paraId="326692F3"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Consiliul remarcă faptul că, în ultimii ani, autoritățile publice, inclusiv Consiliul Superior al Procurorilor, s-au confruntat cu dificultăți în atragerea și menținerea personalului calificat. Existența funcțiilor vacante, dificultățile întâmpinate în ocuparea acestora și concurența exercitată de sectorul privat demonstrează necesitatea consolidării mecanismelor de motivare și retenție a personalului, și nu diminuarea acestora.</w:t>
            </w:r>
          </w:p>
          <w:p w14:paraId="24204820"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Atractivitatea unei funcții publice sau a unei funcții cu statut special nu este determinată exclusiv de nivelul salarizării. Stabilitatea statutului juridic, predictibilitatea condițiilor de exercitare a funcției, perspectivele de dezvoltare profesională și existența unor garanții sociale adecvate reprezintă elemente esențiale care influențează </w:t>
            </w:r>
            <w:r>
              <w:rPr>
                <w:rFonts w:ascii="Times New Roman" w:eastAsia="Times New Roman" w:hAnsi="Times New Roman" w:cs="Times New Roman"/>
                <w:sz w:val="24"/>
                <w:szCs w:val="24"/>
                <w:highlight w:val="white"/>
              </w:rPr>
              <w:lastRenderedPageBreak/>
              <w:t>decizia unei persoane de a accede într-o funcție publică și de a continua activitatea în cadrul acesteia.</w:t>
            </w:r>
          </w:p>
          <w:p w14:paraId="057BB0EC"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În acest context, Consiliul apreciază că obiectivul declarat de consolidare a capacității instituționale a Procuraturii și a sistemului de justiție nu poate fi realizat prin reducerea mecanismelor de protecție și motivare profesională existente. Dimpotrivă, consolidarea instituțională presupune adoptarea unor politici care să contribuie la menținerea în sistem a profesioniștilor experimentați, la valorificarea experienței profesionale și la asigurarea stabilității corpului procurorilor și al funcționarilor publici.</w:t>
            </w:r>
          </w:p>
          <w:p w14:paraId="753EF12C" w14:textId="77777777" w:rsidR="00315874" w:rsidRDefault="00315874">
            <w:pPr>
              <w:jc w:val="both"/>
              <w:rPr>
                <w:rFonts w:ascii="Times New Roman" w:eastAsia="Times New Roman" w:hAnsi="Times New Roman" w:cs="Times New Roman"/>
                <w:sz w:val="24"/>
                <w:szCs w:val="24"/>
                <w:highlight w:val="white"/>
              </w:rPr>
            </w:pP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0AB721F8"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Se acceptă parțial</w:t>
            </w:r>
          </w:p>
          <w:p w14:paraId="2E9ED9AC"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Este corect că trecerea de la exprimarea concediului în zile calendaristice la zile lucrătoare impune corelarea mecanismului de calculare a indemnizației de concediu. Va fi revizuit modul de calcul al salariului mediu utilizat la stabilirea indemnizației de concediu, potrivit Hotărârii Guvernului nr. 426/2004, astfel încât indemnizația să fie determinată pentru fiecare zi lucrătoare de concediu acordată, pe baza salariului </w:t>
            </w:r>
            <w:r>
              <w:rPr>
                <w:rFonts w:ascii="Times New Roman" w:eastAsia="Times New Roman" w:hAnsi="Times New Roman" w:cs="Times New Roman"/>
                <w:sz w:val="24"/>
                <w:szCs w:val="24"/>
                <w:highlight w:val="white"/>
              </w:rPr>
              <w:lastRenderedPageBreak/>
              <w:t>mediu recalculat corespunzător noii unități de măsură, fără a genera o diminuare a veniturilor salariale ale angajaților în perioada concediului.</w:t>
            </w:r>
          </w:p>
          <w:p w14:paraId="1F116644"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Menținerea concediului de odihnă în zile calendaristice, propusă cu titlu de alternativă, nu se acceptă, întrucât ar contraveni obiectivului central al proiectului privind uniformizarea și clarificarea modului de calcul al concediilor.</w:t>
            </w:r>
          </w:p>
          <w:p w14:paraId="798CFCD1"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30CBCE05"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15AB6578" w14:textId="361DA710" w:rsidR="0021239A" w:rsidRDefault="0021239A">
            <w:pPr>
              <w:shd w:val="clear" w:color="auto" w:fill="FFFFFF"/>
              <w:jc w:val="both"/>
              <w:rPr>
                <w:rFonts w:ascii="Times New Roman" w:eastAsia="Times New Roman" w:hAnsi="Times New Roman" w:cs="Times New Roman"/>
                <w:sz w:val="24"/>
                <w:szCs w:val="24"/>
                <w:highlight w:val="white"/>
              </w:rPr>
            </w:pPr>
          </w:p>
        </w:tc>
      </w:tr>
      <w:tr w:rsidR="00315874" w14:paraId="5A3C9EF5" w14:textId="77777777">
        <w:trPr>
          <w:trHeight w:val="1260"/>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6BCDFEA6"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tcBorders>
              <w:top w:val="single" w:sz="6" w:space="0" w:color="999999"/>
              <w:left w:val="single" w:sz="6" w:space="0" w:color="999999"/>
              <w:bottom w:val="single" w:sz="6" w:space="0" w:color="999999"/>
              <w:right w:val="single" w:sz="6" w:space="0" w:color="999999"/>
            </w:tcBorders>
            <w:tcMar>
              <w:top w:w="0" w:type="dxa"/>
              <w:bottom w:w="0" w:type="dxa"/>
            </w:tcMar>
          </w:tcPr>
          <w:p w14:paraId="58AF0E61" w14:textId="77777777" w:rsidR="00315874" w:rsidRDefault="00315874">
            <w:pPr>
              <w:spacing w:line="240" w:lineRule="auto"/>
              <w:jc w:val="center"/>
              <w:rPr>
                <w:rFonts w:ascii="Times New Roman" w:eastAsia="Times New Roman" w:hAnsi="Times New Roman" w:cs="Times New Roman"/>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4EC7849E"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Totodată, Consiliul observă că nota de fundamentare nu conține o evaluare suficientă a impactului economico-financiar și instituțional al măsurilor propuse. Nu sunt cuantificate economiile bugetare care ar urma să fie obținute prin diminuarea garanțiilor sociale existente și nici nu sunt analizate costurile pe termen mediu și lung generate de reducerea atractivității funcțiilor publice și a funcțiilor cu statut special.</w:t>
            </w:r>
          </w:p>
          <w:p w14:paraId="57377205"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De asemenea, lipsesc date și estimări privind impactul asupra retenției personalului, asupra atractivității funcției de procuror și a funcției publice, asupra motivației profesionale și asupra capacității instituționale a </w:t>
            </w:r>
            <w:r>
              <w:rPr>
                <w:rFonts w:ascii="Times New Roman" w:eastAsia="Times New Roman" w:hAnsi="Times New Roman" w:cs="Times New Roman"/>
                <w:sz w:val="24"/>
                <w:szCs w:val="24"/>
                <w:highlight w:val="white"/>
              </w:rPr>
              <w:lastRenderedPageBreak/>
              <w:t>autorităților vizate. În lipsa unor asemenea analize, nu poate fi verificată necesitatea măsurilor propuse și nici caracterul lor proporțional în raport cu obiectivele urmărite.</w:t>
            </w:r>
          </w:p>
          <w:p w14:paraId="051E14BE"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Prin urmare, Consiliul Superior al Procurorilor apreciază că modificările propuse la art.61 din Legea nr.3/2016 cu privire la Procuratură, precum și modificările similare operate la art. 43 din Legea nr. 158/2008 cu privire la funcția publică și statutul funcționarului public, conduc la diminuarea unor garanții sociale consacrate, afectează mecanismele de recunoaștere și valorificare a experienței profesionale și sunt susceptibile să reducă atractivitatea funcției de procuror, a funcției publice și capacitatea instituțională a autorităților din sectorul justiției.</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1A62F45B" w14:textId="6144FECE" w:rsidR="00A62E1D" w:rsidRDefault="00A62E1D">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highlight w:val="white"/>
              </w:rPr>
              <w:lastRenderedPageBreak/>
              <w:t>Se ia act</w:t>
            </w:r>
          </w:p>
          <w:p w14:paraId="6E0E7837" w14:textId="459FB155" w:rsidR="00315874" w:rsidRDefault="00000000">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Elaborarea proiectului de lege este determinată în primul rând  de necesitatea alinierii regimului concediilor de odihnă la practicile europene, a eliminării neclarităților din cadrul normativ existent și a asigurării unor reguli uniforme de acordare a dreptului la odihnă.</w:t>
            </w:r>
          </w:p>
          <w:p w14:paraId="3C26C2DA" w14:textId="77777777" w:rsidR="00315874" w:rsidRDefault="00000000">
            <w:pPr>
              <w:spacing w:before="60" w:after="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Totodată, proiectul într-adevăr urmărește uniformizarea regimului concediilor și a garanțiilor sociale aplicabile diferitelor categorii de personal din sectorul privat și bugetar (cu unele excepții) și consolidarea disciplinei financiar-bugetare și a sustenabilității cheltuielilor de personal ca urmare a constatării în practică a unei durate extinsă a concediilor de </w:t>
            </w:r>
            <w:r>
              <w:rPr>
                <w:rFonts w:ascii="Times New Roman" w:eastAsia="Times New Roman" w:hAnsi="Times New Roman" w:cs="Times New Roman"/>
                <w:sz w:val="24"/>
                <w:szCs w:val="24"/>
              </w:rPr>
              <w:lastRenderedPageBreak/>
              <w:t xml:space="preserve">odihnă, inclusiv prin acordarea unor zile suplimentare care a favorizat acumularea unor solduri considerabile de zile neutilizate. Aceste acumulări generează ulterior obligații de compensare financiară la încetarea raporturilor de muncă și pot transforma concediul, dintr-un instrument destinat asigurării perioadei efective de odihnă, într-o obligație financiară suplimentară pentru angajator. </w:t>
            </w:r>
          </w:p>
          <w:p w14:paraId="360DFC30" w14:textId="77777777" w:rsidR="00315874" w:rsidRDefault="00000000">
            <w:pPr>
              <w:spacing w:before="60" w:after="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prezent potrivit informațiilor publice </w:t>
            </w:r>
            <w:hyperlink r:id="rId11">
              <w:r w:rsidR="00315874">
                <w:rPr>
                  <w:rFonts w:ascii="Times New Roman" w:eastAsia="Times New Roman" w:hAnsi="Times New Roman" w:cs="Times New Roman"/>
                  <w:color w:val="1155CC"/>
                  <w:sz w:val="24"/>
                  <w:szCs w:val="24"/>
                  <w:u w:val="single"/>
                </w:rPr>
                <w:t>ipn.md</w:t>
              </w:r>
            </w:hyperlink>
            <w:r>
              <w:rPr>
                <w:rFonts w:ascii="Times New Roman" w:eastAsia="Times New Roman" w:hAnsi="Times New Roman" w:cs="Times New Roman"/>
                <w:sz w:val="24"/>
                <w:szCs w:val="24"/>
              </w:rPr>
              <w:t xml:space="preserve">, în anul 2026 Guvernul a alocat 192,4 milioane de lei pentru plata concediilor de odihnă nefolosite ale angajaților din sectorul bugetar.  Potrivit sursei citate </w:t>
            </w:r>
            <w:r>
              <w:rPr>
                <w:rFonts w:ascii="Times New Roman" w:eastAsia="Times New Roman" w:hAnsi="Times New Roman" w:cs="Times New Roman"/>
                <w:i/>
                <w:iCs/>
                <w:sz w:val="24"/>
                <w:szCs w:val="24"/>
              </w:rPr>
              <w:t>”Cei mai mari beneficiari ai acestei redistribuiri sunt Ministerul Afacerilor Interne, care va primi peste 63,3 milioane de lei, și Ministerul Finanțelor, cu circa 62,9 milioane de lei. Urmează Procuratura Generală care va primi 36 milioane de lei, Ministerul Justiției cu 12,3 milioane de lei, Centrul Național Anticorupție cu 11 milioane de lei și Serviciul de Informații și Securitate, care va primi 6,7 milioane de lei</w:t>
            </w:r>
            <w:r>
              <w:rPr>
                <w:rFonts w:ascii="Times New Roman" w:eastAsia="Times New Roman" w:hAnsi="Times New Roman" w:cs="Times New Roman"/>
                <w:sz w:val="24"/>
                <w:szCs w:val="24"/>
              </w:rPr>
              <w:t xml:space="preserve">.” </w:t>
            </w:r>
          </w:p>
          <w:p w14:paraId="519092DB" w14:textId="77777777" w:rsidR="00315874" w:rsidRDefault="00000000">
            <w:pPr>
              <w:spacing w:before="60" w:after="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se vedea și HG 322 din 17-06-2026</w:t>
            </w:r>
          </w:p>
          <w:p w14:paraId="325EB819" w14:textId="77777777" w:rsidR="00315874" w:rsidRDefault="00315874">
            <w:pPr>
              <w:spacing w:before="60" w:after="60" w:line="240" w:lineRule="auto"/>
              <w:jc w:val="both"/>
              <w:rPr>
                <w:rFonts w:ascii="Times New Roman" w:eastAsia="Times New Roman" w:hAnsi="Times New Roman" w:cs="Times New Roman"/>
                <w:sz w:val="24"/>
                <w:szCs w:val="24"/>
              </w:rPr>
            </w:pPr>
            <w:hyperlink r:id="rId12">
              <w:r>
                <w:rPr>
                  <w:rFonts w:ascii="Times New Roman" w:eastAsia="Times New Roman" w:hAnsi="Times New Roman" w:cs="Times New Roman"/>
                  <w:color w:val="1155CC"/>
                  <w:sz w:val="24"/>
                  <w:szCs w:val="24"/>
                  <w:u w:val="single"/>
                </w:rPr>
                <w:t>https://www.legis.md/cautare/getResults?doc_id=154910&amp;lang=ro</w:t>
              </w:r>
            </w:hyperlink>
          </w:p>
          <w:p w14:paraId="76C95711" w14:textId="77777777" w:rsidR="00315874" w:rsidRDefault="00315874">
            <w:pPr>
              <w:spacing w:before="60" w:after="60" w:line="240" w:lineRule="auto"/>
              <w:jc w:val="both"/>
              <w:rPr>
                <w:rFonts w:ascii="Times New Roman" w:eastAsia="Times New Roman" w:hAnsi="Times New Roman" w:cs="Times New Roman"/>
                <w:sz w:val="24"/>
                <w:szCs w:val="24"/>
              </w:rPr>
            </w:pPr>
          </w:p>
          <w:p w14:paraId="251E2C07" w14:textId="77777777" w:rsidR="00315874" w:rsidRDefault="00000000">
            <w:pPr>
              <w:spacing w:before="60" w:after="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Prin urmare diminuarea numărului de concedii nefolosite va duce la diminuarea cheltuielilor din bugetul de stat alocate pentru acoperirea acestor concedii care nu sunt utilizate, inclusiv de către procurori.</w:t>
            </w:r>
          </w:p>
          <w:p w14:paraId="118BBDF8"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 xml:space="preserve"> </w:t>
            </w:r>
          </w:p>
          <w:p w14:paraId="39039A20" w14:textId="2EF00412" w:rsidR="0021239A" w:rsidRDefault="0021239A">
            <w:pPr>
              <w:shd w:val="clear" w:color="auto" w:fill="FFFFFF"/>
              <w:jc w:val="both"/>
              <w:rPr>
                <w:rFonts w:ascii="Times New Roman" w:eastAsia="Times New Roman" w:hAnsi="Times New Roman" w:cs="Times New Roman"/>
                <w:b/>
                <w:bCs/>
                <w:sz w:val="24"/>
                <w:szCs w:val="24"/>
                <w:highlight w:val="white"/>
              </w:rPr>
            </w:pPr>
          </w:p>
        </w:tc>
      </w:tr>
      <w:tr w:rsidR="00315874" w14:paraId="4FBC9250" w14:textId="77777777">
        <w:trPr>
          <w:trHeight w:val="1260"/>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62AAF4F8"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tcBorders>
              <w:top w:val="single" w:sz="6" w:space="0" w:color="999999"/>
              <w:left w:val="single" w:sz="6" w:space="0" w:color="999999"/>
              <w:bottom w:val="single" w:sz="6" w:space="0" w:color="999999"/>
              <w:right w:val="single" w:sz="6" w:space="0" w:color="999999"/>
            </w:tcBorders>
            <w:tcMar>
              <w:top w:w="0" w:type="dxa"/>
              <w:bottom w:w="0" w:type="dxa"/>
            </w:tcMar>
          </w:tcPr>
          <w:p w14:paraId="5384B15F" w14:textId="77777777" w:rsidR="00315874" w:rsidRDefault="00315874">
            <w:pPr>
              <w:spacing w:line="240" w:lineRule="auto"/>
              <w:jc w:val="center"/>
              <w:rPr>
                <w:rFonts w:ascii="Times New Roman" w:eastAsia="Times New Roman" w:hAnsi="Times New Roman" w:cs="Times New Roman"/>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24957D34"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În consecință, Consiliul Superior al Procurorilor consideră necesară reexaminarea soluțiilor legislative care vizează diminuarea garanțiilor sociale existente, menținerea mecanismelor de majorare a concediului anual de odihnă în funcție de vechimea în funcția de procuror și în serviciul public, precum și realizarea unei evaluări de impact comprehensive asupra efectelor pe care aceste modificări le pot avea asupra funcționării sistemului Procuraturii, asupra serviciului public și asupra obiectivelor de consolidare instituțională asumate de Republica Moldova.</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15F0F8C1"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Nu se acceptă. </w:t>
            </w:r>
          </w:p>
          <w:p w14:paraId="5883B4D1"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 se vedea răspunsul consolidat de la pct. 26 (paragrafele anterioare din prezentul aviz al Consiliului Superior al Procurorilor), aplicabil în privința concediului suplimentar pentru vechime.</w:t>
            </w:r>
          </w:p>
        </w:tc>
      </w:tr>
      <w:tr w:rsidR="00315874" w14:paraId="63A1D7A3" w14:textId="77777777">
        <w:tc>
          <w:tcPr>
            <w:tcW w:w="735" w:type="dxa"/>
            <w:vMerge w:val="restart"/>
            <w:tcBorders>
              <w:top w:val="single" w:sz="6" w:space="0" w:color="999999"/>
              <w:left w:val="single" w:sz="6" w:space="0" w:color="999999"/>
              <w:bottom w:val="single" w:sz="6" w:space="0" w:color="999999"/>
              <w:right w:val="single" w:sz="6" w:space="0" w:color="999999"/>
            </w:tcBorders>
            <w:tcMar>
              <w:top w:w="0" w:type="dxa"/>
              <w:bottom w:w="0" w:type="dxa"/>
            </w:tcMar>
          </w:tcPr>
          <w:p w14:paraId="1045DF7B" w14:textId="77777777" w:rsidR="00315874"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27.</w:t>
            </w:r>
          </w:p>
        </w:tc>
        <w:tc>
          <w:tcPr>
            <w:tcW w:w="2835" w:type="dxa"/>
            <w:vMerge w:val="restart"/>
            <w:tcBorders>
              <w:top w:val="single" w:sz="6" w:space="0" w:color="999999"/>
              <w:left w:val="single" w:sz="6" w:space="0" w:color="999999"/>
              <w:bottom w:val="single" w:sz="6" w:space="0" w:color="999999"/>
              <w:right w:val="single" w:sz="6" w:space="0" w:color="999999"/>
            </w:tcBorders>
            <w:tcMar>
              <w:top w:w="0" w:type="dxa"/>
              <w:bottom w:w="0" w:type="dxa"/>
            </w:tcMar>
          </w:tcPr>
          <w:p w14:paraId="639B320C" w14:textId="77777777" w:rsidR="00315874" w:rsidRDefault="00000000">
            <w:pPr>
              <w:ind w:left="14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Consiliul Superior al Magistraturii</w:t>
            </w:r>
          </w:p>
          <w:p w14:paraId="53DBD152" w14:textId="77777777" w:rsidR="00315874" w:rsidRDefault="00000000">
            <w:pPr>
              <w:ind w:left="140"/>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Nr. 1698 din 25.06.2026</w:t>
            </w: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32FA2443"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Referitor la art. II din proiect, care vizează modificarea art. 29 din Legea nr. 544/1995 cu privire la statutul judecătorului, Consiliul apreciază pozitiv modificarea propusă la alin. (1), potrivit căreia textul „30 de zile calendaristice” se substituie cu textul „32 zile lucrătoare”, aceasta fiind compatibilă cu scopul declarat al proiectului și neafectând garanțiile statutare ale judecătorilor.</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414DE047"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Se ia act</w:t>
            </w:r>
          </w:p>
        </w:tc>
      </w:tr>
      <w:tr w:rsidR="00315874" w14:paraId="210F2FFB" w14:textId="77777777">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52DA6BDE"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206913D1" w14:textId="77777777" w:rsidR="00315874" w:rsidRDefault="00315874">
            <w:pPr>
              <w:spacing w:line="240" w:lineRule="auto"/>
              <w:jc w:val="center"/>
              <w:rPr>
                <w:rFonts w:ascii="Times New Roman" w:eastAsia="Times New Roman" w:hAnsi="Times New Roman" w:cs="Times New Roman"/>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7A2A0F8A"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Totodată, Consiliul are obiecții referitor la excluderea alin. (2) al art. 29 din Legea nr. 544/1995, care prevede acordarea unor zile suplimentare de concediu anual în </w:t>
            </w:r>
            <w:r>
              <w:rPr>
                <w:rFonts w:ascii="Times New Roman" w:eastAsia="Times New Roman" w:hAnsi="Times New Roman" w:cs="Times New Roman"/>
                <w:sz w:val="24"/>
                <w:szCs w:val="24"/>
                <w:highlight w:val="white"/>
              </w:rPr>
              <w:lastRenderedPageBreak/>
              <w:t xml:space="preserve">funcție de vechimea în funcția publică. Eliminarea concediilor suplimentare prin modificările propuse conduc la diminuarea nivelului de protecție socială a judecătorilor, pe de altă parte, menținerea acestei garanții este justificată de necesitatea respectării principiului protecției drepturilor sociale dobândite, precum și de recunoașterea experienței profesionale și a contribuției de lungă durată a judecătorilor la înfăptuirea justiției. </w:t>
            </w:r>
          </w:p>
          <w:p w14:paraId="3AA32070" w14:textId="77777777" w:rsidR="00315874" w:rsidRDefault="00000000">
            <w:pPr>
              <w:spacing w:before="240" w:after="240"/>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sz w:val="24"/>
                <w:szCs w:val="24"/>
                <w:highlight w:val="white"/>
              </w:rPr>
              <w:t xml:space="preserve">De asemenea, Recomandarea CM/Rec(2010)12 a Comitetului Miniștrilor al Consiliului Europei privind judecătorii: independența, eficiența și responsabilitățile prevede, la pct. 54, că </w:t>
            </w:r>
            <w:r>
              <w:rPr>
                <w:rFonts w:ascii="Times New Roman" w:eastAsia="Times New Roman" w:hAnsi="Times New Roman" w:cs="Times New Roman"/>
                <w:b/>
                <w:bCs/>
                <w:sz w:val="24"/>
                <w:szCs w:val="24"/>
                <w:highlight w:val="white"/>
              </w:rPr>
              <w:t>remunerația judecătorilor trebuie să fie proporțională profesiei și responsabilităților acestora și suficientă pentru a-i proteja împotriva oricăror presiuni menite să influențeze deciziile lor</w:t>
            </w:r>
            <w:r>
              <w:rPr>
                <w:rFonts w:ascii="Times New Roman" w:eastAsia="Times New Roman" w:hAnsi="Times New Roman" w:cs="Times New Roman"/>
                <w:sz w:val="24"/>
                <w:szCs w:val="24"/>
                <w:highlight w:val="white"/>
              </w:rPr>
              <w:t xml:space="preserve">, iar la pct. 55 stabilește că </w:t>
            </w:r>
            <w:r>
              <w:rPr>
                <w:rFonts w:ascii="Times New Roman" w:eastAsia="Times New Roman" w:hAnsi="Times New Roman" w:cs="Times New Roman"/>
                <w:b/>
                <w:bCs/>
                <w:sz w:val="24"/>
                <w:szCs w:val="24"/>
                <w:highlight w:val="white"/>
              </w:rPr>
              <w:t>trebuie să existe garanții adecvate privind protecția socială a judecătorilor, inclusiv în ceea ce privește concediul, boala, maternitatea, paternitatea și pensionarea.</w:t>
            </w:r>
          </w:p>
          <w:p w14:paraId="1F20338B" w14:textId="77777777" w:rsidR="00315874" w:rsidRDefault="00000000">
            <w:pPr>
              <w:spacing w:before="240" w:after="24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Consiliul reține că dreptul la concediu suplimentar în funcție de vechimea în serviciu reprezintă o componentă a statutului social al judecătorului, instituită de legiuitor </w:t>
            </w:r>
            <w:r>
              <w:rPr>
                <w:rFonts w:ascii="Times New Roman" w:eastAsia="Times New Roman" w:hAnsi="Times New Roman" w:cs="Times New Roman"/>
                <w:sz w:val="24"/>
                <w:szCs w:val="24"/>
                <w:highlight w:val="white"/>
              </w:rPr>
              <w:lastRenderedPageBreak/>
              <w:t>în considerarea specificului activității judiciare, a gradului ridicat de responsabilitate și a necesității prevenirii suprasolicitării profesionale. Acest drept constituie o garanție statutară suplimentară acordată judecătorilor, distinctă de regimul general aplicabil altor categorii de personal.</w:t>
            </w:r>
          </w:p>
          <w:p w14:paraId="31662095" w14:textId="77777777" w:rsidR="00315874" w:rsidRDefault="00000000">
            <w:pPr>
              <w:spacing w:before="240" w:after="24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În același sens, Curtea Constituțională a Ucrainei a statuat, prin Hotărârea nr. 4-rp/2016, că asigurarea materială și socială corespunzătoare a judecătorilor constituie una dintre garanțiile independenței judiciare, iar conținutul și întinderea garanțiilor independenței judecătorilor stabilite prin lege </w:t>
            </w:r>
            <w:r>
              <w:rPr>
                <w:rFonts w:ascii="Times New Roman" w:eastAsia="Times New Roman" w:hAnsi="Times New Roman" w:cs="Times New Roman"/>
                <w:b/>
                <w:bCs/>
                <w:sz w:val="24"/>
                <w:szCs w:val="24"/>
                <w:highlight w:val="white"/>
              </w:rPr>
              <w:t>nu trebuie diminuate prin adoptarea unor noi acte normative</w:t>
            </w:r>
            <w:r>
              <w:rPr>
                <w:rFonts w:ascii="Times New Roman" w:eastAsia="Times New Roman" w:hAnsi="Times New Roman" w:cs="Times New Roman"/>
                <w:sz w:val="24"/>
                <w:szCs w:val="24"/>
                <w:highlight w:val="white"/>
              </w:rPr>
              <w:t xml:space="preserve">. Curtea a reținut expres că </w:t>
            </w:r>
            <w:r>
              <w:rPr>
                <w:rFonts w:ascii="Times New Roman" w:eastAsia="Times New Roman" w:hAnsi="Times New Roman" w:cs="Times New Roman"/>
                <w:b/>
                <w:bCs/>
                <w:sz w:val="24"/>
                <w:szCs w:val="24"/>
                <w:highlight w:val="white"/>
              </w:rPr>
              <w:t>„asigurarea materială și socială adecvată a judecătorilor reprezintă una dintre garanțiile independenței acestora”</w:t>
            </w:r>
            <w:r>
              <w:rPr>
                <w:rFonts w:ascii="Times New Roman" w:eastAsia="Times New Roman" w:hAnsi="Times New Roman" w:cs="Times New Roman"/>
                <w:sz w:val="24"/>
                <w:szCs w:val="24"/>
                <w:highlight w:val="white"/>
              </w:rPr>
              <w:t>, iar reducerea nivelului unor asemenea garanții afectează însăși garanția constituțională a independenței judecătorilor.</w:t>
            </w:r>
          </w:p>
          <w:p w14:paraId="35FCB9BD" w14:textId="77777777" w:rsidR="00315874" w:rsidRDefault="00000000">
            <w:pPr>
              <w:spacing w:before="240" w:after="24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Într-o decizie mai recentă (Decizia Curții Constituționale a Ucrainei nr. 3-r(II)/2024), Curtea a statuat că securitatea materială și socială adecvată a judecătorilor, inclusiv dreptul la remunerație judiciară și alte garanții constituționale ale independenței și inviolabilității </w:t>
            </w:r>
            <w:r>
              <w:rPr>
                <w:rFonts w:ascii="Times New Roman" w:eastAsia="Times New Roman" w:hAnsi="Times New Roman" w:cs="Times New Roman"/>
                <w:sz w:val="24"/>
                <w:szCs w:val="24"/>
                <w:highlight w:val="white"/>
              </w:rPr>
              <w:lastRenderedPageBreak/>
              <w:t>sistemului judiciar, se extind la toți judecătorii și trebuie asigurate de stat pe baza principiului unui statut uniform al judecătorilor, fără nicio reducere a nivelului acestor garanții.</w:t>
            </w:r>
          </w:p>
          <w:p w14:paraId="3B6E57AF" w14:textId="77777777" w:rsidR="00315874" w:rsidRDefault="00000000">
            <w:pPr>
              <w:spacing w:before="240" w:after="24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Prin urmare, deși obiectivul uniformizării regimului concediilor și al optimizării cheltuielilor bugetare este unul legitim, Consiliul consideră că excluderea dreptului la concediu suplimentar acordat judecătorilor în funcție de vechimea în serviciu reprezintă o diminuare a unei garanții statutare existente, susceptibilă să afecteze nivelul de protecție acordat independenței judiciare.</w:t>
            </w:r>
          </w:p>
          <w:p w14:paraId="1326AE1E" w14:textId="77777777" w:rsidR="00315874" w:rsidRDefault="00000000">
            <w:pPr>
              <w:spacing w:before="240" w:after="24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În lipsa unei justificări obiective și proporționale care să demonstreze necesitatea unei asemenea măsuri în raport cu statutul constituțional distinct al judecătorului, Consiliul Superior al Magistraturii nu susține excluderea alin. (2) al art. 29 din Legea nr. 544/1995 și propune menținerea reglementării în vigoare.</w:t>
            </w:r>
          </w:p>
          <w:p w14:paraId="4DF26AB2" w14:textId="77777777" w:rsidR="00315874" w:rsidRDefault="00000000">
            <w:pPr>
              <w:spacing w:before="240" w:after="24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Prin urmare, analizând proiectul actului normativ și argumentele prezentate în nota de fundamentare, Consiliul Superior al Magistraturii avizează proiectul înaintat cu obiecțiile enunțate.</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67F41889"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 xml:space="preserve">Nu se acceptă. </w:t>
            </w:r>
          </w:p>
          <w:p w14:paraId="1A5E32DD"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2AD1FBC3"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Poziția Ministerului, inclusiv referitor la excluderea alin. (2) al art. 29 din Legea nr. 544/1995, este cea expusă la pct. 8 (avizul Ministerului Justiției) din prezenta Sinteză, aplicabilă în integralitate prezentei obiecții a Consiliului Superior al Magistraturii.</w:t>
            </w:r>
          </w:p>
          <w:p w14:paraId="54B43983"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Totodată </w:t>
            </w:r>
            <w:r>
              <w:rPr>
                <w:rFonts w:ascii="Times New Roman" w:eastAsia="Times New Roman" w:hAnsi="Times New Roman" w:cs="Times New Roman"/>
                <w:sz w:val="24"/>
                <w:szCs w:val="24"/>
              </w:rPr>
              <w:t xml:space="preserve">proiectul urmărește eliminarea unor concedii suplimentare pentru vechime în muncă pentru toate categoriile cu menținerea concediilor suplimentare care se acorda ca și garanții suplimentare. </w:t>
            </w:r>
          </w:p>
        </w:tc>
      </w:tr>
      <w:tr w:rsidR="00315874" w14:paraId="1A838DD8" w14:textId="77777777">
        <w:tc>
          <w:tcPr>
            <w:tcW w:w="735" w:type="dxa"/>
            <w:tcBorders>
              <w:top w:val="single" w:sz="6" w:space="0" w:color="999999"/>
              <w:left w:val="single" w:sz="6" w:space="0" w:color="999999"/>
              <w:bottom w:val="single" w:sz="6" w:space="0" w:color="999999"/>
              <w:right w:val="single" w:sz="6" w:space="0" w:color="999999"/>
            </w:tcBorders>
            <w:tcMar>
              <w:top w:w="0" w:type="dxa"/>
              <w:bottom w:w="0" w:type="dxa"/>
            </w:tcMar>
          </w:tcPr>
          <w:p w14:paraId="5EB07E68" w14:textId="77777777" w:rsidR="00315874"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28.</w:t>
            </w:r>
          </w:p>
        </w:tc>
        <w:tc>
          <w:tcPr>
            <w:tcW w:w="2835" w:type="dxa"/>
            <w:tcBorders>
              <w:top w:val="single" w:sz="6" w:space="0" w:color="999999"/>
              <w:left w:val="single" w:sz="6" w:space="0" w:color="999999"/>
              <w:bottom w:val="single" w:sz="6" w:space="0" w:color="999999"/>
              <w:right w:val="single" w:sz="6" w:space="0" w:color="999999"/>
            </w:tcBorders>
            <w:tcMar>
              <w:top w:w="0" w:type="dxa"/>
              <w:bottom w:w="0" w:type="dxa"/>
            </w:tcMar>
          </w:tcPr>
          <w:p w14:paraId="33EE4DE6" w14:textId="77777777" w:rsidR="00315874" w:rsidRDefault="00000000">
            <w:pPr>
              <w:spacing w:line="240" w:lineRule="auto"/>
              <w:ind w:left="14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Serviciul Prevenirea și Combaterea Spălării Banilor</w:t>
            </w:r>
          </w:p>
          <w:p w14:paraId="582F3C88" w14:textId="77777777" w:rsidR="00315874" w:rsidRDefault="00000000">
            <w:pPr>
              <w:spacing w:line="240" w:lineRule="auto"/>
              <w:ind w:left="140"/>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Nr. 01/4-18-1104 din 01.07.2026</w:t>
            </w: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27320E4A"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În condițiile actuale ale Legii nr. 308/2017 cu privire la prevenirea și combaterea spălării banilor și finanțării terorismului (în continuare – Legea nr. 308/2017), angajatul Serviciului care are o vechime în muncă de peste 15 ani, beneficiază de un concediu de odihnă anual, constituit din concediul de bază și concediul suplimentar, cu o durată totală de 50 de zile calendaristice. Astfel, în scop de exemplificare, în cazul în care angajatul Serviciul aflat în ipoteza menționată, decide utilizarea integrală și continuă a concediului de odihnă anual de 50 de zile calendaristice, perioada concediului este echivalentă cu 7 săptămâni lucrătoare și o zi lucrătoare, echivalent unui număr total de 36 de zile lucrătoare.</w:t>
            </w:r>
          </w:p>
          <w:p w14:paraId="465B0167"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Efectuând același calcul estimativ, conform art. 31 din Legea nr. 308/2017, în vigoare la moment, în cazul angajaților Serviciului cu vechimea în muncă mai mare de 5 ani, și respectiv mai mare de 10 ani, se atestă că, proiectul actului normativ diminuează durata concediului de odihnă anual, de la 30 zile lucrătoare, și respectiv 33 zile lucrătoare, la o durată generală de 28 de zile lucrătoare. Prin urmare, indiferent de categoria de vechime analizată, efectul juridic al modificării propuse constă în reducerea duratei concediului de odihnă anual de care beneficiază în prezent angajații Serviciului, ceea ce confirmă că modificarea art. 31 din Legea nr. 308/2017 </w:t>
            </w:r>
            <w:r>
              <w:rPr>
                <w:rFonts w:ascii="Times New Roman" w:eastAsia="Times New Roman" w:hAnsi="Times New Roman" w:cs="Times New Roman"/>
                <w:sz w:val="24"/>
                <w:szCs w:val="24"/>
                <w:highlight w:val="white"/>
              </w:rPr>
              <w:lastRenderedPageBreak/>
              <w:t>nu se limitează la schimbarea modalității de exprimare a duratei concediului, ci determină diminuarea efectivă a unei garanții sociale recunoscute de lege.</w:t>
            </w:r>
          </w:p>
          <w:p w14:paraId="2C51A210"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Un alt aspect care afectează caracterul echitabil și nediscriminatoriu al modificărilor propuse la art. 31 din Legea nr. 308/2017, cât și principiul echilibrului între reglementările concurente, se referă la abordarea autorului cu privire la concediile de odihnă anuale suplimentare. Astfel, în privința unor categorii de funcționari publici (din cadrul Serviciului Vamal, sistemului administrației penitenciare, Ministerului Afacerilor Interne, organelor Procuraturii, Serviciului de Informații și Securitate, etc.), autorul a menținut garanția socială existentă sub forma concediilor de odihnă anuale suplimentare, chiar dacă a fost expusă într-o redacție nouă, iar în privința angajaților Serviciului, această garanție socială a fost exclusă.</w:t>
            </w:r>
          </w:p>
          <w:p w14:paraId="52C30AE4"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În aceste condiții, soluția normativă propusă pentru modificarea art. 31 din Legea nr. 308/2017 nu poate fi calificată drept o măsură de uniformizare a regimului concediilor de odihnă anuale, întrucât proiectul menține regimuri juridice distincte pentru alte categorii de personal din sectorul public, inclusiv mecanisme de acordare a concediului suplimentar. Prin urmare, diferența de tratament instituită exclusiv în privința </w:t>
            </w:r>
            <w:r>
              <w:rPr>
                <w:rFonts w:ascii="Times New Roman" w:eastAsia="Times New Roman" w:hAnsi="Times New Roman" w:cs="Times New Roman"/>
                <w:sz w:val="24"/>
                <w:szCs w:val="24"/>
                <w:highlight w:val="white"/>
              </w:rPr>
              <w:lastRenderedPageBreak/>
              <w:t>angajaților Serviciului impunea o justificare distinctă în Nota de fundamentare, întemeiată pe criterii obiective și verificabile, care însă lipsește.</w:t>
            </w:r>
          </w:p>
          <w:p w14:paraId="1F85A6D2"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Astfel, sub aspectul temeiului legal care a determinat autorul să elaboreze proiectul de act normativ, în Nota de fundamentare este indicată, necesitatea de aliniere a regimului concediilor de odihnă la practicile moderne europene, fără ca autorul să prezinte careva argumente în sensul dat. Simpla referire la practicile moderne europene, fără identificarea acestora în conținutul Notei de fundamentare, fără reflectarea elementelor distinctive, fără efectuarea unei analize de aplicare practică și fără determinarea formulei, care asigură în mod cel mai optim și eficient protecția dreptului social al angajatului, nu corespunde exigențelor de fundamentare prevăzute la art. 30 alin. (1) lit. b) din Legea nr. 100/2017 cu privire la actele normative.</w:t>
            </w:r>
          </w:p>
          <w:p w14:paraId="655D7F88"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Or, simpla referință la categoria abstractă „practici moderne europene”, fără ca aceste practici să fie identificate și determinate din punct de vedere practic, cât și confirmate prin date și informații exacte, lipsește de conținut inițiativa legislativă și atribuie un caracter formal temeiului legal invocat al proiectului.</w:t>
            </w:r>
          </w:p>
          <w:p w14:paraId="4EF27BEB"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Urmează a se ține cont de faptul că, Nota de fundamentare, la capitolul obiective urmărite și soluții </w:t>
            </w:r>
            <w:r>
              <w:rPr>
                <w:rFonts w:ascii="Times New Roman" w:eastAsia="Times New Roman" w:hAnsi="Times New Roman" w:cs="Times New Roman"/>
                <w:sz w:val="24"/>
                <w:szCs w:val="24"/>
                <w:highlight w:val="white"/>
              </w:rPr>
              <w:lastRenderedPageBreak/>
              <w:t>propuse, nu conține trimiteri la bune practici aplicate în statele membre ale UE sau analiza discrepanțelor privind durata concediilor de odihnă anuale ale diferitor categorii de funcționari publici, la fel cum nu conține vreo justificare sau analiză privind menținerea discreționară a dreptului la concediu de odihnă anual suplimentar în privința unor categorii de funcționari publici și lezarea acestui drept prin excluderea garanției sociale acordate, în raport cu alte categorii de funcționari publici.</w:t>
            </w:r>
          </w:p>
          <w:p w14:paraId="4788B558"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În același timp, Nota de fundamentare nu explică din ce considerente criteriile utilizate pentru menținerea concediului de odihnă anual suplimentar în cazul altor categorii de personal din sectorul public nu au fost aplicate și în privința angajaților Serviciului și nici nu identifică elementele obiective care ar justifica instituirea unui regim juridic diferit. În consecință, fundamentarea proiectului nu permite verificarea rațiunii legislative, care a determinat excluderea acestei garanții sociale doar în privința angajaților Serviciului.</w:t>
            </w:r>
          </w:p>
          <w:p w14:paraId="62A1DC0A"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În lipsa unei motivări corespunzătoare, bazate pe date și informații exacte, rezultate ale studiilor în domeniu sau a practicilor adoptate într-o manieră majoritară de către statele membre ale Uniunii Europene, reflectate în mod concret în Nota de fundamentare, inițiativa comportă un caracter arbitrar, nefondat și discriminatoriu, sub aspectul </w:t>
            </w:r>
            <w:r>
              <w:rPr>
                <w:rFonts w:ascii="Times New Roman" w:eastAsia="Times New Roman" w:hAnsi="Times New Roman" w:cs="Times New Roman"/>
                <w:sz w:val="24"/>
                <w:szCs w:val="24"/>
                <w:highlight w:val="white"/>
              </w:rPr>
              <w:lastRenderedPageBreak/>
              <w:t>duratei minime a concediului de odihnă anual, a reperului juridic pentru acordarea concediului de odihnă anual suplimentar, cât și a categoriilor de subiecți din sectorul public care pot beneficia de acesta.</w:t>
            </w:r>
          </w:p>
          <w:p w14:paraId="76835B20"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Mai mult decât atât, Nota de fundamentare nu demonstrează existența unei relații de necesitate între obiectivele declarate ale proiectului și eliminarea concediului de odihnă anual suplimentar pentru angajații Serviciului. </w:t>
            </w:r>
          </w:p>
          <w:p w14:paraId="284BBF41"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Deși autorul invocă uniformizarea regimului concediilor și eliminarea tratamentelor diferențiate, soluția legislativă propusă produce efectul invers, prin menținerea unor regimuri juridice distincte pentru alte categorii de personal și excluderea acestei garanții sociale doar în privința angajaților Serviciului.</w:t>
            </w:r>
          </w:p>
          <w:p w14:paraId="7CF4F85A"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Conform art. 7 alin. (1) al Directivei 2003/88/CE a Parlamentului European și a Consiliului din 4 noiembrie 2003 privind anumite aspecte ale organizării timpului de lucru, statele membre iau măsurile necesare pentru ca orice lucrător să beneficieze de un concediu anual plătit de cel puțin patru săptămâni în conformitate cu condițiile de obținere și de acordare a concediilor prevăzute de legislațiile și practicile naționale.</w:t>
            </w:r>
          </w:p>
          <w:p w14:paraId="5CE8896F"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Astfel, standardele europene impun un prag minim al duratei concediului de odihnă anual de care urmează să </w:t>
            </w:r>
            <w:r>
              <w:rPr>
                <w:rFonts w:ascii="Times New Roman" w:eastAsia="Times New Roman" w:hAnsi="Times New Roman" w:cs="Times New Roman"/>
                <w:sz w:val="24"/>
                <w:szCs w:val="24"/>
                <w:highlight w:val="white"/>
              </w:rPr>
              <w:lastRenderedPageBreak/>
              <w:t>beneficieze orice angajat, inclusiv funcționarii din cadrul sectorului public, stabilind astfel un standard unic care nu poate fi modificat în sensul diminuării și al afectării esenței dreptului social garantat. Este important de menționat că, dreptul comunitar nu împiedică și nu restricționează sau limitează în nici un fel, dreptul discreționar al statelor membre de a prevedea în legislația națională, o durată a concediului de odihnă anual mai mare sau să prevadă un mecanism de acordare a concediului de odihnă anual suplimentar, în dependență de diferite criterii obiective.</w:t>
            </w:r>
          </w:p>
          <w:p w14:paraId="5FED4129"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Astfel, potrivit Raportului – „Drepturi bazate pe vechimea în muncă: întinderea drepturilor, dezbateri de politici și cercetare”, adoptat de Eurofound (2019), Oficiul publicărilor Uniunii Europene, Luxembourg (www.eurofound.europa.eu/en/publications/all/seniority-based-entitlements-extet-policy-debates-and-research), multe state din Uniunea Europeană dispun în cadrul normativ național mecanisme de acordare a concediului de odihnă anual suplimentar, bazat pe vechimea în muncă, vârstă sau mandatul deținut. Atunci când garanția socială este dependentă de vârsta salariatului, cel mai frecvent zilele suplimentare de concediu de odihnă anual, sunt diferențiate în dependență de două limite de vârstă. Cu titlu de exemplu, potrivit tabelului prezentat în cadrul </w:t>
            </w:r>
            <w:r>
              <w:rPr>
                <w:rFonts w:ascii="Times New Roman" w:eastAsia="Times New Roman" w:hAnsi="Times New Roman" w:cs="Times New Roman"/>
                <w:sz w:val="24"/>
                <w:szCs w:val="24"/>
                <w:highlight w:val="white"/>
              </w:rPr>
              <w:lastRenderedPageBreak/>
              <w:t>Raportului (pag. 18), statele care prevăd zile suplimentare a concediului de odihnă anual, în cadrul actelor legislative și nu ca parte componentă a contractului colectiv de muncă, se numără: Austria (durata concediului de odihnă anual - 25 zile și concediul suplimentar - 5 zile), Slovacia (durata concediului de odihnă anual - 20 zile și concediul suplimentar - 5 zile), Norvegia (durata concediului de odihnă anual - 25 zile și concediul suplimentar - 5 zile), Ungaria (durata concediului de odihnă anual - 20 zile și concediul suplimentar - 10 zile, începând cu vârsta de 45 de ani). Astfel, rezultă că însăși analiza comparativă invocată în contextul practicilor europene demonstrează inexistența unui model legislativ unic cu privire la concediile de odihnă anuale suplimentare. Dimpotrivă, acordarea unor asemenea garanții sociale reprezintă o opțiune legislativă utilizată de mai multe state europene, în funcție de politica socială și de particularitățile anumitor categorii profesionale. În aceste condiții, simpla invocare a alinierii la practicile europene nu poate constitui prin ea însăși o justificare suficientă pentru eliminarea concediului de odihnă anual suplimentar prevăzut de art. 31 din Legea nr. 308/2017.</w:t>
            </w:r>
          </w:p>
          <w:p w14:paraId="2BE9B9EE"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În contextul modificărilor propuse cu privire la reducerea garanțiile sociale acordate angajaților Serviciului, cât și reglementarea discriminatorie și </w:t>
            </w:r>
            <w:r>
              <w:rPr>
                <w:rFonts w:ascii="Times New Roman" w:eastAsia="Times New Roman" w:hAnsi="Times New Roman" w:cs="Times New Roman"/>
                <w:sz w:val="24"/>
                <w:szCs w:val="24"/>
                <w:highlight w:val="white"/>
              </w:rPr>
              <w:lastRenderedPageBreak/>
              <w:t>nejustificată în raport cu alte categorii de funcționari publici angajați ai autorităților și instituțiilor ce constituie parte componentă a sistemului național de prevenire și combatere a spălării banilor și finanțării terorismului, se atenționează autorul despre faptul că, la elaborarea proiectului în cauză nu a fost luată în considerație, o altă inițiativă legislativă ce vizează consolidarea cadrului instituțional al Serviciului și fortificarea statului angajaților.</w:t>
            </w:r>
          </w:p>
          <w:p w14:paraId="408EB8DA"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Totodată, se constată că, obiectivele declarate ale proiectului nu se regăsesc în mod consecvent în soluțiile normative propuse pentru modificarea art. 31 din Legea nr. 308/2017. Deși, autorul afirmă în Nota de fundamentare că proiectul urmărește „uniformizarea regimului concediilor”, eliminarea tratamentelor diferențiate între categorii similare de personal din sectorul public și instituirea unor criterii uniforme de acordare, analiza tabelului comparativ demonstrează că aceste obiective nu sunt transpuse uniform în conținutul proiectului. Astfel, pentru mai multe categorii de personal din sectorul public sunt menținute durate distincte ale concediului de odihnă anual, concedii suplimentare sau alte garanții sociale specifice, în timp ce în privința angajaților Serviciului este propusă eliminarea integrală a concediului de odihnă anual suplimentar acordat în </w:t>
            </w:r>
            <w:r>
              <w:rPr>
                <w:rFonts w:ascii="Times New Roman" w:eastAsia="Times New Roman" w:hAnsi="Times New Roman" w:cs="Times New Roman"/>
                <w:sz w:val="24"/>
                <w:szCs w:val="24"/>
                <w:highlight w:val="white"/>
              </w:rPr>
              <w:lastRenderedPageBreak/>
              <w:t>funcție de vechimea în muncă. În aceste condiții, soluția legislativă propusă pentru art. 31 din Legea nr. 308/2017 nu apare ca o simplă măsură de uniformizare, ci ca o opțiune normativă distinctă, care necesită o justificare proprie, întemeiată pe criterii obiective, verificabile și aplicabile categoriei profesionale vizate.</w:t>
            </w:r>
          </w:p>
          <w:p w14:paraId="3E56516C"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În același timp, autorul susține că proiectul urmărește consolidarea responsabilității bugetar-fiscale și gestionarea prudentă a resurselor publice, inclusiv prin reducerea obligațiilor financiare generate de acumularea concediilor neutilizate. Totuși, Nota de fundamentare nu conține metodologia utilizată pentru determinarea valorii obligațiilor financiare invocate, nu prezintă calcule economico-financiare pe fiecare categorie de personal vizată, nu individualizează impactul financiar al modificării art. 31 din Legea nr. 308/2017 și nu demonstrează contribuția concretă a acestei modificări la atingerea economiilor bugetare declarate. În lipsa acestor elemente, nu poate fi verificată existența unei legături rezonabile de proporționalitate între obiectivul bugetar invocat și eliminarea unei garanții sociale prevăzute prin lege specială pentru personalul Serviciului.</w:t>
            </w:r>
          </w:p>
          <w:p w14:paraId="107E67FD"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Totodată, Nota de fundamentare nu stabilește raportul dintre impactul financiar estimat de până la 5% din fondul de salarizare și economiile pretinse a fi obținute prin </w:t>
            </w:r>
            <w:r>
              <w:rPr>
                <w:rFonts w:ascii="Times New Roman" w:eastAsia="Times New Roman" w:hAnsi="Times New Roman" w:cs="Times New Roman"/>
                <w:sz w:val="24"/>
                <w:szCs w:val="24"/>
                <w:highlight w:val="white"/>
              </w:rPr>
              <w:lastRenderedPageBreak/>
              <w:t>eliminarea concediului anual suplimentar pentru anumite categorii de personal și nu individualizează contribuția modificării art. 31 din Legea nr. 308/2017 la realizarea acestor economii. Mai mult decât atât, chiar acceptând ipoteza existenței unui impact bugetar generat de concediile suplimentare, Nota de fundamentare nu explică din ce considerente autorul propune eliminarea acestora pentru anumite categorii de personal, în timp ce pentru alte autorități publice sunt menținute integral sau parțial concedii suplimentare sau mecanisme alternative de acordare a acestora. Prin urmare, nici obiectivul consolidării disciplinei financiar-bugetare și nici cel al uniformizării garanțiilor sociale nu sunt reflectate într-o manieră suficient de consecventă în soluțiile normative propuse, ceea ce împiedică verificarea caracterului obiectiv, rezonabil și proporțional al diferenței de tratament instituite prin proiect.</w:t>
            </w:r>
          </w:p>
          <w:p w14:paraId="5C6820E3"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În aceeași ordine de idei, deși Nota de fundamentare recunoaște expres că modificarea mecanismului de calcul al indemnizației de concediu va conduce la majorarea cuantumului indemnizației aferente fiecărei zile de concediu și prezintă exemple privind impactul financiar al acestei modificări, autorul nu analizează efectul cumulat al majorării indemnizației și cel al reducerii numărului de zile de concediu în privința angajaților </w:t>
            </w:r>
            <w:r>
              <w:rPr>
                <w:rFonts w:ascii="Times New Roman" w:eastAsia="Times New Roman" w:hAnsi="Times New Roman" w:cs="Times New Roman"/>
                <w:sz w:val="24"/>
                <w:szCs w:val="24"/>
                <w:highlight w:val="white"/>
              </w:rPr>
              <w:lastRenderedPageBreak/>
              <w:t>Serviciului. La fel, nu sunt prezentate calcule economico-financiare individualizate care să demonstreze în ce măsură eliminarea concediului anual suplimentar prevăzut de art. 31 din Legea nr. 308/2017 contribuie efectiv la realizarea economiilor bugetare invocate. În lipsa unei asemenea analize, nu poate fi verificată existența unei legături obiective între măsura propusă și obiectivul declarat al consolidării disciplinei financiar-bugetare.</w:t>
            </w:r>
          </w:p>
          <w:p w14:paraId="21C28559"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În contextul modificărilor propuse cu privire la reducerea garanțiilor sociale acordate angajaților Serviciului, urmează a fi avută în vedere și evoluția recentă a cadrului normativ aferent consolidării instituționale a Serviciului. Astfel, în ședința de Guvern din 17 iunie 2026, a fost aprobat proiectul de lege nr. 149/MJ/SPCSB/2026 pentru modificarea unor acte normative (consolidarea cadrului instituțional și certificarea în domeniul prevenirii și combaterii spălării banilor și finanțării terorismului), fiind instituit statutul de ofițer de informații financiare și reglementate atribuțiile specifice de acces, gestiune și analiză a informațiilor financiare cu caracter sensibil, de identificare a suspiciunilor privind săvârșirea infracțiunii de spălarea banilor, infracțiuni predicat sau finanțarea terorismului, de supraveghere și exercitare a activităților de control a </w:t>
            </w:r>
            <w:r>
              <w:rPr>
                <w:rFonts w:ascii="Times New Roman" w:eastAsia="Times New Roman" w:hAnsi="Times New Roman" w:cs="Times New Roman"/>
                <w:sz w:val="24"/>
                <w:szCs w:val="24"/>
                <w:highlight w:val="white"/>
              </w:rPr>
              <w:lastRenderedPageBreak/>
              <w:t>entităților raportoare, de instruire a entităților raportoare în domeniul prevenirii și combaterii spălării banilor și finanțării terorismului, cât și de exercitare a competențelor și îndeplinirea obligațiilor, care derivă din calitatea de membru cu drepturi depline a Grupului EGMONT.</w:t>
            </w:r>
          </w:p>
          <w:p w14:paraId="3E827BDA" w14:textId="77777777" w:rsidR="00315874" w:rsidRDefault="00315874">
            <w:pPr>
              <w:jc w:val="both"/>
              <w:rPr>
                <w:rFonts w:ascii="Times New Roman" w:eastAsia="Times New Roman" w:hAnsi="Times New Roman" w:cs="Times New Roman"/>
                <w:sz w:val="24"/>
                <w:szCs w:val="24"/>
                <w:highlight w:val="white"/>
              </w:rPr>
            </w:pPr>
          </w:p>
          <w:p w14:paraId="2ED62FD7"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La data de 26 iunie 2026, proiectul de lege nr. 149/MJ/SPCSB/2026 a fost adoptat de Parlament în prima lectură, confirmând opțiunea legislativă de consolidare a statutului profesional al personalului și cadrului instituțional al Serviciului.</w:t>
            </w:r>
          </w:p>
          <w:p w14:paraId="69F6162E"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În aceste condiții, soluția propusă prin prezentul proiect de lege, care urmărește diminuarea garanțiilor sociale acordate personalului Serviciului prin eliminarea concediului anual suplimentar, nu este compatibilă cu direcția de politică legislativă deja confirmată de Parlament și afectează coerența procesului de consolidare instituțională a Serviciului.</w:t>
            </w:r>
          </w:p>
          <w:p w14:paraId="20BDE311"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Prin urmare, proiectul de lege nr. 149/MJ/SPCSB/2026, aprobat de Guvern și adoptat de Parlament în prima lectură, confirmă direcția de consolidare a capacității instituționale a Serviciului și de fortificare a statutului personalului care exercită atribuții specifice unității de informații financiare (Financial Intelligence Unit - FIU). </w:t>
            </w:r>
            <w:r>
              <w:rPr>
                <w:rFonts w:ascii="Times New Roman" w:eastAsia="Times New Roman" w:hAnsi="Times New Roman" w:cs="Times New Roman"/>
                <w:sz w:val="24"/>
                <w:szCs w:val="24"/>
                <w:highlight w:val="white"/>
              </w:rPr>
              <w:lastRenderedPageBreak/>
              <w:t>În acest context, soluția propusă la art. XVIII din proiectul supus avizării, în partea ce vizează eliminarea concediului de odihnă anual suplimentar acordat în funcție de vechimea în muncă, nu este compatibilă cu direcția de politică legislativă deja promovată prin proiectul nominalizat și afectează coerența procesului de consolidare instituțională a Serviciului.</w:t>
            </w:r>
          </w:p>
          <w:p w14:paraId="2FBCBC6C"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Reiterând principiile activității de legiferare, privind echilibrul între reglementări concurente, oportunitatea, coerența, consecutivitatea și predictibilitatea normelor juridice, Serviciul consideră că, soluția legislativă propusă pentru modificarea art. 31 din Legea nr. 308/2017 nu este susținută de o fundamentare suficientă sub aspectul necesității și proporționalității măsurii, nu justifică în mod individualizat diferența de tratament instituită în raport cu alte categorii de personal din sectorul public pentru care mecanismele de acordare a concediului suplimentar au fost menținute și nu asigură corelarea cu procesul de consolidare instituțională a Serviciului aflat în curs de promovare.</w:t>
            </w:r>
          </w:p>
          <w:p w14:paraId="76954C61"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Având în vedere considerentele menționate mai sus, Serviciul subliniază că, nu susține redacția propusă a art. 31 din Legea nr. 308/2017 în partea ce vizează excluderea concediului de odihnă anual suplimentar acordat în funcție de vechimea în muncă și propune revizuirea art. </w:t>
            </w:r>
            <w:r>
              <w:rPr>
                <w:rFonts w:ascii="Times New Roman" w:eastAsia="Times New Roman" w:hAnsi="Times New Roman" w:cs="Times New Roman"/>
                <w:sz w:val="24"/>
                <w:szCs w:val="24"/>
                <w:highlight w:val="white"/>
              </w:rPr>
              <w:lastRenderedPageBreak/>
              <w:t>XVIII din proiect, prin menținerea mecanismului de acordare a concediului de odihnă anual suplimentar în funcție de vechimea în muncă sau de specificul atribuțiilor exercitate de personalul Serviciului, într-o manieră compatibilă cu noua modalitate de exprimare a duratei concediului în zile lucrătoare și cu obiectivele de consolidare a statutului ofițerului de informații financiare.</w:t>
            </w:r>
          </w:p>
          <w:p w14:paraId="58A01A93"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În consecință, analiza coroborată a proiectului de lege și a Notei de fundamentare relevă că, soluția legislativă propusă pentru modificarea art. 31 din Legea nr. 308/2017 nu este însoțită de o fundamentare individualizată care să permită verificarea necesității, proporționalității și coerenței excluderii concediului de odihnă anual suplimentar acordat angajaților Serviciului. Totodată, Nota de fundamentare nu identifică criteriile obiective care ar justifica instituirea unui regim juridic diferit în raport cu alte categorii de personal din sectorul public și nici nu demonstrează că diminuarea acestei garanții sociale contribuie în mod efectiv la realizarea obiectivelor declarate ale proiectului. În lipsa acestor elemente de fundamentare, soluția normativă propusă nu permite verificarea necesității și proporționalității soluției legislative propuse în raport cu cerințele de fundamentare prevăzute de art. 30 și cu principiile activității de legiferare consacrate de art. 3 din Legea nr. 100/2017.</w:t>
            </w:r>
          </w:p>
          <w:p w14:paraId="112864A1"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 xml:space="preserve">  Nu în ultimul rând, Serviciul propune menținerea mecanismului de acordare a concediului de odihnă anual suplimentar într-o formulă compatibilă cu exprimarea duratei concediului în zile lucrătoare, astfel încât procesul de uniformizare a cadrului normativ să nu conducă la diminuarea garanțiilor sociale prevăzute de legea specială pentru personalul Serviciului și să asigure coerența cu obiectivele declarate ale proiectului, precum și cu măsurile legislative recente privind consolidarea statutului ofițerului de informații financiare. Serviciul își exprimă convingerea că, observațiile și propunerile formulate în prezentul aviz vor fi luate în considerare în procesul definitivării proiectului de lege, astfel încât soluția legislativă finală să asigure menținerea garanțiilor sociale justificate de specificul atribuțiilor exercitate de personalul Serviciului, fără a afecta coerența și consecvența politicii legislative promovate în domeniu.</w:t>
            </w:r>
          </w:p>
          <w:p w14:paraId="55A92531" w14:textId="77777777" w:rsidR="00315874" w:rsidRDefault="00315874">
            <w:pPr>
              <w:jc w:val="both"/>
              <w:rPr>
                <w:rFonts w:ascii="Times New Roman" w:eastAsia="Times New Roman" w:hAnsi="Times New Roman" w:cs="Times New Roman"/>
                <w:sz w:val="24"/>
                <w:szCs w:val="24"/>
                <w:highlight w:val="white"/>
              </w:rPr>
            </w:pPr>
          </w:p>
          <w:p w14:paraId="5504A530" w14:textId="77777777" w:rsidR="00315874" w:rsidRDefault="00315874">
            <w:pPr>
              <w:jc w:val="both"/>
              <w:rPr>
                <w:rFonts w:ascii="Times New Roman" w:eastAsia="Times New Roman" w:hAnsi="Times New Roman" w:cs="Times New Roman"/>
                <w:sz w:val="24"/>
                <w:szCs w:val="24"/>
                <w:highlight w:val="white"/>
              </w:rPr>
            </w:pP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2E41FADB"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Nu se acceptă.</w:t>
            </w:r>
          </w:p>
          <w:p w14:paraId="344163EC"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4BA32FB2"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Poziția Ministerului privind menținerea excluderii concediului suplimentar pentru vechime este cea expusă la pct. 8 (Ministerul Justiției), pct. 13 (Ministerul Afacerilor Interne) și pct. 30 (Centrul Național Anticorupție) din prezenta Sinteză. Precizări specifice avizului Serviciului:</w:t>
            </w:r>
          </w:p>
          <w:p w14:paraId="4E69AD22" w14:textId="783E5CDE"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Calculul comparativ prezentat (echivalarea celor 50 de zile calendaristice cu aprox. 36 de zile lucrătoare) confirmă chiar caracterul de garanție accesorie, generatoare de solduri mari, a concediului suplimentar pentru vechime — fenomenul pe care proiectul urmărește să îl corecteze. Durata de bază propusă (28 de zile lucrătoare) este superioară </w:t>
            </w:r>
            <w:r w:rsidRPr="00A62E1D">
              <w:rPr>
                <w:rFonts w:ascii="Times New Roman" w:eastAsia="Times New Roman" w:hAnsi="Times New Roman" w:cs="Times New Roman"/>
                <w:sz w:val="24"/>
                <w:szCs w:val="24"/>
                <w:highlight w:val="white"/>
              </w:rPr>
              <w:t>standardului minim de 24 de zile lucrătoare</w:t>
            </w:r>
            <w:r>
              <w:rPr>
                <w:rFonts w:ascii="Times New Roman" w:eastAsia="Times New Roman" w:hAnsi="Times New Roman" w:cs="Times New Roman"/>
                <w:sz w:val="24"/>
                <w:szCs w:val="24"/>
                <w:highlight w:val="white"/>
              </w:rPr>
              <w:t xml:space="preserve"> și egală cu durata aplicabilă majorității categoriilor de personal din sectorul public cu statut special.</w:t>
            </w:r>
          </w:p>
          <w:p w14:paraId="4723D9A7"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Referitor la argumentul inegalității de tratament în raport cu alte autorități (MAI, sistemul penitenciar etc.) cărora proiectul le menține o posibilitate de concediu suplimentar: această posibilitate este, la toate categoriile la care a fost păstrată, un mecanism discreționar, stabilit prin contract/convenție colectivă și strict condiționat de alocațiile bugetare aprobate anual, iar nu un drept subiectiv necondiționat similar celui eliminat. Diferența de tehnică normativă nu constituie, prin urmare, un tratament inechitabil nejustificat.</w:t>
            </w:r>
          </w:p>
          <w:p w14:paraId="4561AF83"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Argumentele de drept comparat (Eurofound, 2019) confirmă, așa cum recunoaște însuși avizul, că nu există un model unic european: existența unor asemenea mecanisme în alte state reflectă opțiuni naționale de politică socială, nu o obligație de aliniere.</w:t>
            </w:r>
          </w:p>
          <w:p w14:paraId="4F97183E"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Corelarea cu proiectul de lege nr. 149/MJ/SPCSB/2026 privind consolidarea instituțională a Serviciului nu este afectată: consolidarea statutului ofițerului de informații financiare vizează atribuțiile, competențele și cadrul instituțional, iar nu regimul concediului de odihnă, reglementat unitar pentru întregul sector public prin prezentul proiect.</w:t>
            </w:r>
          </w:p>
          <w:p w14:paraId="7289F2B0"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313046EB"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241D7E50" w14:textId="77777777" w:rsidR="00315874" w:rsidRDefault="00315874">
            <w:pPr>
              <w:shd w:val="clear" w:color="auto" w:fill="FFFFFF"/>
              <w:jc w:val="both"/>
              <w:rPr>
                <w:rFonts w:ascii="Times New Roman" w:eastAsia="Times New Roman" w:hAnsi="Times New Roman" w:cs="Times New Roman"/>
                <w:sz w:val="24"/>
                <w:szCs w:val="24"/>
                <w:highlight w:val="white"/>
              </w:rPr>
            </w:pPr>
          </w:p>
        </w:tc>
      </w:tr>
      <w:tr w:rsidR="00315874" w14:paraId="0B91EC57" w14:textId="77777777">
        <w:tc>
          <w:tcPr>
            <w:tcW w:w="735" w:type="dxa"/>
            <w:vMerge w:val="restart"/>
            <w:tcBorders>
              <w:top w:val="single" w:sz="6" w:space="0" w:color="999999"/>
              <w:left w:val="single" w:sz="6" w:space="0" w:color="999999"/>
              <w:bottom w:val="single" w:sz="6" w:space="0" w:color="999999"/>
              <w:right w:val="single" w:sz="6" w:space="0" w:color="999999"/>
            </w:tcBorders>
            <w:tcMar>
              <w:top w:w="0" w:type="dxa"/>
              <w:bottom w:w="0" w:type="dxa"/>
            </w:tcMar>
          </w:tcPr>
          <w:p w14:paraId="43E55596" w14:textId="77777777" w:rsidR="00315874"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29.</w:t>
            </w:r>
          </w:p>
        </w:tc>
        <w:tc>
          <w:tcPr>
            <w:tcW w:w="2835" w:type="dxa"/>
            <w:vMerge w:val="restart"/>
            <w:tcBorders>
              <w:top w:val="single" w:sz="6" w:space="0" w:color="999999"/>
              <w:left w:val="single" w:sz="6" w:space="0" w:color="999999"/>
              <w:bottom w:val="single" w:sz="6" w:space="0" w:color="999999"/>
              <w:right w:val="single" w:sz="6" w:space="0" w:color="999999"/>
            </w:tcBorders>
            <w:tcMar>
              <w:top w:w="0" w:type="dxa"/>
              <w:bottom w:w="0" w:type="dxa"/>
            </w:tcMar>
          </w:tcPr>
          <w:p w14:paraId="50112539" w14:textId="77777777" w:rsidR="00315874" w:rsidRDefault="00000000">
            <w:pPr>
              <w:spacing w:line="240" w:lineRule="auto"/>
              <w:ind w:left="14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Serviciul de Informații și Securitate</w:t>
            </w:r>
          </w:p>
          <w:p w14:paraId="3CCDCB5B" w14:textId="77777777" w:rsidR="00315874" w:rsidRDefault="00000000">
            <w:pPr>
              <w:spacing w:line="240" w:lineRule="auto"/>
              <w:ind w:left="140"/>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Nr. IE6975 din 10 iulie 2026</w:t>
            </w: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3DFF3F1F" w14:textId="77777777" w:rsidR="00315874" w:rsidRDefault="00000000">
            <w:pPr>
              <w:jc w:val="both"/>
              <w:rPr>
                <w:rFonts w:ascii="Times New Roman" w:eastAsia="Times New Roman" w:hAnsi="Times New Roman" w:cs="Times New Roman"/>
                <w:highlight w:val="white"/>
              </w:rPr>
            </w:pPr>
            <w:r>
              <w:rPr>
                <w:rFonts w:ascii="Times New Roman" w:eastAsia="Times New Roman" w:hAnsi="Times New Roman" w:cs="Times New Roman"/>
                <w:highlight w:val="white"/>
              </w:rPr>
              <w:t>-  a examinat proiectul de lege pentru modificarea unor acte normative (consolidarea cadrului normativ privind garanţiile</w:t>
            </w:r>
          </w:p>
          <w:p w14:paraId="042552AB" w14:textId="77777777" w:rsidR="00315874" w:rsidRDefault="00000000">
            <w:pPr>
              <w:jc w:val="both"/>
              <w:rPr>
                <w:rFonts w:ascii="Times New Roman" w:eastAsia="Times New Roman" w:hAnsi="Times New Roman" w:cs="Times New Roman"/>
                <w:highlight w:val="white"/>
              </w:rPr>
            </w:pPr>
            <w:r>
              <w:rPr>
                <w:rFonts w:ascii="Times New Roman" w:eastAsia="Times New Roman" w:hAnsi="Times New Roman" w:cs="Times New Roman"/>
                <w:highlight w:val="white"/>
              </w:rPr>
              <w:t>sociale) (număr unic 635/MMPS/2026) și comunică următoarele.</w:t>
            </w:r>
          </w:p>
          <w:p w14:paraId="26E12BC3" w14:textId="77777777" w:rsidR="00315874" w:rsidRDefault="00000000">
            <w:pPr>
              <w:ind w:firstLine="283"/>
              <w:jc w:val="both"/>
              <w:rPr>
                <w:rFonts w:ascii="Times New Roman" w:eastAsia="Times New Roman" w:hAnsi="Times New Roman" w:cs="Times New Roman"/>
                <w:sz w:val="24"/>
                <w:szCs w:val="24"/>
                <w:highlight w:val="white"/>
              </w:rPr>
            </w:pPr>
            <w:r>
              <w:rPr>
                <w:rFonts w:ascii="Times New Roman" w:eastAsia="Times New Roman" w:hAnsi="Times New Roman" w:cs="Times New Roman"/>
                <w:highlight w:val="white"/>
              </w:rPr>
              <w:t xml:space="preserve">Deși scopul declarat al proiectului de lege este „consolidarea cadrului normativ privind garanţiile sociale” și </w:t>
            </w:r>
            <w:r>
              <w:rPr>
                <w:rFonts w:ascii="Times New Roman" w:eastAsia="Times New Roman" w:hAnsi="Times New Roman" w:cs="Times New Roman"/>
                <w:highlight w:val="white"/>
              </w:rPr>
              <w:lastRenderedPageBreak/>
              <w:t>unificarea formulelor de calcul a concediilor în sectorul public prin trecerea de la zile calendaristice la zile lucrătoare, în privința Serviciului, proiectul generează un regres substanţial al drepturilor și garanțiilor sociale, ignorând specificul și riscurile extreme ale activităţii de intelligence.</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27588FD0"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Se ia act</w:t>
            </w:r>
          </w:p>
        </w:tc>
      </w:tr>
      <w:tr w:rsidR="00315874" w14:paraId="5635963C" w14:textId="77777777">
        <w:trPr>
          <w:trHeight w:val="735"/>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78248DE8"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2D65085A" w14:textId="77777777" w:rsidR="00315874" w:rsidRDefault="00315874">
            <w:pPr>
              <w:spacing w:line="240" w:lineRule="auto"/>
              <w:rPr>
                <w:rFonts w:ascii="Times New Roman" w:eastAsia="Times New Roman" w:hAnsi="Times New Roman" w:cs="Times New Roman"/>
                <w:b/>
                <w:bCs/>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17FE1CF8" w14:textId="77777777" w:rsidR="00315874" w:rsidRDefault="00000000">
            <w:pPr>
              <w:ind w:firstLine="283"/>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1.</w:t>
            </w:r>
            <w:r>
              <w:rPr>
                <w:rFonts w:ascii="Times New Roman" w:eastAsia="Times New Roman" w:hAnsi="Times New Roman" w:cs="Times New Roman"/>
                <w:highlight w:val="white"/>
              </w:rPr>
              <w:t xml:space="preserve"> Astfel, prin modificarea propusă la Art. VIII, din proiectul de lege, se va diminua nejustificat durata concediului de odihnă anual, or, în prezent ofițerii de informaţii beneficiază de un concediu de odihnă anual de 30 de zile lucrătoare, bazat pe un regim intens de muncă, disponibilitate permanentă și suprasolicitare neuropsihică, iar modificarea propusă reduce concediul de odihnă anual la 28 de zile lucrătoare.</w:t>
            </w:r>
          </w:p>
          <w:p w14:paraId="0AAA1962" w14:textId="77777777" w:rsidR="00315874" w:rsidRDefault="00000000">
            <w:pPr>
              <w:ind w:firstLine="283"/>
              <w:jc w:val="both"/>
              <w:rPr>
                <w:rFonts w:ascii="Times New Roman" w:eastAsia="Times New Roman" w:hAnsi="Times New Roman" w:cs="Times New Roman"/>
                <w:highlight w:val="white"/>
              </w:rPr>
            </w:pPr>
            <w:r>
              <w:rPr>
                <w:rFonts w:ascii="Times New Roman" w:eastAsia="Times New Roman" w:hAnsi="Times New Roman" w:cs="Times New Roman"/>
                <w:highlight w:val="white"/>
              </w:rPr>
              <w:t>Această diminuare afectează direct capacitatea de recuperare fizică și psihică a ofițerului de informații. Măsura este contrară principiului corelației dintre complexitatea/riscul atribuţiilor și nivelul garanțiilor oferite de stat. Reducerea duratei concediului de bază demotivează resursa umană într-un domeniu critic pentru securitatea națională.</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3A9C7C6C"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 xml:space="preserve">Nu se acceptă. </w:t>
            </w:r>
          </w:p>
          <w:p w14:paraId="205E2170"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Proiectul urmărește uniformizarea concediilor pentru o serie de categorii de personal în sectorul bugetar. Prin urmare numărul zilelor de concediu pentru angajații Serviciului este similară ca și pentru militarii prin contract, angajații Serviciului de Protecție și Pază de Stat, angajații Serviciului cu privire la prevenirea și combaterea spălării banilor și finanțării terorismului, funcționarii vamali, etc. </w:t>
            </w:r>
          </w:p>
        </w:tc>
      </w:tr>
      <w:tr w:rsidR="00315874" w14:paraId="1DAAB196" w14:textId="77777777">
        <w:trPr>
          <w:trHeight w:val="752"/>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60D15FC0"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5B532E6D" w14:textId="77777777" w:rsidR="00315874" w:rsidRDefault="00315874">
            <w:pPr>
              <w:spacing w:line="240" w:lineRule="auto"/>
              <w:rPr>
                <w:rFonts w:ascii="Times New Roman" w:eastAsia="Times New Roman" w:hAnsi="Times New Roman" w:cs="Times New Roman"/>
                <w:b/>
                <w:bCs/>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2128F819" w14:textId="77777777" w:rsidR="00315874" w:rsidRDefault="00000000">
            <w:pPr>
              <w:ind w:firstLine="283"/>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2.</w:t>
            </w:r>
            <w:r>
              <w:rPr>
                <w:rFonts w:ascii="Times New Roman" w:eastAsia="Times New Roman" w:hAnsi="Times New Roman" w:cs="Times New Roman"/>
                <w:highlight w:val="white"/>
              </w:rPr>
              <w:t xml:space="preserve"> Totodată, proiectul de lege elimină în totalitate sporurile de concediu pentru vechime în serviciu or, la moment art. 50 alin. (1) lit. a) din Legea nr. 170/2007 prevede că concediul de 30 de zile lucrătoare „se mărește cu 5, 10 sau 15 zile lucrătoare” în funcţie de vechimea în serviciu (10, 15, respectiv 20 de ani).</w:t>
            </w:r>
          </w:p>
          <w:p w14:paraId="3BC28B28" w14:textId="77777777" w:rsidR="00315874" w:rsidRDefault="00000000">
            <w:pPr>
              <w:ind w:firstLine="283"/>
              <w:jc w:val="both"/>
              <w:rPr>
                <w:rFonts w:ascii="Times New Roman" w:eastAsia="Times New Roman" w:hAnsi="Times New Roman" w:cs="Times New Roman"/>
                <w:highlight w:val="white"/>
              </w:rPr>
            </w:pPr>
            <w:r>
              <w:rPr>
                <w:rFonts w:ascii="Times New Roman" w:eastAsia="Times New Roman" w:hAnsi="Times New Roman" w:cs="Times New Roman"/>
                <w:highlight w:val="white"/>
              </w:rPr>
              <w:t>Prin această</w:t>
            </w:r>
            <w:r>
              <w:rPr>
                <w:rFonts w:ascii="Times New Roman" w:eastAsia="Times New Roman" w:hAnsi="Times New Roman" w:cs="Times New Roman"/>
              </w:rPr>
              <w:t xml:space="preserve"> acțiune </w:t>
            </w:r>
            <w:r>
              <w:rPr>
                <w:rFonts w:ascii="Times New Roman" w:eastAsia="Times New Roman" w:hAnsi="Times New Roman" w:cs="Times New Roman"/>
                <w:highlight w:val="white"/>
              </w:rPr>
              <w:t xml:space="preserve">nejustificată, sunt șterse complet din lege cele trei sporuri de concedii pentru vechime în serviciu. Aceasta reprezintă o tăiere masivă a drepturilor sociale ale ofițerilor cu experienţă </w:t>
            </w:r>
            <w:r>
              <w:rPr>
                <w:rFonts w:ascii="Times New Roman" w:eastAsia="Times New Roman" w:hAnsi="Times New Roman" w:cs="Times New Roman"/>
                <w:i/>
                <w:iCs/>
                <w:highlight w:val="white"/>
              </w:rPr>
              <w:t xml:space="preserve">(ex: un ofițer cu 20 de ani vechime </w:t>
            </w:r>
            <w:r>
              <w:rPr>
                <w:rFonts w:ascii="Times New Roman" w:eastAsia="Times New Roman" w:hAnsi="Times New Roman" w:cs="Times New Roman"/>
                <w:i/>
                <w:iCs/>
                <w:highlight w:val="white"/>
              </w:rPr>
              <w:lastRenderedPageBreak/>
              <w:t>pierde instantaneu 17 zile de concediu: 2 de la concediul de bază și 15 de la vechime)</w:t>
            </w:r>
            <w:r>
              <w:rPr>
                <w:rFonts w:ascii="Times New Roman" w:eastAsia="Times New Roman" w:hAnsi="Times New Roman" w:cs="Times New Roman"/>
                <w:highlight w:val="white"/>
              </w:rPr>
              <w:t>.</w:t>
            </w:r>
          </w:p>
          <w:p w14:paraId="31616096" w14:textId="77777777" w:rsidR="00315874" w:rsidRDefault="00000000">
            <w:pPr>
              <w:ind w:firstLine="283"/>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Serviciul consideră inoportună a asemenea abordare și insistă asupra menținerii acestei practici, care este doar o mică recompensă pentru ofițerii de carieră. </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7FC33946"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Nu se acceptă</w:t>
            </w:r>
          </w:p>
          <w:p w14:paraId="7F792A03"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Eliminarea concediilor pentru vechime în muncă se aplică pentru toate categoriile de personal din sectorul bugetar. </w:t>
            </w:r>
          </w:p>
          <w:p w14:paraId="664DB165"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sz w:val="24"/>
                <w:szCs w:val="24"/>
                <w:highlight w:val="white"/>
              </w:rPr>
              <w:t>Totodată menționăm că se mențin garanțiile pentru acordarea de concedii suplimentare cum ar fi: pentru participare la operaţiuni antiteroriste, pentru îndeplinire a obligaţiilor de serviciu în zone cu pericol sporit pentru viaţă şi sănătate; unuia dintre părinți: mamei sau tatălui</w:t>
            </w:r>
            <w:r>
              <w:rPr>
                <w:rFonts w:ascii="Times New Roman" w:eastAsia="Times New Roman" w:hAnsi="Times New Roman" w:cs="Times New Roman"/>
                <w:b/>
                <w:bCs/>
                <w:sz w:val="24"/>
                <w:szCs w:val="24"/>
                <w:highlight w:val="white"/>
              </w:rPr>
              <w:t xml:space="preserve"> </w:t>
            </w:r>
            <w:r>
              <w:rPr>
                <w:rFonts w:ascii="Times New Roman" w:eastAsia="Times New Roman" w:hAnsi="Times New Roman" w:cs="Times New Roman"/>
                <w:sz w:val="24"/>
                <w:szCs w:val="24"/>
                <w:highlight w:val="white"/>
              </w:rPr>
              <w:t xml:space="preserve">care au 2 şi mai mulţi copii în </w:t>
            </w:r>
            <w:r>
              <w:rPr>
                <w:rFonts w:ascii="Times New Roman" w:eastAsia="Times New Roman" w:hAnsi="Times New Roman" w:cs="Times New Roman"/>
                <w:sz w:val="24"/>
                <w:szCs w:val="24"/>
                <w:highlight w:val="white"/>
              </w:rPr>
              <w:lastRenderedPageBreak/>
              <w:t xml:space="preserve">vârstă de până la 14 ani (sau un copil cu dizabilităţi în vârstă de până la 18 ani); concediu pe motive familiale pentru soluţionarea problemelor sociale şi de trai stringente, în primul rând a celor legate de fortificarea sănătăţii, îndeplinirea îndatoririlor de familie, precum şi din alte motive întemeiate, confirmate documentar; - în total cumulând în jur de 24 de zile lucrătoare de concediu. </w:t>
            </w:r>
          </w:p>
          <w:p w14:paraId="4D9B56B8" w14:textId="77777777" w:rsidR="00315874" w:rsidRDefault="00000000">
            <w:pPr>
              <w:spacing w:before="60" w:after="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prezent potrivit informațiilor publice </w:t>
            </w:r>
            <w:hyperlink r:id="rId13">
              <w:r w:rsidR="00315874">
                <w:rPr>
                  <w:rFonts w:ascii="Times New Roman" w:eastAsia="Times New Roman" w:hAnsi="Times New Roman" w:cs="Times New Roman"/>
                  <w:color w:val="1155CC"/>
                  <w:sz w:val="24"/>
                  <w:szCs w:val="24"/>
                  <w:u w:val="single"/>
                </w:rPr>
                <w:t>ipn.md</w:t>
              </w:r>
            </w:hyperlink>
            <w:r>
              <w:rPr>
                <w:rFonts w:ascii="Times New Roman" w:eastAsia="Times New Roman" w:hAnsi="Times New Roman" w:cs="Times New Roman"/>
                <w:sz w:val="24"/>
                <w:szCs w:val="24"/>
              </w:rPr>
              <w:t xml:space="preserve">, în anul 2026 Guvernul a alocat 192,4 milioane de lei pentru plata concediilor de odihnă nefolosite ale angajaților din sectorul bugetar.  Potrivit sursei citate </w:t>
            </w:r>
            <w:r>
              <w:rPr>
                <w:rFonts w:ascii="Times New Roman" w:eastAsia="Times New Roman" w:hAnsi="Times New Roman" w:cs="Times New Roman"/>
                <w:i/>
                <w:iCs/>
                <w:sz w:val="24"/>
                <w:szCs w:val="24"/>
              </w:rPr>
              <w:t xml:space="preserve">”Cei mai mari beneficiari ai acestei redistribuiri sunt Ministerul Afacerilor Interne, care va primi peste 63,3 milioane de lei, și Ministerul Finanțelor, cu circa 62,9 milioane de lei. Urmează Procuratura Generală care va primi 36 milioane de lei, Ministerul Justiției cu 12,3 milioane de lei, Centrul Național Anticorupție cu 11 milioane de lei și </w:t>
            </w:r>
            <w:r>
              <w:rPr>
                <w:rFonts w:ascii="Times New Roman" w:eastAsia="Times New Roman" w:hAnsi="Times New Roman" w:cs="Times New Roman"/>
                <w:b/>
                <w:bCs/>
                <w:i/>
                <w:iCs/>
                <w:sz w:val="24"/>
                <w:szCs w:val="24"/>
              </w:rPr>
              <w:t>Serviciul de Informații și Securitate, care va primi 6,7 milioane de lei</w:t>
            </w:r>
            <w:r>
              <w:rPr>
                <w:rFonts w:ascii="Times New Roman" w:eastAsia="Times New Roman" w:hAnsi="Times New Roman" w:cs="Times New Roman"/>
                <w:sz w:val="24"/>
                <w:szCs w:val="24"/>
              </w:rPr>
              <w:t xml:space="preserve">.” </w:t>
            </w:r>
          </w:p>
          <w:p w14:paraId="5B5AA151" w14:textId="77777777" w:rsidR="00315874" w:rsidRDefault="00000000">
            <w:pPr>
              <w:spacing w:before="60" w:after="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se vedea și HG 322 din 17-06-2026</w:t>
            </w:r>
          </w:p>
          <w:p w14:paraId="3EEB7D6A" w14:textId="77777777" w:rsidR="00315874" w:rsidRDefault="00315874">
            <w:pPr>
              <w:spacing w:before="60" w:after="60" w:line="240" w:lineRule="auto"/>
              <w:jc w:val="both"/>
              <w:rPr>
                <w:rFonts w:ascii="Times New Roman" w:eastAsia="Times New Roman" w:hAnsi="Times New Roman" w:cs="Times New Roman"/>
                <w:sz w:val="24"/>
                <w:szCs w:val="24"/>
              </w:rPr>
            </w:pPr>
            <w:hyperlink r:id="rId14">
              <w:r>
                <w:rPr>
                  <w:rFonts w:ascii="Times New Roman" w:eastAsia="Times New Roman" w:hAnsi="Times New Roman" w:cs="Times New Roman"/>
                  <w:color w:val="1155CC"/>
                  <w:sz w:val="24"/>
                  <w:szCs w:val="24"/>
                  <w:u w:val="single"/>
                </w:rPr>
                <w:t>https://www.legis.md/cautare/getResults?doc_id=154910&amp;lang=ro</w:t>
              </w:r>
            </w:hyperlink>
          </w:p>
          <w:p w14:paraId="6B370EF1" w14:textId="77777777" w:rsidR="00315874" w:rsidRDefault="00315874">
            <w:pPr>
              <w:spacing w:before="60" w:after="60" w:line="240" w:lineRule="auto"/>
              <w:jc w:val="both"/>
              <w:rPr>
                <w:rFonts w:ascii="Times New Roman" w:eastAsia="Times New Roman" w:hAnsi="Times New Roman" w:cs="Times New Roman"/>
                <w:sz w:val="24"/>
                <w:szCs w:val="24"/>
              </w:rPr>
            </w:pPr>
          </w:p>
          <w:p w14:paraId="3A451FAC" w14:textId="77777777" w:rsidR="00315874" w:rsidRDefault="00000000">
            <w:pPr>
              <w:spacing w:before="60" w:after="60" w:line="240" w:lineRule="auto"/>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sz w:val="24"/>
                <w:szCs w:val="24"/>
              </w:rPr>
              <w:t>Prin urmare diminuarea numărului de concedii nefolosite va duce la diminuarea cheltuielilor din bugetul de stat alocate pentru acoperirea acestor concedii care nu sunt utilizate, inclusiv de către angajații SIS.</w:t>
            </w:r>
          </w:p>
          <w:p w14:paraId="08DCE786" w14:textId="0B7D9D13" w:rsidR="0021239A" w:rsidRDefault="0021239A">
            <w:pPr>
              <w:spacing w:before="60" w:after="60" w:line="240" w:lineRule="auto"/>
              <w:jc w:val="both"/>
              <w:rPr>
                <w:rFonts w:ascii="Times New Roman" w:eastAsia="Times New Roman" w:hAnsi="Times New Roman" w:cs="Times New Roman"/>
                <w:b/>
                <w:bCs/>
                <w:sz w:val="24"/>
                <w:szCs w:val="24"/>
                <w:highlight w:val="white"/>
              </w:rPr>
            </w:pPr>
          </w:p>
        </w:tc>
      </w:tr>
      <w:tr w:rsidR="00315874" w14:paraId="4FE5431F" w14:textId="77777777">
        <w:trPr>
          <w:trHeight w:val="752"/>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386B79EB"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0E310F94" w14:textId="77777777" w:rsidR="00315874" w:rsidRDefault="00315874">
            <w:pPr>
              <w:spacing w:line="240" w:lineRule="auto"/>
              <w:rPr>
                <w:rFonts w:ascii="Times New Roman" w:eastAsia="Times New Roman" w:hAnsi="Times New Roman" w:cs="Times New Roman"/>
                <w:b/>
                <w:bCs/>
                <w:sz w:val="24"/>
                <w:szCs w:val="24"/>
              </w:rPr>
            </w:pPr>
          </w:p>
        </w:tc>
        <w:tc>
          <w:tcPr>
            <w:tcW w:w="5700" w:type="dxa"/>
            <w:vMerge w:val="restart"/>
            <w:tcBorders>
              <w:top w:val="nil"/>
              <w:left w:val="nil"/>
              <w:bottom w:val="single" w:sz="6" w:space="0" w:color="000000"/>
              <w:right w:val="single" w:sz="6" w:space="0" w:color="999999"/>
            </w:tcBorders>
            <w:tcMar>
              <w:top w:w="0" w:type="dxa"/>
              <w:left w:w="100" w:type="dxa"/>
              <w:bottom w:w="0" w:type="dxa"/>
              <w:right w:w="100" w:type="dxa"/>
            </w:tcMar>
          </w:tcPr>
          <w:p w14:paraId="0B2F6720" w14:textId="77777777" w:rsidR="00315874" w:rsidRDefault="00000000">
            <w:pPr>
              <w:spacing w:line="240" w:lineRule="auto"/>
              <w:ind w:firstLine="283"/>
              <w:jc w:val="both"/>
              <w:rPr>
                <w:rFonts w:ascii="Times New Roman" w:eastAsia="Times New Roman" w:hAnsi="Times New Roman" w:cs="Times New Roman"/>
              </w:rPr>
            </w:pPr>
            <w:r>
              <w:rPr>
                <w:rFonts w:ascii="Times New Roman" w:eastAsia="Times New Roman" w:hAnsi="Times New Roman" w:cs="Times New Roman"/>
                <w:b/>
                <w:bCs/>
              </w:rPr>
              <w:t>3.</w:t>
            </w:r>
            <w:r>
              <w:rPr>
                <w:rFonts w:ascii="Times New Roman" w:eastAsia="Times New Roman" w:hAnsi="Times New Roman" w:cs="Times New Roman"/>
              </w:rPr>
              <w:t xml:space="preserve"> Subsidiar proiectul de lege aduce atingere unui drept garantat prin legea specială și anume îngrădirea dreptului la compensarea financiară a concediilor nefolosite, un drept care a fost exclus fără a intra în esența aplicativă a acestuia și care este motivarea și menirea lui.</w:t>
            </w:r>
          </w:p>
          <w:p w14:paraId="3493FF9B" w14:textId="77777777" w:rsidR="00315874" w:rsidRDefault="00000000">
            <w:pPr>
              <w:spacing w:line="240" w:lineRule="auto"/>
              <w:ind w:firstLine="283"/>
              <w:jc w:val="both"/>
              <w:rPr>
                <w:rFonts w:ascii="Times New Roman" w:eastAsia="Times New Roman" w:hAnsi="Times New Roman" w:cs="Times New Roman"/>
              </w:rPr>
            </w:pPr>
            <w:r>
              <w:rPr>
                <w:rFonts w:ascii="Times New Roman" w:eastAsia="Times New Roman" w:hAnsi="Times New Roman" w:cs="Times New Roman"/>
              </w:rPr>
              <w:t>Respectiv, la moment ofițerul de informații poate reporta concediul pe anul următor (maximum 2 ani consecutivi) sau, la cerere, acesta se compensează în mărimea salariului mediu pentru fiecare zi nefolosită.</w:t>
            </w:r>
          </w:p>
          <w:p w14:paraId="2CC1B401" w14:textId="77777777" w:rsidR="00315874" w:rsidRDefault="00000000">
            <w:pPr>
              <w:spacing w:line="240" w:lineRule="auto"/>
              <w:ind w:firstLine="283"/>
              <w:jc w:val="both"/>
              <w:rPr>
                <w:rFonts w:ascii="Times New Roman" w:eastAsia="Times New Roman" w:hAnsi="Times New Roman" w:cs="Times New Roman"/>
              </w:rPr>
            </w:pPr>
            <w:r>
              <w:rPr>
                <w:rFonts w:ascii="Times New Roman" w:eastAsia="Times New Roman" w:hAnsi="Times New Roman" w:cs="Times New Roman"/>
              </w:rPr>
              <w:t>Prin modificarea propusă, se elimină complet opţiunea compensării financiare la cerere a zilelor de concediu nefolosite pe parcursul activităţii, stabilindu-se doar posibilitatea reportării pe maximum 2 ani.</w:t>
            </w:r>
          </w:p>
          <w:p w14:paraId="1E2343E9" w14:textId="77777777" w:rsidR="00315874" w:rsidRDefault="00000000">
            <w:pPr>
              <w:spacing w:line="240" w:lineRule="auto"/>
              <w:ind w:firstLine="283"/>
              <w:jc w:val="both"/>
              <w:rPr>
                <w:rFonts w:ascii="Times New Roman" w:eastAsia="Times New Roman" w:hAnsi="Times New Roman" w:cs="Times New Roman"/>
              </w:rPr>
            </w:pPr>
            <w:r>
              <w:rPr>
                <w:rFonts w:ascii="Times New Roman" w:eastAsia="Times New Roman" w:hAnsi="Times New Roman" w:cs="Times New Roman"/>
              </w:rPr>
              <w:t>Prin urmare, proiectul de lege aplică aceleași reguli față de toți funcţionarii publici, făcând abstracţie de la specificul de activitate a Serviciului și a ofițerilor cu statut special. Or, din cauza specificului misiunilor speciale și a deficitului de personal, în anumite circumstanţe obiective, unii ofițeri sunt privaţi de posibilitatea de a utiliza concediul anual integral. Eliminarea dreptului la compensare financiară în timpul serviciului înseamnă confiscarea de facto a muncii prestate în acele perioade.</w:t>
            </w:r>
          </w:p>
          <w:p w14:paraId="49F1084D" w14:textId="77777777" w:rsidR="00315874" w:rsidRDefault="00000000">
            <w:pPr>
              <w:spacing w:line="240" w:lineRule="auto"/>
              <w:ind w:firstLine="283"/>
              <w:jc w:val="both"/>
              <w:rPr>
                <w:rFonts w:ascii="Times New Roman" w:eastAsia="Times New Roman" w:hAnsi="Times New Roman" w:cs="Times New Roman"/>
              </w:rPr>
            </w:pPr>
            <w:r>
              <w:rPr>
                <w:rFonts w:ascii="Times New Roman" w:eastAsia="Times New Roman" w:hAnsi="Times New Roman" w:cs="Times New Roman"/>
              </w:rPr>
              <w:t>Mai mult ca atât, și jurisprudența Curţii Constituţionale interzice restrângerea nejustificată a drepturilor sociale substanţiale ale categoriilor profesionale expuse riscurilor profesionale sporite. Diminuarea pachetului social pentru structurile de forță în plină criză de securitate regională aduce atingere directă rezilienței instituționale ale statului.</w:t>
            </w:r>
          </w:p>
          <w:p w14:paraId="3ED856D4" w14:textId="77777777" w:rsidR="00315874" w:rsidRDefault="00000000">
            <w:pPr>
              <w:spacing w:line="240" w:lineRule="auto"/>
              <w:ind w:firstLine="283"/>
              <w:jc w:val="both"/>
              <w:rPr>
                <w:rFonts w:ascii="Times New Roman" w:eastAsia="Times New Roman" w:hAnsi="Times New Roman" w:cs="Times New Roman"/>
              </w:rPr>
            </w:pPr>
            <w:r>
              <w:rPr>
                <w:rFonts w:ascii="Times New Roman" w:eastAsia="Times New Roman" w:hAnsi="Times New Roman" w:cs="Times New Roman"/>
              </w:rPr>
              <w:lastRenderedPageBreak/>
              <w:t>Astfel, având în vedere specificul de activitate, Serviciul solicită păstrarea dreptului la compensarea financiară a concediilor nefolosite.</w:t>
            </w:r>
          </w:p>
          <w:p w14:paraId="0C87C93A" w14:textId="77777777" w:rsidR="00315874" w:rsidRDefault="00000000">
            <w:pPr>
              <w:ind w:firstLine="283"/>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4.</w:t>
            </w:r>
            <w:r>
              <w:rPr>
                <w:rFonts w:ascii="Times New Roman" w:eastAsia="Times New Roman" w:hAnsi="Times New Roman" w:cs="Times New Roman"/>
                <w:highlight w:val="white"/>
              </w:rPr>
              <w:t xml:space="preserve"> Complementar, potrivit pct. 7 subpct. 12) din Regulamentul cu privire la tipurile și modul de stabilire a sporurilor cu caracter specific aprobat prin Hotărârea Guvernului nr. 1231/2018, statul recunoaște oficial că personalul din domeniul securității statului își desfășoară activitatea într-un regim de: </w:t>
            </w:r>
            <w:r>
              <w:rPr>
                <w:rFonts w:ascii="Times New Roman" w:eastAsia="Times New Roman" w:hAnsi="Times New Roman" w:cs="Times New Roman"/>
                <w:i/>
                <w:iCs/>
                <w:highlight w:val="white"/>
              </w:rPr>
              <w:t>„[...] aflare permanentă în dispozitiv, cu obligația de a interveni ori de câte ori este nevoie, la orice oră de zi și de noapte, pentru rezolvarea problemelor cu caracter de urgență”</w:t>
            </w:r>
            <w:r>
              <w:rPr>
                <w:rFonts w:ascii="Times New Roman" w:eastAsia="Times New Roman" w:hAnsi="Times New Roman" w:cs="Times New Roman"/>
                <w:highlight w:val="white"/>
              </w:rPr>
              <w:t>. Această normă legală demonstrează că, spre deosebire de funcționarii publici civili supuși unui program standard de muncă de 8 ore pe zi, pentru un ofițer de informații noțiunea de „zi nelucrătoare” sau „timp liber” are un caracter condiționat.</w:t>
            </w:r>
          </w:p>
          <w:p w14:paraId="503F711D" w14:textId="77777777" w:rsidR="00315874" w:rsidRDefault="00000000">
            <w:pPr>
              <w:ind w:firstLine="283"/>
              <w:jc w:val="both"/>
              <w:rPr>
                <w:rFonts w:ascii="Times New Roman" w:eastAsia="Times New Roman" w:hAnsi="Times New Roman" w:cs="Times New Roman"/>
                <w:highlight w:val="white"/>
              </w:rPr>
            </w:pPr>
            <w:r>
              <w:rPr>
                <w:rFonts w:ascii="Times New Roman" w:eastAsia="Times New Roman" w:hAnsi="Times New Roman" w:cs="Times New Roman"/>
                <w:highlight w:val="white"/>
              </w:rPr>
              <w:t>Obligația de a fi conectat permanent la rețeaua operativă și disponibilitatea de a interveni la orice oră din zi sau din noapte, implică un consum psihic și fizic continuu, care nu se oprește la finele programului de birou.</w:t>
            </w:r>
          </w:p>
          <w:p w14:paraId="2CE34479" w14:textId="77777777" w:rsidR="00315874" w:rsidRDefault="00000000">
            <w:pPr>
              <w:ind w:firstLine="283"/>
              <w:jc w:val="both"/>
              <w:rPr>
                <w:rFonts w:ascii="Times New Roman" w:eastAsia="Times New Roman" w:hAnsi="Times New Roman" w:cs="Times New Roman"/>
                <w:highlight w:val="white"/>
              </w:rPr>
            </w:pPr>
            <w:r>
              <w:rPr>
                <w:rFonts w:ascii="Times New Roman" w:eastAsia="Times New Roman" w:hAnsi="Times New Roman" w:cs="Times New Roman"/>
                <w:highlight w:val="white"/>
              </w:rPr>
              <w:t>Prin urmare, restrângerea duratei concediului anual la standardul minim din sectorul civil (28 de zile lucrătoare) ignoră complet această realitate juridică și operativă. Concediul de odihnă nu este un privilegiu, ci unicul mecanism legal de compensare a stării de alertă permanentă în care se află ofițerii de informații.</w:t>
            </w:r>
          </w:p>
          <w:p w14:paraId="25C68EC1" w14:textId="77777777" w:rsidR="00315874" w:rsidRDefault="00000000">
            <w:pPr>
              <w:ind w:firstLine="283"/>
              <w:jc w:val="both"/>
              <w:rPr>
                <w:rFonts w:ascii="Times New Roman" w:eastAsia="Times New Roman" w:hAnsi="Times New Roman" w:cs="Times New Roman"/>
              </w:rPr>
            </w:pPr>
            <w:r>
              <w:rPr>
                <w:rFonts w:ascii="Times New Roman" w:eastAsia="Times New Roman" w:hAnsi="Times New Roman" w:cs="Times New Roman"/>
                <w:highlight w:val="white"/>
              </w:rPr>
              <w:lastRenderedPageBreak/>
              <w:t>Diminuarea acestui drept, în condiţiile în care statul menţine neschimbată obligaţia ofițerului de a fi la dispoziția instituției 24/7, creează un dezechilibru major între sarcinile impuse și garanţiile oferite.</w:t>
            </w:r>
          </w:p>
        </w:tc>
        <w:tc>
          <w:tcPr>
            <w:tcW w:w="6210" w:type="dxa"/>
            <w:vMerge w:val="restart"/>
            <w:tcBorders>
              <w:top w:val="nil"/>
              <w:left w:val="nil"/>
              <w:bottom w:val="single" w:sz="6" w:space="0" w:color="000000"/>
              <w:right w:val="single" w:sz="6" w:space="0" w:color="999999"/>
            </w:tcBorders>
            <w:tcMar>
              <w:top w:w="0" w:type="dxa"/>
              <w:left w:w="100" w:type="dxa"/>
              <w:bottom w:w="0" w:type="dxa"/>
              <w:right w:w="100" w:type="dxa"/>
            </w:tcMar>
          </w:tcPr>
          <w:p w14:paraId="4D5F4FD0"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Nu se acceptă</w:t>
            </w:r>
          </w:p>
          <w:p w14:paraId="5C85C643"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Pe de o parte, norma în vigoare contravine atât Directivei UE 2003/88, art. 7(2) potrivit căreia: „perioada minimă de concediu anual plătit nu poate fi înlocuită cu o indemnizație financiară, cu excepția cazului în care relația de muncă încetează.” cât și prevederilor Codului muncii care prevede:  „În caz de suspendare (art.76 lit.e) şi m), art.77 lit.d) şi art.78 alin.(1) lit.a) şi d)) sau încetare a contractului individual de muncă, salariatul are dreptul la compensarea tuturor concediilor de odihnă anuale nefolosite.” și art. 112 (2): ”Dreptul la concediu de odihnă anual nu poate fi obiectul vreunei cesiuni, renunţări sau limitări. Orice înţelegere prin care se renunţă, total sau parţial, la acest drept este nulă.”</w:t>
            </w:r>
          </w:p>
          <w:p w14:paraId="1313E12B"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Pe de altă parte, în cazul zilelor de concediu neutilizate ca urmare a rechemării din concediul de odihnă, norma permite plata dublă a acestora deoarece indemnizația de concediu nu se restituie potrivit normelor CM art. 122: „salariatul poate fi rechemat din concediul de odihnă anual prin ordinul (dispoziţia, decizia, hotărîrea) angajatorului, numai cu acordul scris al salariatului şi numai pentru situaţii de serviciu neprevăzute, care fac necesară prezenţa acestuia în unitate. În acest caz, salariatul nu restituie indemnizația pentru zilele de </w:t>
            </w:r>
            <w:r>
              <w:rPr>
                <w:rFonts w:ascii="Times New Roman" w:eastAsia="Times New Roman" w:hAnsi="Times New Roman" w:cs="Times New Roman"/>
                <w:sz w:val="24"/>
                <w:szCs w:val="24"/>
                <w:highlight w:val="white"/>
              </w:rPr>
              <w:t>concediu nefolosite. Retribuirea muncii salariatului rechemat din concediul de odihnă anual se efectuează în baze generale.” Prin urmare, propunerea urmărește prevenirea unor cheltuieli nejustificate din bugetul aferent concediilor pentru această categorie de funcționari și respectarea prevederilor Directivei UE 2003/88.</w:t>
            </w:r>
          </w:p>
          <w:p w14:paraId="7CB1E684" w14:textId="77777777" w:rsidR="00315874" w:rsidRDefault="00315874">
            <w:pPr>
              <w:shd w:val="clear" w:color="auto" w:fill="FFFFFF"/>
              <w:jc w:val="both"/>
              <w:rPr>
                <w:rFonts w:ascii="Times New Roman" w:eastAsia="Times New Roman" w:hAnsi="Times New Roman" w:cs="Times New Roman"/>
                <w:sz w:val="24"/>
                <w:szCs w:val="24"/>
                <w:highlight w:val="white"/>
              </w:rPr>
            </w:pPr>
          </w:p>
        </w:tc>
      </w:tr>
      <w:tr w:rsidR="00315874" w14:paraId="284C8D2C" w14:textId="77777777">
        <w:trPr>
          <w:trHeight w:val="752"/>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294CEF21"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077E89ED" w14:textId="77777777" w:rsidR="00315874" w:rsidRDefault="00315874">
            <w:pPr>
              <w:spacing w:line="240" w:lineRule="auto"/>
              <w:rPr>
                <w:rFonts w:ascii="Times New Roman" w:eastAsia="Times New Roman" w:hAnsi="Times New Roman" w:cs="Times New Roman"/>
                <w:b/>
                <w:bCs/>
                <w:sz w:val="24"/>
                <w:szCs w:val="24"/>
              </w:rPr>
            </w:pPr>
          </w:p>
        </w:tc>
        <w:tc>
          <w:tcPr>
            <w:tcW w:w="5700" w:type="dxa"/>
            <w:vMerge/>
            <w:tcBorders>
              <w:top w:val="nil"/>
              <w:left w:val="nil"/>
              <w:bottom w:val="single" w:sz="6" w:space="0" w:color="000000"/>
              <w:right w:val="single" w:sz="6" w:space="0" w:color="999999"/>
            </w:tcBorders>
            <w:tcMar>
              <w:top w:w="0" w:type="dxa"/>
              <w:left w:w="100" w:type="dxa"/>
              <w:bottom w:w="0" w:type="dxa"/>
              <w:right w:w="100" w:type="dxa"/>
            </w:tcMar>
          </w:tcPr>
          <w:p w14:paraId="1C7E00C6" w14:textId="77777777" w:rsidR="00315874" w:rsidRDefault="00315874">
            <w:pPr>
              <w:spacing w:line="240" w:lineRule="auto"/>
              <w:jc w:val="both"/>
              <w:rPr>
                <w:rFonts w:ascii="Times New Roman" w:eastAsia="Times New Roman" w:hAnsi="Times New Roman" w:cs="Times New Roman"/>
                <w:highlight w:val="white"/>
              </w:rPr>
            </w:pPr>
          </w:p>
        </w:tc>
        <w:tc>
          <w:tcPr>
            <w:tcW w:w="6210" w:type="dxa"/>
            <w:vMerge/>
            <w:tcBorders>
              <w:top w:val="nil"/>
              <w:left w:val="nil"/>
              <w:bottom w:val="single" w:sz="6" w:space="0" w:color="000000"/>
              <w:right w:val="single" w:sz="6" w:space="0" w:color="999999"/>
            </w:tcBorders>
            <w:tcMar>
              <w:top w:w="0" w:type="dxa"/>
              <w:left w:w="100" w:type="dxa"/>
              <w:bottom w:w="0" w:type="dxa"/>
              <w:right w:w="100" w:type="dxa"/>
            </w:tcMar>
          </w:tcPr>
          <w:p w14:paraId="28F05DD5" w14:textId="77777777" w:rsidR="00315874" w:rsidRDefault="00315874">
            <w:pPr>
              <w:shd w:val="clear" w:color="auto" w:fill="FFFFFF"/>
              <w:spacing w:line="240" w:lineRule="auto"/>
              <w:jc w:val="both"/>
              <w:rPr>
                <w:rFonts w:ascii="Times New Roman" w:eastAsia="Times New Roman" w:hAnsi="Times New Roman" w:cs="Times New Roman"/>
                <w:b/>
                <w:bCs/>
                <w:sz w:val="24"/>
                <w:szCs w:val="24"/>
                <w:highlight w:val="white"/>
              </w:rPr>
            </w:pPr>
          </w:p>
        </w:tc>
      </w:tr>
      <w:tr w:rsidR="00315874" w14:paraId="12343A5A" w14:textId="77777777">
        <w:trPr>
          <w:trHeight w:val="752"/>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1BD08DD4"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2ADDC460" w14:textId="77777777" w:rsidR="00315874" w:rsidRDefault="00315874">
            <w:pPr>
              <w:spacing w:line="240" w:lineRule="auto"/>
              <w:rPr>
                <w:rFonts w:ascii="Times New Roman" w:eastAsia="Times New Roman" w:hAnsi="Times New Roman" w:cs="Times New Roman"/>
                <w:b/>
                <w:bCs/>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18C35FDC" w14:textId="77777777" w:rsidR="00315874" w:rsidRDefault="00000000">
            <w:pPr>
              <w:ind w:firstLine="283"/>
              <w:jc w:val="both"/>
              <w:rPr>
                <w:rFonts w:ascii="Times New Roman" w:eastAsia="Times New Roman" w:hAnsi="Times New Roman" w:cs="Times New Roman"/>
                <w:highlight w:val="white"/>
              </w:rPr>
            </w:pPr>
            <w:r>
              <w:rPr>
                <w:rFonts w:ascii="Times New Roman" w:eastAsia="Times New Roman" w:hAnsi="Times New Roman" w:cs="Times New Roman"/>
                <w:highlight w:val="white"/>
              </w:rPr>
              <w:t>5. Totodată, Serviciul atenționează asupra faptului că, chiar dacă scopul declarat al proiectului de lege este „consolidarea cadrului normativ privind garanţiile sociale”, doar pentru Serviciului de Informații și Securitate se atestă o diminuare a zilelor de concediu, și anume potrivit proiectului de lege:</w:t>
            </w:r>
          </w:p>
          <w:p w14:paraId="1A412B41" w14:textId="77777777" w:rsidR="00315874" w:rsidRDefault="00000000">
            <w:pPr>
              <w:ind w:firstLine="283"/>
              <w:jc w:val="both"/>
              <w:rPr>
                <w:rFonts w:ascii="Times New Roman" w:eastAsia="Times New Roman" w:hAnsi="Times New Roman" w:cs="Times New Roman"/>
                <w:highlight w:val="white"/>
              </w:rPr>
            </w:pPr>
            <w:r>
              <w:rPr>
                <w:rFonts w:ascii="Times New Roman" w:eastAsia="Times New Roman" w:hAnsi="Times New Roman" w:cs="Times New Roman"/>
                <w:highlight w:val="white"/>
              </w:rPr>
              <w:t>-</w:t>
            </w:r>
            <w:r>
              <w:rPr>
                <w:rFonts w:ascii="Times New Roman" w:eastAsia="Times New Roman" w:hAnsi="Times New Roman" w:cs="Times New Roman"/>
                <w:highlight w:val="white"/>
                <w:u w:val="single"/>
              </w:rPr>
              <w:t>Legea nr. 170/2007 cu privire la statutul ofițerului de informații și securitate</w:t>
            </w:r>
            <w:r>
              <w:rPr>
                <w:rFonts w:ascii="Times New Roman" w:eastAsia="Times New Roman" w:hAnsi="Times New Roman" w:cs="Times New Roman"/>
                <w:highlight w:val="white"/>
              </w:rPr>
              <w:t xml:space="preserve">, ofițerilor de informații li se acordă „30 zile lucrătoare de concediu”, iar prin modificarea propusă urmează să le fie acordat doar 28 zile lucrătoare. - </w:t>
            </w:r>
            <w:r>
              <w:rPr>
                <w:rFonts w:ascii="Times New Roman" w:eastAsia="Times New Roman" w:hAnsi="Times New Roman" w:cs="Times New Roman"/>
                <w:b/>
                <w:bCs/>
                <w:highlight w:val="white"/>
              </w:rPr>
              <w:t>o diminuare cu 2 zile lucrătoare</w:t>
            </w:r>
            <w:r>
              <w:rPr>
                <w:rFonts w:ascii="Times New Roman" w:eastAsia="Times New Roman" w:hAnsi="Times New Roman" w:cs="Times New Roman"/>
                <w:highlight w:val="white"/>
              </w:rPr>
              <w:t>;</w:t>
            </w:r>
          </w:p>
          <w:p w14:paraId="51251628" w14:textId="77777777" w:rsidR="00315874" w:rsidRDefault="00000000">
            <w:pPr>
              <w:ind w:firstLine="283"/>
              <w:jc w:val="both"/>
              <w:rPr>
                <w:rFonts w:ascii="Times New Roman" w:eastAsia="Times New Roman" w:hAnsi="Times New Roman" w:cs="Times New Roman"/>
                <w:highlight w:val="white"/>
                <w:u w:val="single"/>
              </w:rPr>
            </w:pPr>
            <w:r>
              <w:rPr>
                <w:rFonts w:ascii="Times New Roman" w:eastAsia="Times New Roman" w:hAnsi="Times New Roman" w:cs="Times New Roman"/>
                <w:highlight w:val="white"/>
              </w:rPr>
              <w:t>-</w:t>
            </w:r>
            <w:r>
              <w:rPr>
                <w:rFonts w:ascii="Times New Roman" w:eastAsia="Times New Roman" w:hAnsi="Times New Roman" w:cs="Times New Roman"/>
                <w:highlight w:val="white"/>
                <w:u w:val="single"/>
              </w:rPr>
              <w:t>Legea nr. 544/1995 cu privire la statutul judecătorului</w:t>
            </w:r>
          </w:p>
          <w:p w14:paraId="16CFE98E" w14:textId="77777777" w:rsidR="00315874" w:rsidRDefault="00000000">
            <w:pPr>
              <w:ind w:firstLine="283"/>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 textul „30 de zile calendaristice” se substituie cu textul „32 zile lucrătoare” -</w:t>
            </w:r>
            <w:r>
              <w:rPr>
                <w:rFonts w:ascii="Times New Roman" w:eastAsia="Times New Roman" w:hAnsi="Times New Roman" w:cs="Times New Roman"/>
                <w:b/>
                <w:bCs/>
                <w:highlight w:val="white"/>
              </w:rPr>
              <w:t xml:space="preserve"> echivalentul la 44 zile calendaristice</w:t>
            </w:r>
            <w:r>
              <w:rPr>
                <w:rFonts w:ascii="Times New Roman" w:eastAsia="Times New Roman" w:hAnsi="Times New Roman" w:cs="Times New Roman"/>
                <w:highlight w:val="white"/>
              </w:rPr>
              <w:t>;</w:t>
            </w:r>
          </w:p>
          <w:p w14:paraId="413FAB14" w14:textId="77777777" w:rsidR="00315874" w:rsidRDefault="00000000">
            <w:pPr>
              <w:ind w:firstLine="283"/>
              <w:jc w:val="both"/>
              <w:rPr>
                <w:rFonts w:ascii="Times New Roman" w:eastAsia="Times New Roman" w:hAnsi="Times New Roman" w:cs="Times New Roman"/>
                <w:highlight w:val="white"/>
                <w:u w:val="single"/>
              </w:rPr>
            </w:pPr>
            <w:r>
              <w:rPr>
                <w:rFonts w:ascii="Times New Roman" w:eastAsia="Times New Roman" w:hAnsi="Times New Roman" w:cs="Times New Roman"/>
                <w:highlight w:val="white"/>
              </w:rPr>
              <w:t>-</w:t>
            </w:r>
            <w:r>
              <w:rPr>
                <w:rFonts w:ascii="Times New Roman" w:eastAsia="Times New Roman" w:hAnsi="Times New Roman" w:cs="Times New Roman"/>
                <w:highlight w:val="white"/>
                <w:u w:val="single"/>
              </w:rPr>
              <w:t>Legea nr. 1104/2002 cu privire la Centrul Naţional Anticorupţie</w:t>
            </w:r>
          </w:p>
          <w:p w14:paraId="4292E479" w14:textId="77777777" w:rsidR="00315874" w:rsidRDefault="00000000">
            <w:pPr>
              <w:ind w:firstLine="283"/>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„(2) Ofițerului anticorupţie i se acordă concediu de odihnă anual de 28 de  zile lucrătoare.”, la moment angajaţii CNA beneficiază de 35 zile calendaristice, 28 zile lucrătoare ar fi </w:t>
            </w:r>
            <w:r>
              <w:rPr>
                <w:rFonts w:ascii="Times New Roman" w:eastAsia="Times New Roman" w:hAnsi="Times New Roman" w:cs="Times New Roman"/>
                <w:b/>
                <w:bCs/>
                <w:highlight w:val="white"/>
              </w:rPr>
              <w:t>echivalentul la 38 zile calendaristice</w:t>
            </w:r>
            <w:r>
              <w:rPr>
                <w:rFonts w:ascii="Times New Roman" w:eastAsia="Times New Roman" w:hAnsi="Times New Roman" w:cs="Times New Roman"/>
                <w:highlight w:val="white"/>
              </w:rPr>
              <w:t>;</w:t>
            </w:r>
          </w:p>
          <w:p w14:paraId="1853D75E" w14:textId="77777777" w:rsidR="00315874" w:rsidRDefault="00000000">
            <w:pPr>
              <w:ind w:firstLine="283"/>
              <w:jc w:val="both"/>
              <w:rPr>
                <w:rFonts w:ascii="Times New Roman" w:eastAsia="Times New Roman" w:hAnsi="Times New Roman" w:cs="Times New Roman"/>
                <w:highlight w:val="white"/>
              </w:rPr>
            </w:pPr>
            <w:r>
              <w:rPr>
                <w:rFonts w:ascii="Times New Roman" w:eastAsia="Times New Roman" w:hAnsi="Times New Roman" w:cs="Times New Roman"/>
                <w:highlight w:val="white"/>
              </w:rPr>
              <w:t>-</w:t>
            </w:r>
            <w:r>
              <w:rPr>
                <w:rFonts w:ascii="Times New Roman" w:eastAsia="Times New Roman" w:hAnsi="Times New Roman" w:cs="Times New Roman"/>
                <w:highlight w:val="white"/>
                <w:u w:val="single"/>
              </w:rPr>
              <w:t xml:space="preserve">Legea nr. 134/2008 cu privire la Serviciul de Protecţie și Pază de Stat </w:t>
            </w:r>
            <w:r>
              <w:rPr>
                <w:rFonts w:ascii="Times New Roman" w:eastAsia="Times New Roman" w:hAnsi="Times New Roman" w:cs="Times New Roman"/>
                <w:highlight w:val="white"/>
              </w:rPr>
              <w:t xml:space="preserve">textul „35 de zile calendaristice” se substituie cu textul „28 de zile lucrătoare” - </w:t>
            </w:r>
            <w:r>
              <w:rPr>
                <w:rFonts w:ascii="Times New Roman" w:eastAsia="Times New Roman" w:hAnsi="Times New Roman" w:cs="Times New Roman"/>
                <w:b/>
                <w:bCs/>
                <w:highlight w:val="white"/>
              </w:rPr>
              <w:t>echivalentul la 38 zile calendaristice</w:t>
            </w:r>
            <w:r>
              <w:rPr>
                <w:rFonts w:ascii="Times New Roman" w:eastAsia="Times New Roman" w:hAnsi="Times New Roman" w:cs="Times New Roman"/>
                <w:highlight w:val="white"/>
              </w:rPr>
              <w:t>;</w:t>
            </w:r>
          </w:p>
          <w:p w14:paraId="6379E9B8" w14:textId="77777777" w:rsidR="00315874" w:rsidRDefault="00000000">
            <w:pPr>
              <w:ind w:firstLine="283"/>
              <w:jc w:val="both"/>
              <w:rPr>
                <w:rFonts w:ascii="Times New Roman" w:eastAsia="Times New Roman" w:hAnsi="Times New Roman" w:cs="Times New Roman"/>
                <w:highlight w:val="white"/>
                <w:u w:val="single"/>
              </w:rPr>
            </w:pPr>
            <w:r>
              <w:rPr>
                <w:rFonts w:ascii="Times New Roman" w:eastAsia="Times New Roman" w:hAnsi="Times New Roman" w:cs="Times New Roman"/>
                <w:highlight w:val="white"/>
                <w:u w:val="single"/>
              </w:rPr>
              <w:lastRenderedPageBreak/>
              <w:t>-Legea nr. 3/2016 cu privire la procuratură</w:t>
            </w:r>
          </w:p>
          <w:p w14:paraId="57081700" w14:textId="77777777" w:rsidR="00315874" w:rsidRDefault="00000000">
            <w:pPr>
              <w:ind w:firstLine="283"/>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textul „35 de zile calendaristice” se substituie cu „30 de zile lucrătoare” - </w:t>
            </w:r>
            <w:r>
              <w:rPr>
                <w:rFonts w:ascii="Times New Roman" w:eastAsia="Times New Roman" w:hAnsi="Times New Roman" w:cs="Times New Roman"/>
                <w:b/>
                <w:bCs/>
                <w:highlight w:val="white"/>
              </w:rPr>
              <w:t>echivalentul la 42 zile calendaristice</w:t>
            </w:r>
            <w:r>
              <w:rPr>
                <w:rFonts w:ascii="Times New Roman" w:eastAsia="Times New Roman" w:hAnsi="Times New Roman" w:cs="Times New Roman"/>
                <w:highlight w:val="white"/>
              </w:rPr>
              <w:t>;</w:t>
            </w:r>
          </w:p>
          <w:p w14:paraId="6C674F10" w14:textId="77777777" w:rsidR="00315874" w:rsidRDefault="00000000">
            <w:pPr>
              <w:ind w:firstLine="283"/>
              <w:jc w:val="both"/>
              <w:rPr>
                <w:rFonts w:ascii="Times New Roman" w:eastAsia="Times New Roman" w:hAnsi="Times New Roman" w:cs="Times New Roman"/>
                <w:highlight w:val="white"/>
                <w:u w:val="single"/>
              </w:rPr>
            </w:pPr>
            <w:r>
              <w:rPr>
                <w:rFonts w:ascii="Times New Roman" w:eastAsia="Times New Roman" w:hAnsi="Times New Roman" w:cs="Times New Roman"/>
                <w:highlight w:val="white"/>
              </w:rPr>
              <w:t xml:space="preserve">- </w:t>
            </w:r>
            <w:r>
              <w:rPr>
                <w:rFonts w:ascii="Times New Roman" w:eastAsia="Times New Roman" w:hAnsi="Times New Roman" w:cs="Times New Roman"/>
                <w:highlight w:val="white"/>
                <w:u w:val="single"/>
              </w:rPr>
              <w:t>Legea nr. 300/2017 cu privire la sistemul administraţie</w:t>
            </w:r>
            <w:r>
              <w:rPr>
                <w:rFonts w:ascii="Times New Roman" w:eastAsia="Times New Roman" w:hAnsi="Times New Roman" w:cs="Times New Roman"/>
                <w:highlight w:val="white"/>
              </w:rPr>
              <w:t xml:space="preserve">i </w:t>
            </w:r>
            <w:r>
              <w:rPr>
                <w:rFonts w:ascii="Times New Roman" w:eastAsia="Times New Roman" w:hAnsi="Times New Roman" w:cs="Times New Roman"/>
                <w:highlight w:val="white"/>
                <w:u w:val="single"/>
              </w:rPr>
              <w:t>penitenciare</w:t>
            </w:r>
          </w:p>
          <w:p w14:paraId="52510083" w14:textId="77777777" w:rsidR="00315874" w:rsidRDefault="00000000">
            <w:pPr>
              <w:ind w:firstLine="283"/>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„(2) Funcţionarilor publici cu statut special se acordă concediu de odihnă anual cu durata de 30 de zile lucrătoare.” - </w:t>
            </w:r>
            <w:r>
              <w:rPr>
                <w:rFonts w:ascii="Times New Roman" w:eastAsia="Times New Roman" w:hAnsi="Times New Roman" w:cs="Times New Roman"/>
                <w:b/>
                <w:bCs/>
                <w:highlight w:val="white"/>
              </w:rPr>
              <w:t xml:space="preserve">echivalentul la 42 zile calendaristice. </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088D8A6B"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Nu se acceptă</w:t>
            </w:r>
          </w:p>
          <w:p w14:paraId="3903E2C5" w14:textId="77777777" w:rsidR="00315874" w:rsidRDefault="00000000">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Uniformizarea regimului concediilor nu poate ignora realitatea profund diferită a funcțiilor exercitate, a responsabilităților asumate și a riscurilor suportate. Dincolo de numărul zilelor de concediu se află oameni care exercită autoritatea statului, iau decizii cu consecințe asupra libertății persoanei sau își desfășoară activitatea în condiții de presiune și de confruntare directă cu un mediu ostil.</w:t>
            </w:r>
          </w:p>
          <w:p w14:paraId="651F665F" w14:textId="77777777" w:rsidR="00315874" w:rsidRDefault="00000000">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Obiectivul proiectului este instituirea unei abordări comune privind exprimarea și calcularea concediului anual de odihnă în zile lucrătoare. Acest obiectiv nu presupune însă egalizarea mecanică a duratei concediului pentru toate categoriile profesionale, fără a ține seama de particularitățile statutului și ale activității acestora.</w:t>
            </w:r>
          </w:p>
          <w:p w14:paraId="00A73D4E" w14:textId="77777777" w:rsidR="00315874" w:rsidRDefault="00000000">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Astfel, deși pentru unele categorii durata concediului a fost uniformizată la 28 de zile lucrătoare, menținerea unor durate diferențiate are în vedere particularități care nu pot fi înlăturate prin simpla aplicare a unui reper numeric unic:</w:t>
            </w:r>
          </w:p>
          <w:p w14:paraId="2AE7974E" w14:textId="77777777" w:rsidR="00315874" w:rsidRDefault="00000000">
            <w:pPr>
              <w:numPr>
                <w:ilvl w:val="0"/>
                <w:numId w:val="2"/>
              </w:numPr>
              <w:shd w:val="clear" w:color="auto" w:fill="FFFFFF"/>
              <w:spacing w:before="24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lastRenderedPageBreak/>
              <w:t>pentru anumite categorii, durata concediului este stabilită în funcție de vechimea în serviciu, astfel încât nu există un număr unic de zile care să poată fi ajustat;</w:t>
            </w:r>
          </w:p>
          <w:p w14:paraId="11A44722" w14:textId="77777777" w:rsidR="00315874" w:rsidRDefault="00000000">
            <w:pPr>
              <w:numPr>
                <w:ilvl w:val="0"/>
                <w:numId w:val="2"/>
              </w:numPr>
              <w:shd w:val="clear" w:color="auto" w:fill="FFFFFF"/>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pentru procurori, sunt avute în vedere statutul constituțional distinct, exercitarea funcțiilor de urmărire penală și de acuzare publică, garanțiile de independență funcțională și exigențele sporite de imparțialitate și integritate;</w:t>
            </w:r>
          </w:p>
          <w:p w14:paraId="6649A061" w14:textId="77777777" w:rsidR="00315874" w:rsidRDefault="00000000">
            <w:pPr>
              <w:numPr>
                <w:ilvl w:val="0"/>
                <w:numId w:val="2"/>
              </w:numPr>
              <w:shd w:val="clear" w:color="auto" w:fill="FFFFFF"/>
              <w:spacing w:after="24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pentru personalul care activează în penitenciare, sunt luate în considerare riscurile specifice, presiunea psihologică și expunerea directă la situații conflictuale și la un mediu potențial ostil.</w:t>
            </w:r>
          </w:p>
          <w:p w14:paraId="319A9433" w14:textId="77777777" w:rsidR="00315874" w:rsidRDefault="00000000">
            <w:pPr>
              <w:shd w:val="clear" w:color="auto" w:fill="FFFFFF"/>
              <w:spacing w:before="240" w:after="240"/>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sz w:val="24"/>
                <w:szCs w:val="24"/>
              </w:rPr>
              <w:t>Aceste opțiuni nu stabilesc o ierarhie a valorii profesiilor și nu diminuează importanța, responsabilitatea sau solicitarea profesională a activității angajaților SIS. Diferențierea urmărește să țină seama de particularitățile fiecărei funcții, inclusiv de natura riscurilor și de formele concrete de expunere profesională. Numărul zilelor de concediu nu reprezintă o măsură a respectului datorat unei profesii, ci un element al regimului de protecție și recuperare asociat condițiilor în care aceasta este exercitată.</w:t>
            </w:r>
          </w:p>
        </w:tc>
      </w:tr>
      <w:tr w:rsidR="00315874" w14:paraId="350C9391" w14:textId="77777777">
        <w:trPr>
          <w:trHeight w:val="752"/>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78AF4FA8"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788FCC60" w14:textId="77777777" w:rsidR="00315874" w:rsidRDefault="00315874">
            <w:pPr>
              <w:spacing w:line="240" w:lineRule="auto"/>
              <w:rPr>
                <w:rFonts w:ascii="Times New Roman" w:eastAsia="Times New Roman" w:hAnsi="Times New Roman" w:cs="Times New Roman"/>
                <w:b/>
                <w:bCs/>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3FA071E4" w14:textId="77777777" w:rsidR="00315874" w:rsidRDefault="00000000">
            <w:pPr>
              <w:ind w:firstLine="283"/>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6.</w:t>
            </w:r>
            <w:r>
              <w:rPr>
                <w:rFonts w:ascii="Times New Roman" w:eastAsia="Times New Roman" w:hAnsi="Times New Roman" w:cs="Times New Roman"/>
                <w:highlight w:val="white"/>
              </w:rPr>
              <w:t xml:space="preserve"> Reieșind din cele menționare supra, Serviciul propune modificarea Art. VIII din proiectul de lege și expunerea lui în redacție nouă, cu următorul cuprins:</w:t>
            </w:r>
          </w:p>
          <w:p w14:paraId="093E0AC7" w14:textId="77777777" w:rsidR="00315874" w:rsidRDefault="00000000">
            <w:pPr>
              <w:ind w:firstLine="283"/>
              <w:jc w:val="both"/>
              <w:rPr>
                <w:rFonts w:ascii="Times New Roman" w:eastAsia="Times New Roman" w:hAnsi="Times New Roman" w:cs="Times New Roman"/>
                <w:highlight w:val="white"/>
              </w:rPr>
            </w:pPr>
            <w:r>
              <w:rPr>
                <w:rFonts w:ascii="Times New Roman" w:eastAsia="Times New Roman" w:hAnsi="Times New Roman" w:cs="Times New Roman"/>
                <w:highlight w:val="white"/>
              </w:rPr>
              <w:t>„</w:t>
            </w:r>
            <w:r>
              <w:rPr>
                <w:rFonts w:ascii="Times New Roman" w:eastAsia="Times New Roman" w:hAnsi="Times New Roman" w:cs="Times New Roman"/>
                <w:b/>
                <w:bCs/>
                <w:highlight w:val="white"/>
              </w:rPr>
              <w:t>Art. VIII</w:t>
            </w:r>
            <w:r>
              <w:rPr>
                <w:rFonts w:ascii="Times New Roman" w:eastAsia="Times New Roman" w:hAnsi="Times New Roman" w:cs="Times New Roman"/>
                <w:highlight w:val="white"/>
              </w:rPr>
              <w:t>. - Articolul 50 din Legea nr. 170/2007 cu privire la statutul ofițerului de informații și securitate, cu modificările ulterioare, se modifică după cum urmează:</w:t>
            </w:r>
          </w:p>
          <w:p w14:paraId="2C302AB1" w14:textId="77777777" w:rsidR="00315874" w:rsidRDefault="00000000">
            <w:pPr>
              <w:ind w:firstLine="283"/>
              <w:jc w:val="both"/>
              <w:rPr>
                <w:rFonts w:ascii="Times New Roman" w:eastAsia="Times New Roman" w:hAnsi="Times New Roman" w:cs="Times New Roman"/>
                <w:highlight w:val="white"/>
              </w:rPr>
            </w:pPr>
            <w:r>
              <w:rPr>
                <w:rFonts w:ascii="Times New Roman" w:eastAsia="Times New Roman" w:hAnsi="Times New Roman" w:cs="Times New Roman"/>
                <w:highlight w:val="white"/>
              </w:rPr>
              <w:t>Articolul 50: la alineatul (1), litera a) va avea următorul cuprins:</w:t>
            </w:r>
          </w:p>
          <w:p w14:paraId="4EE29D32" w14:textId="77777777" w:rsidR="00315874" w:rsidRDefault="00000000">
            <w:pPr>
              <w:ind w:firstLine="283"/>
              <w:jc w:val="both"/>
              <w:rPr>
                <w:rFonts w:ascii="Times New Roman" w:eastAsia="Times New Roman" w:hAnsi="Times New Roman" w:cs="Times New Roman"/>
                <w:highlight w:val="white"/>
              </w:rPr>
            </w:pPr>
            <w:r>
              <w:rPr>
                <w:rFonts w:ascii="Times New Roman" w:eastAsia="Times New Roman" w:hAnsi="Times New Roman" w:cs="Times New Roman"/>
                <w:highlight w:val="white"/>
              </w:rPr>
              <w:t>„a) concediu de odihnă anual cu durată de 30 de zile lucrătoare, care se mărește:</w:t>
            </w:r>
          </w:p>
          <w:p w14:paraId="66B55949" w14:textId="77777777" w:rsidR="00315874" w:rsidRDefault="00000000">
            <w:pPr>
              <w:ind w:firstLine="283"/>
              <w:jc w:val="both"/>
              <w:rPr>
                <w:rFonts w:ascii="Times New Roman" w:eastAsia="Times New Roman" w:hAnsi="Times New Roman" w:cs="Times New Roman"/>
                <w:highlight w:val="white"/>
              </w:rPr>
            </w:pPr>
            <w:r>
              <w:rPr>
                <w:rFonts w:ascii="Times New Roman" w:eastAsia="Times New Roman" w:hAnsi="Times New Roman" w:cs="Times New Roman"/>
                <w:highlight w:val="white"/>
              </w:rPr>
              <w:t>- cu 2 zile lucrătoare pentru o vechime în cadrul Serviciului de la 10 la 15 ani;</w:t>
            </w:r>
          </w:p>
          <w:p w14:paraId="562F225B" w14:textId="77777777" w:rsidR="00315874" w:rsidRDefault="00000000">
            <w:pPr>
              <w:ind w:firstLine="283"/>
              <w:jc w:val="both"/>
              <w:rPr>
                <w:rFonts w:ascii="Times New Roman" w:eastAsia="Times New Roman" w:hAnsi="Times New Roman" w:cs="Times New Roman"/>
                <w:highlight w:val="white"/>
              </w:rPr>
            </w:pPr>
            <w:r>
              <w:rPr>
                <w:rFonts w:ascii="Times New Roman" w:eastAsia="Times New Roman" w:hAnsi="Times New Roman" w:cs="Times New Roman"/>
                <w:highlight w:val="white"/>
              </w:rPr>
              <w:t>- cu 4 zile lucrătoare pentru o vechime în cadrul Serviciului de la 15 la 20 de ani;</w:t>
            </w:r>
          </w:p>
          <w:p w14:paraId="6945D8EB" w14:textId="77777777" w:rsidR="00315874" w:rsidRDefault="00000000">
            <w:pPr>
              <w:ind w:firstLine="283"/>
              <w:jc w:val="both"/>
              <w:rPr>
                <w:rFonts w:ascii="Times New Roman" w:eastAsia="Times New Roman" w:hAnsi="Times New Roman" w:cs="Times New Roman"/>
                <w:highlight w:val="white"/>
              </w:rPr>
            </w:pPr>
            <w:r>
              <w:rPr>
                <w:rFonts w:ascii="Times New Roman" w:eastAsia="Times New Roman" w:hAnsi="Times New Roman" w:cs="Times New Roman"/>
                <w:highlight w:val="white"/>
              </w:rPr>
              <w:t>- cu 6 zile lucrătoare pentru o vechime în cadrul Serviciului de 20 de ani și mai</w:t>
            </w:r>
            <w:r>
              <w:rPr>
                <w:rFonts w:ascii="Times New Roman" w:eastAsia="Times New Roman" w:hAnsi="Times New Roman" w:cs="Times New Roman"/>
                <w:color w:val="005A95"/>
                <w:highlight w:val="white"/>
              </w:rPr>
              <w:t xml:space="preserve"> </w:t>
            </w:r>
            <w:r>
              <w:rPr>
                <w:rFonts w:ascii="Times New Roman" w:eastAsia="Times New Roman" w:hAnsi="Times New Roman" w:cs="Times New Roman"/>
                <w:highlight w:val="white"/>
              </w:rPr>
              <w:t xml:space="preserve">mult.”. </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379FA3BC"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 xml:space="preserve">Nu se acceptă. </w:t>
            </w:r>
          </w:p>
          <w:p w14:paraId="02594083" w14:textId="77777777" w:rsidR="00315874" w:rsidRDefault="00315874">
            <w:pPr>
              <w:shd w:val="clear" w:color="auto" w:fill="FFFFFF"/>
              <w:jc w:val="both"/>
              <w:rPr>
                <w:rFonts w:ascii="Times New Roman" w:eastAsia="Times New Roman" w:hAnsi="Times New Roman" w:cs="Times New Roman"/>
                <w:b/>
                <w:bCs/>
                <w:sz w:val="24"/>
                <w:szCs w:val="24"/>
                <w:highlight w:val="white"/>
              </w:rPr>
            </w:pPr>
          </w:p>
        </w:tc>
      </w:tr>
      <w:tr w:rsidR="00315874" w14:paraId="63C16174" w14:textId="77777777">
        <w:trPr>
          <w:trHeight w:val="752"/>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3E860170"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35F1F56A" w14:textId="77777777" w:rsidR="00315874" w:rsidRDefault="00315874">
            <w:pPr>
              <w:spacing w:line="240" w:lineRule="auto"/>
              <w:rPr>
                <w:rFonts w:ascii="Times New Roman" w:eastAsia="Times New Roman" w:hAnsi="Times New Roman" w:cs="Times New Roman"/>
                <w:b/>
                <w:bCs/>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1E60A12D" w14:textId="77777777" w:rsidR="00315874" w:rsidRDefault="00000000">
            <w:pPr>
              <w:ind w:firstLine="283"/>
              <w:jc w:val="both"/>
              <w:rPr>
                <w:rFonts w:ascii="Times New Roman" w:eastAsia="Times New Roman" w:hAnsi="Times New Roman" w:cs="Times New Roman"/>
                <w:highlight w:val="white"/>
              </w:rPr>
            </w:pPr>
            <w:r>
              <w:rPr>
                <w:rFonts w:ascii="Times New Roman" w:eastAsia="Times New Roman" w:hAnsi="Times New Roman" w:cs="Times New Roman"/>
                <w:highlight w:val="white"/>
              </w:rPr>
              <w:t>7. Serviciul insistă în mod categoric pe menţinerea duratei de bază a concediului de odihnă anual de 30 de zile lucrătoare și pe păstrarea sporului progresiv pentru vechimea în serviciu, adaptat la noua metodologie de calcul.</w:t>
            </w:r>
          </w:p>
          <w:p w14:paraId="7C1401A1" w14:textId="77777777" w:rsidR="00315874" w:rsidRDefault="00000000">
            <w:pPr>
              <w:ind w:firstLine="283"/>
              <w:jc w:val="both"/>
              <w:rPr>
                <w:rFonts w:ascii="Times New Roman" w:eastAsia="Times New Roman" w:hAnsi="Times New Roman" w:cs="Times New Roman"/>
                <w:highlight w:val="white"/>
              </w:rPr>
            </w:pPr>
            <w:r>
              <w:rPr>
                <w:rFonts w:ascii="Times New Roman" w:eastAsia="Times New Roman" w:hAnsi="Times New Roman" w:cs="Times New Roman"/>
                <w:highlight w:val="white"/>
              </w:rPr>
              <w:t>Sporul progresiv se acordă ofițerilor de informații, strict pentru vechimea în cadrul Serviciului de Informații și Securitate, care constituie o recompensă pentru fidelitatea și loialitatea faţă de Serviciu.</w:t>
            </w:r>
          </w:p>
          <w:p w14:paraId="268F65DE" w14:textId="77777777" w:rsidR="00315874" w:rsidRDefault="00000000">
            <w:pPr>
              <w:ind w:firstLine="283"/>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Autorii proiectului au invocat necesitatea unei uniformizări standard de 28 de zile lucrătoare pentru întreg sectorul public. Cu toate acestea, textul proiectului demonstrează clar că </w:t>
            </w:r>
            <w:r>
              <w:rPr>
                <w:rFonts w:ascii="Times New Roman" w:eastAsia="Times New Roman" w:hAnsi="Times New Roman" w:cs="Times New Roman"/>
                <w:highlight w:val="white"/>
              </w:rPr>
              <w:lastRenderedPageBreak/>
              <w:t>legiuitorul a recunoscut deja specificul anumitor categorii și a aplicat excepţii, acordând durate mai mari. Analizând textul proiectului, se observă că:</w:t>
            </w:r>
          </w:p>
          <w:p w14:paraId="6643AA2C" w14:textId="77777777" w:rsidR="00315874" w:rsidRDefault="00000000">
            <w:pPr>
              <w:ind w:firstLine="283"/>
              <w:jc w:val="both"/>
              <w:rPr>
                <w:rFonts w:ascii="Times New Roman" w:eastAsia="Times New Roman" w:hAnsi="Times New Roman" w:cs="Times New Roman"/>
                <w:highlight w:val="white"/>
              </w:rPr>
            </w:pPr>
            <w:r>
              <w:rPr>
                <w:rFonts w:ascii="Times New Roman" w:eastAsia="Times New Roman" w:hAnsi="Times New Roman" w:cs="Times New Roman"/>
                <w:highlight w:val="white"/>
              </w:rPr>
              <w:t>- Judecătorii (Art. II) urmează să primească 32 de zile lucrătoare;</w:t>
            </w:r>
          </w:p>
          <w:p w14:paraId="4CE4407C" w14:textId="77777777" w:rsidR="00315874" w:rsidRDefault="00000000">
            <w:pPr>
              <w:ind w:firstLine="283"/>
              <w:jc w:val="both"/>
              <w:rPr>
                <w:rFonts w:ascii="Times New Roman" w:eastAsia="Times New Roman" w:hAnsi="Times New Roman" w:cs="Times New Roman"/>
                <w:highlight w:val="white"/>
              </w:rPr>
            </w:pPr>
            <w:r>
              <w:rPr>
                <w:rFonts w:ascii="Times New Roman" w:eastAsia="Times New Roman" w:hAnsi="Times New Roman" w:cs="Times New Roman"/>
                <w:highlight w:val="white"/>
              </w:rPr>
              <w:t>- Procurorii (Art. XIV) urmează să primească 30 de zile lucrătoare;</w:t>
            </w:r>
          </w:p>
          <w:p w14:paraId="6B8AC177" w14:textId="77777777" w:rsidR="00315874" w:rsidRDefault="00000000">
            <w:pPr>
              <w:ind w:firstLine="283"/>
              <w:jc w:val="both"/>
              <w:rPr>
                <w:rFonts w:ascii="Times New Roman" w:eastAsia="Times New Roman" w:hAnsi="Times New Roman" w:cs="Times New Roman"/>
                <w:highlight w:val="white"/>
              </w:rPr>
            </w:pPr>
            <w:r>
              <w:rPr>
                <w:rFonts w:ascii="Times New Roman" w:eastAsia="Times New Roman" w:hAnsi="Times New Roman" w:cs="Times New Roman"/>
                <w:highlight w:val="white"/>
              </w:rPr>
              <w:t>- Membrii Curţii Constituţionale (Art. XIX) urmează să primească 34 de zile lucrătoare;</w:t>
            </w:r>
          </w:p>
          <w:p w14:paraId="452CEC10" w14:textId="77777777" w:rsidR="00315874" w:rsidRDefault="00000000">
            <w:pPr>
              <w:ind w:firstLine="283"/>
              <w:jc w:val="both"/>
              <w:rPr>
                <w:rFonts w:ascii="Times New Roman" w:eastAsia="Times New Roman" w:hAnsi="Times New Roman" w:cs="Times New Roman"/>
                <w:highlight w:val="white"/>
              </w:rPr>
            </w:pPr>
            <w:r>
              <w:rPr>
                <w:rFonts w:ascii="Times New Roman" w:eastAsia="Times New Roman" w:hAnsi="Times New Roman" w:cs="Times New Roman"/>
                <w:highlight w:val="white"/>
              </w:rPr>
              <w:t>- Funcţionarii din sistemul administraţiei penitenciare (Art. XVI) urmează să primească 30 de zile lucrătoare.</w:t>
            </w:r>
          </w:p>
          <w:p w14:paraId="67690923" w14:textId="77777777" w:rsidR="00315874" w:rsidRDefault="00000000">
            <w:pPr>
              <w:ind w:firstLine="283"/>
              <w:jc w:val="both"/>
              <w:rPr>
                <w:rFonts w:ascii="Times New Roman" w:eastAsia="Times New Roman" w:hAnsi="Times New Roman" w:cs="Times New Roman"/>
                <w:highlight w:val="white"/>
              </w:rPr>
            </w:pPr>
            <w:r>
              <w:rPr>
                <w:rFonts w:ascii="Times New Roman" w:eastAsia="Times New Roman" w:hAnsi="Times New Roman" w:cs="Times New Roman"/>
                <w:highlight w:val="white"/>
              </w:rPr>
              <w:t>În acest context, obligarea exclusivă a ofițerilor de informații de a cobori la pragul minim de 28 de zile, reprezintă un tratament discriminatoriu și o desconsiderare a riscurilor specifice activității de securitate națională, contraspionaj și combatere a terorismului. Dacă pentru alte autorități s-a putut stabili un plafon de 30-34 de zile lucrătoare, Serviciul are pe deplin dreptul legitim de a menține cele 30 de zile de care beneficiază în prezent.</w:t>
            </w:r>
          </w:p>
          <w:p w14:paraId="43907010" w14:textId="77777777" w:rsidR="00315874" w:rsidRDefault="00000000">
            <w:pPr>
              <w:ind w:firstLine="283"/>
              <w:jc w:val="both"/>
              <w:rPr>
                <w:rFonts w:ascii="Times New Roman" w:eastAsia="Times New Roman" w:hAnsi="Times New Roman" w:cs="Times New Roman"/>
                <w:highlight w:val="white"/>
              </w:rPr>
            </w:pPr>
            <w:r>
              <w:rPr>
                <w:rFonts w:ascii="Times New Roman" w:eastAsia="Times New Roman" w:hAnsi="Times New Roman" w:cs="Times New Roman"/>
                <w:highlight w:val="white"/>
              </w:rPr>
              <w:t>Or, ofițerii de informații își desfășoară activitatea într-un regim de alertă continuă, cu restricții severe ale drepturilor fundamentale (dreptul la libera circulaţie, interdicția de a deține afaceri, expunerea la riscuri majore de viață și sănătate etc.). Reducerea drepturilor sociale în mod unilateral de către stat, în plină criză de securitate în regiune, va genera un semnal profund negativ în interiorul Serviciului, periclitând retenția personalului calificat.</w:t>
            </w:r>
          </w:p>
          <w:p w14:paraId="1727E251" w14:textId="77777777" w:rsidR="00315874" w:rsidRDefault="00000000">
            <w:pPr>
              <w:ind w:firstLine="283"/>
              <w:jc w:val="both"/>
              <w:rPr>
                <w:rFonts w:ascii="Times New Roman" w:eastAsia="Times New Roman" w:hAnsi="Times New Roman" w:cs="Times New Roman"/>
                <w:highlight w:val="white"/>
              </w:rPr>
            </w:pPr>
            <w:r>
              <w:rPr>
                <w:rFonts w:ascii="Times New Roman" w:eastAsia="Times New Roman" w:hAnsi="Times New Roman" w:cs="Times New Roman"/>
                <w:highlight w:val="white"/>
              </w:rPr>
              <w:lastRenderedPageBreak/>
              <w:t>Din aceste considerente, menţinerea celor 30 de zile lucrătoare de bază, suplimentate cu câte 2 zile pentru vechime în muncă, reprezintă o compensare minimă și absolut necesară pentru uzura profesională generată de regimul specific de aflare permanentă în dispozitiv și interdicțiile pe care le are un ofițer de informații.</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7022025B"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Nu se acceptă</w:t>
            </w:r>
          </w:p>
        </w:tc>
      </w:tr>
      <w:tr w:rsidR="00315874" w14:paraId="1BF2974A" w14:textId="77777777">
        <w:trPr>
          <w:trHeight w:val="752"/>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0CC49DD9"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6DE8473A" w14:textId="77777777" w:rsidR="00315874" w:rsidRDefault="00315874">
            <w:pPr>
              <w:spacing w:line="240" w:lineRule="auto"/>
              <w:rPr>
                <w:rFonts w:ascii="Times New Roman" w:eastAsia="Times New Roman" w:hAnsi="Times New Roman" w:cs="Times New Roman"/>
                <w:b/>
                <w:bCs/>
                <w:sz w:val="24"/>
                <w:szCs w:val="24"/>
              </w:rPr>
            </w:pPr>
          </w:p>
        </w:tc>
        <w:tc>
          <w:tcPr>
            <w:tcW w:w="5700" w:type="dxa"/>
            <w:vMerge w:val="restart"/>
            <w:tcBorders>
              <w:top w:val="nil"/>
              <w:left w:val="nil"/>
              <w:bottom w:val="single" w:sz="6" w:space="0" w:color="000000"/>
              <w:right w:val="single" w:sz="6" w:space="0" w:color="999999"/>
            </w:tcBorders>
            <w:tcMar>
              <w:top w:w="0" w:type="dxa"/>
              <w:left w:w="100" w:type="dxa"/>
              <w:bottom w:w="0" w:type="dxa"/>
              <w:right w:w="100" w:type="dxa"/>
            </w:tcMar>
          </w:tcPr>
          <w:p w14:paraId="03015B29" w14:textId="77777777" w:rsidR="00315874" w:rsidRDefault="00000000">
            <w:pPr>
              <w:ind w:firstLine="141"/>
              <w:jc w:val="both"/>
              <w:rPr>
                <w:rFonts w:ascii="Times New Roman" w:eastAsia="Times New Roman" w:hAnsi="Times New Roman" w:cs="Times New Roman"/>
                <w:highlight w:val="white"/>
              </w:rPr>
            </w:pPr>
            <w:r>
              <w:rPr>
                <w:rFonts w:ascii="Times New Roman" w:eastAsia="Times New Roman" w:hAnsi="Times New Roman" w:cs="Times New Roman"/>
                <w:b/>
                <w:bCs/>
                <w:highlight w:val="white"/>
              </w:rPr>
              <w:t>8</w:t>
            </w:r>
            <w:r>
              <w:rPr>
                <w:rFonts w:ascii="Times New Roman" w:eastAsia="Times New Roman" w:hAnsi="Times New Roman" w:cs="Times New Roman"/>
                <w:highlight w:val="white"/>
              </w:rPr>
              <w:t>. Suplimentar, Art. XX, alin. (2) din proiectul de lege, obligă ca toate zilele de concediu acumulate și nefolosite până la 1 ianuarie 2027, să fie acordate și calculate în zile calendaristice, o normă care probabil a fost generalizată fără a fi luat în calcul faptul că, în cadrul Serviciului concediile sunt acordate în zile lucrătoare potrivit art. 50 din Legea nr. 170/2007.</w:t>
            </w:r>
          </w:p>
          <w:p w14:paraId="6612D456" w14:textId="77777777" w:rsidR="00315874" w:rsidRDefault="00000000">
            <w:pPr>
              <w:ind w:firstLine="141"/>
              <w:jc w:val="both"/>
              <w:rPr>
                <w:rFonts w:ascii="Times New Roman" w:eastAsia="Times New Roman" w:hAnsi="Times New Roman" w:cs="Times New Roman"/>
                <w:highlight w:val="white"/>
              </w:rPr>
            </w:pPr>
            <w:r>
              <w:rPr>
                <w:rFonts w:ascii="Times New Roman" w:eastAsia="Times New Roman" w:hAnsi="Times New Roman" w:cs="Times New Roman"/>
                <w:highlight w:val="white"/>
              </w:rPr>
              <w:t>În cazul menținerii Art. XX, alin. (2) în redacția actuală, se va produce o reducere a duratei soldului de concediu prin redenumirea lui din „zile lucrătoare” în zile „zile calendaristice”, ceea ce ar cauza automat o încălcare a dreptului patrimonial dobândit.</w:t>
            </w:r>
          </w:p>
          <w:p w14:paraId="7B68DA08" w14:textId="77777777" w:rsidR="00315874" w:rsidRDefault="00000000">
            <w:pPr>
              <w:ind w:firstLine="141"/>
              <w:jc w:val="both"/>
              <w:rPr>
                <w:rFonts w:ascii="Times New Roman" w:eastAsia="Times New Roman" w:hAnsi="Times New Roman" w:cs="Times New Roman"/>
                <w:highlight w:val="white"/>
              </w:rPr>
            </w:pPr>
            <w:r>
              <w:rPr>
                <w:rFonts w:ascii="Times New Roman" w:eastAsia="Times New Roman" w:hAnsi="Times New Roman" w:cs="Times New Roman"/>
                <w:highlight w:val="white"/>
              </w:rPr>
              <w:t>Astfel, Serviciul propune completarea Art. XX, alin. (2) și anume, după cuvintele „în zile calendaristice” se va completa cu textul „ , iar în cazul ofițerilor de informații și securitate în zile lucrătoare,”.</w:t>
            </w:r>
          </w:p>
        </w:tc>
        <w:tc>
          <w:tcPr>
            <w:tcW w:w="6210" w:type="dxa"/>
            <w:vMerge w:val="restart"/>
            <w:tcBorders>
              <w:top w:val="nil"/>
              <w:left w:val="nil"/>
              <w:bottom w:val="single" w:sz="6" w:space="0" w:color="000000"/>
              <w:right w:val="single" w:sz="6" w:space="0" w:color="999999"/>
            </w:tcBorders>
            <w:tcMar>
              <w:top w:w="0" w:type="dxa"/>
              <w:left w:w="100" w:type="dxa"/>
              <w:bottom w:w="0" w:type="dxa"/>
              <w:right w:w="100" w:type="dxa"/>
            </w:tcMar>
          </w:tcPr>
          <w:p w14:paraId="0081603E"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Se acceptă</w:t>
            </w:r>
          </w:p>
          <w:p w14:paraId="7E55DD65"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Proiectul a fost completat pentru clarificarea acestei obiecții.</w:t>
            </w:r>
          </w:p>
          <w:p w14:paraId="3F1B78B5" w14:textId="6CFF8F15" w:rsidR="0021239A" w:rsidRDefault="0021239A">
            <w:pPr>
              <w:shd w:val="clear" w:color="auto" w:fill="FFFFFF"/>
              <w:jc w:val="both"/>
              <w:rPr>
                <w:rFonts w:ascii="Times New Roman" w:eastAsia="Times New Roman" w:hAnsi="Times New Roman" w:cs="Times New Roman"/>
                <w:sz w:val="24"/>
                <w:szCs w:val="24"/>
                <w:highlight w:val="white"/>
              </w:rPr>
            </w:pPr>
          </w:p>
        </w:tc>
      </w:tr>
      <w:tr w:rsidR="00315874" w14:paraId="6B843BAF" w14:textId="77777777">
        <w:trPr>
          <w:trHeight w:val="752"/>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44A2BC10"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321584E9" w14:textId="77777777" w:rsidR="00315874" w:rsidRDefault="00315874">
            <w:pPr>
              <w:spacing w:line="240" w:lineRule="auto"/>
              <w:rPr>
                <w:rFonts w:ascii="Times New Roman" w:eastAsia="Times New Roman" w:hAnsi="Times New Roman" w:cs="Times New Roman"/>
                <w:b/>
                <w:bCs/>
                <w:sz w:val="24"/>
                <w:szCs w:val="24"/>
              </w:rPr>
            </w:pPr>
          </w:p>
        </w:tc>
        <w:tc>
          <w:tcPr>
            <w:tcW w:w="5700" w:type="dxa"/>
            <w:vMerge/>
            <w:tcBorders>
              <w:top w:val="nil"/>
              <w:left w:val="nil"/>
              <w:bottom w:val="single" w:sz="6" w:space="0" w:color="000000"/>
              <w:right w:val="single" w:sz="6" w:space="0" w:color="999999"/>
            </w:tcBorders>
            <w:tcMar>
              <w:top w:w="0" w:type="dxa"/>
              <w:left w:w="100" w:type="dxa"/>
              <w:bottom w:w="0" w:type="dxa"/>
              <w:right w:w="100" w:type="dxa"/>
            </w:tcMar>
          </w:tcPr>
          <w:p w14:paraId="7E98A2FA" w14:textId="77777777" w:rsidR="00315874" w:rsidRDefault="00315874">
            <w:pPr>
              <w:spacing w:line="240" w:lineRule="auto"/>
              <w:jc w:val="both"/>
              <w:rPr>
                <w:rFonts w:ascii="Times New Roman" w:eastAsia="Times New Roman" w:hAnsi="Times New Roman" w:cs="Times New Roman"/>
                <w:highlight w:val="white"/>
              </w:rPr>
            </w:pPr>
          </w:p>
        </w:tc>
        <w:tc>
          <w:tcPr>
            <w:tcW w:w="6210" w:type="dxa"/>
            <w:vMerge/>
            <w:tcBorders>
              <w:top w:val="nil"/>
              <w:left w:val="nil"/>
              <w:bottom w:val="single" w:sz="6" w:space="0" w:color="000000"/>
              <w:right w:val="single" w:sz="6" w:space="0" w:color="999999"/>
            </w:tcBorders>
            <w:tcMar>
              <w:top w:w="0" w:type="dxa"/>
              <w:left w:w="100" w:type="dxa"/>
              <w:bottom w:w="0" w:type="dxa"/>
              <w:right w:w="100" w:type="dxa"/>
            </w:tcMar>
          </w:tcPr>
          <w:p w14:paraId="40B143D6" w14:textId="77777777" w:rsidR="00315874" w:rsidRDefault="00315874">
            <w:pPr>
              <w:shd w:val="clear" w:color="auto" w:fill="FFFFFF"/>
              <w:spacing w:line="240" w:lineRule="auto"/>
              <w:jc w:val="both"/>
              <w:rPr>
                <w:rFonts w:ascii="Times New Roman" w:eastAsia="Times New Roman" w:hAnsi="Times New Roman" w:cs="Times New Roman"/>
                <w:b/>
                <w:bCs/>
                <w:sz w:val="24"/>
                <w:szCs w:val="24"/>
                <w:highlight w:val="white"/>
              </w:rPr>
            </w:pPr>
          </w:p>
        </w:tc>
      </w:tr>
      <w:tr w:rsidR="00315874" w14:paraId="4DAB8F98" w14:textId="77777777">
        <w:trPr>
          <w:trHeight w:val="915"/>
        </w:trPr>
        <w:tc>
          <w:tcPr>
            <w:tcW w:w="735" w:type="dxa"/>
            <w:vMerge w:val="restart"/>
            <w:tcBorders>
              <w:top w:val="single" w:sz="6" w:space="0" w:color="999999"/>
              <w:left w:val="single" w:sz="6" w:space="0" w:color="999999"/>
              <w:bottom w:val="single" w:sz="6" w:space="0" w:color="999999"/>
              <w:right w:val="single" w:sz="6" w:space="0" w:color="999999"/>
            </w:tcBorders>
            <w:tcMar>
              <w:top w:w="0" w:type="dxa"/>
              <w:bottom w:w="0" w:type="dxa"/>
            </w:tcMar>
          </w:tcPr>
          <w:p w14:paraId="4AF2ABB3" w14:textId="77777777" w:rsidR="00315874"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30.</w:t>
            </w:r>
          </w:p>
        </w:tc>
        <w:tc>
          <w:tcPr>
            <w:tcW w:w="2835" w:type="dxa"/>
            <w:vMerge w:val="restart"/>
            <w:tcBorders>
              <w:top w:val="single" w:sz="6" w:space="0" w:color="999999"/>
              <w:left w:val="single" w:sz="6" w:space="0" w:color="999999"/>
              <w:bottom w:val="single" w:sz="6" w:space="0" w:color="999999"/>
              <w:right w:val="single" w:sz="6" w:space="0" w:color="999999"/>
            </w:tcBorders>
            <w:tcMar>
              <w:top w:w="0" w:type="dxa"/>
              <w:bottom w:w="0" w:type="dxa"/>
            </w:tcMar>
          </w:tcPr>
          <w:p w14:paraId="5AB1C712" w14:textId="77777777" w:rsidR="00315874" w:rsidRDefault="00000000">
            <w:pPr>
              <w:spacing w:line="240" w:lineRule="auto"/>
              <w:ind w:left="14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Centrul Național Anticorupție</w:t>
            </w:r>
          </w:p>
          <w:p w14:paraId="712EDD98" w14:textId="77777777" w:rsidR="00315874" w:rsidRDefault="00000000">
            <w:pPr>
              <w:ind w:left="14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Nr. 06/2/11556 din 25.06.2026</w:t>
            </w:r>
            <w:r>
              <w:rPr>
                <w:rFonts w:ascii="Times New Roman" w:eastAsia="Times New Roman" w:hAnsi="Times New Roman" w:cs="Times New Roman"/>
                <w:sz w:val="24"/>
                <w:szCs w:val="24"/>
              </w:rPr>
              <w:t xml:space="preserve"> </w:t>
            </w: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2DF80B2D"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Pentru ofițerii anticorupție din cadrul Centrului, concediul de odihnă anual va fi 28 de zile lucrătoare, fiind excluse integral din dispozițiile articolului 43 al Legii nr.1104/2002 cu privire la Centrul Național Anticorupție, normele imperative care garantau concedii suplimentare </w:t>
            </w:r>
            <w:r>
              <w:rPr>
                <w:rFonts w:ascii="Times New Roman" w:eastAsia="Times New Roman" w:hAnsi="Times New Roman" w:cs="Times New Roman"/>
                <w:sz w:val="24"/>
                <w:szCs w:val="24"/>
                <w:highlight w:val="white"/>
              </w:rPr>
              <w:lastRenderedPageBreak/>
              <w:t>plătite pentru vechimea în muncă corespunzătoare (de 6, 12 respectiv 18 zile). Deși autorul proiectului încearcă să justifice aceste modificări ca pe o ”a</w:t>
            </w:r>
            <w:r>
              <w:rPr>
                <w:rFonts w:ascii="Times New Roman" w:eastAsia="Times New Roman" w:hAnsi="Times New Roman" w:cs="Times New Roman"/>
                <w:i/>
                <w:iCs/>
                <w:sz w:val="24"/>
                <w:szCs w:val="24"/>
                <w:highlight w:val="white"/>
              </w:rPr>
              <w:t>liniere la practicile moderne europene”</w:t>
            </w:r>
            <w:r>
              <w:rPr>
                <w:rFonts w:ascii="Times New Roman" w:eastAsia="Times New Roman" w:hAnsi="Times New Roman" w:cs="Times New Roman"/>
                <w:sz w:val="24"/>
                <w:szCs w:val="24"/>
                <w:highlight w:val="white"/>
              </w:rPr>
              <w:t xml:space="preserve"> și o ”</w:t>
            </w:r>
            <w:r>
              <w:rPr>
                <w:rFonts w:ascii="Times New Roman" w:eastAsia="Times New Roman" w:hAnsi="Times New Roman" w:cs="Times New Roman"/>
                <w:i/>
                <w:iCs/>
                <w:sz w:val="24"/>
                <w:szCs w:val="24"/>
                <w:highlight w:val="white"/>
              </w:rPr>
              <w:t>uniformizare a regimului concediilor de odihnă”,</w:t>
            </w:r>
            <w:r>
              <w:rPr>
                <w:rFonts w:ascii="Times New Roman" w:eastAsia="Times New Roman" w:hAnsi="Times New Roman" w:cs="Times New Roman"/>
                <w:sz w:val="24"/>
                <w:szCs w:val="24"/>
                <w:highlight w:val="white"/>
              </w:rPr>
              <w:t xml:space="preserve"> omite să considere că tratarea ofițerilor anticorupție din cadrul CNA în același mod cu funcționarii publici de rând ignoră natura distinctă, restrictivă și de risc a serviciului. </w:t>
            </w:r>
          </w:p>
          <w:p w14:paraId="1FD19A09"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Statutul special implică un șir de restricții ale drepturilor și libertăților precum interdicția de a avea alte surse de venit (cumulul de funcții/activități economice), expunerea constantă la un grad înalt de risc pentru viață și sănătate, un regim de muncă neregulat și disponibilitate permanentă. </w:t>
            </w:r>
          </w:p>
          <w:p w14:paraId="470F1932" w14:textId="77777777" w:rsidR="00315874" w:rsidRDefault="00315874">
            <w:pPr>
              <w:jc w:val="both"/>
              <w:rPr>
                <w:rFonts w:ascii="Times New Roman" w:eastAsia="Times New Roman" w:hAnsi="Times New Roman" w:cs="Times New Roman"/>
                <w:sz w:val="24"/>
                <w:szCs w:val="24"/>
                <w:highlight w:val="white"/>
              </w:rPr>
            </w:pPr>
          </w:p>
          <w:p w14:paraId="29466969"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Ofițerii anticorupție exercită atribuții cu un grad sporit de responsabilitate, expunere profesională și solicitare psihologică, fiind supuși unui regim sever de incompatibilități, restricții și obligații specifice funcției publice cu statut special. Prin urmare, garanțiile sociale instituite pentru această categorie de personal nu constituie un privilegiu nejustificat, ci reprezintă un mecanism compensatoriu asumat de către stat pentru aceste privări. </w:t>
            </w:r>
          </w:p>
          <w:p w14:paraId="0D46973F"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 xml:space="preserve">  În acest context, acordarea concediului suplimentar proporțional cu vechimea în muncă reprezintă o contraprestație legală și morală, având scopul de a asigura recuperarea capacității de muncă pe măsură ce uzura profesională crește și recompensarea a contribuției pe termen lung a angajaților la realizarea misiunii instituționale. </w:t>
            </w:r>
          </w:p>
          <w:p w14:paraId="682504E8"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Eliminarea acestui drept dobândit contravine principiului previzibilității normative și subminează grav securitatea raporturilor juridice. Pe plan practic, excluderea acestei garanții va diminua atractivitatea și competitivitatea funcțiilor cu statut special din cadrul CNA, agravând dificultățile curente privind atragerea și menținerea personalului înalt calificat. </w:t>
            </w:r>
          </w:p>
          <w:p w14:paraId="6F3A1AE2"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Subliniem că, formarea profesională a unui ofițer anticorupție implică investiții considerabile din partea statului, respectiv menținerea unui nivel adecvat al garanțiilor sociale contribuie la fidelizarea personalului, reducerea fluctuației de cadre și valorificarea experienței profesionale acumulate. </w:t>
            </w:r>
          </w:p>
          <w:p w14:paraId="232651CE"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Prin urmare, modificările propuse prin proiect la articolul III sunt excesive și abuzive, având un impact negativ asupra dreptului ofițerului anticorupție din cadrul CNA la concediu de odihnă anual, care reprezintă un element indispensabil al dreptului său la muncă și, în </w:t>
            </w:r>
            <w:r>
              <w:rPr>
                <w:rFonts w:ascii="Times New Roman" w:eastAsia="Times New Roman" w:hAnsi="Times New Roman" w:cs="Times New Roman"/>
                <w:sz w:val="24"/>
                <w:szCs w:val="24"/>
                <w:highlight w:val="white"/>
              </w:rPr>
              <w:lastRenderedPageBreak/>
              <w:t>consecință, afectează buna funcționare a autorității în cazul în care există funcții vacante persistente și fluctuații de personal etc.</w:t>
            </w:r>
          </w:p>
          <w:p w14:paraId="101D0F80" w14:textId="77777777" w:rsidR="00315874" w:rsidRDefault="00315874">
            <w:pPr>
              <w:jc w:val="both"/>
              <w:rPr>
                <w:rFonts w:ascii="Times New Roman" w:eastAsia="Times New Roman" w:hAnsi="Times New Roman" w:cs="Times New Roman"/>
                <w:sz w:val="24"/>
                <w:szCs w:val="24"/>
                <w:highlight w:val="white"/>
              </w:rPr>
            </w:pPr>
          </w:p>
          <w:p w14:paraId="45E855CD"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Prin raportare la textul constituțional, concediul suplimentar acordat proporțional vechimii în muncă ofițerilor anticorupție din cadrul Centrului se încadrează în categoria măsurilor de protecție pentru ”situații specifice” și ”condiții grele” de muncă. Diminuarea arbitrară a acestor garanții, sub pretextul unor rațiuni pur financiare, reprezintă o afectare directă a substanței dreptului constituțional la protecția muncii. </w:t>
            </w:r>
          </w:p>
          <w:p w14:paraId="7D306B11" w14:textId="77777777" w:rsidR="00315874" w:rsidRDefault="00315874">
            <w:pPr>
              <w:jc w:val="both"/>
              <w:rPr>
                <w:rFonts w:ascii="Times New Roman" w:eastAsia="Times New Roman" w:hAnsi="Times New Roman" w:cs="Times New Roman"/>
                <w:sz w:val="24"/>
                <w:szCs w:val="24"/>
                <w:highlight w:val="white"/>
              </w:rPr>
            </w:pPr>
          </w:p>
          <w:p w14:paraId="458863F6"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Potrivit compartimentului VII Concediu anual din Comunicarea interpretativă a Comisiei Europene privind Directiva 2003/88/CE a Parlamentului European și a Consiliului privind anumite aspecte ale organizării timpului de lucru Comisiei Europene (2023/C 109/01), Comisia a notat că, ”Ținând seama de faptul că dreptul la concediu anual plătit consacrat la articolul 7 din directivă este de asemenea un drept fundamental consacrat la articolul 31 alineatul (2) din Carta drepturilor fundamentale, Curtea a precizat în mod expres că limitările acestui drept trebuie să respecte condițiile stricte </w:t>
            </w:r>
            <w:r>
              <w:rPr>
                <w:rFonts w:ascii="Times New Roman" w:eastAsia="Times New Roman" w:hAnsi="Times New Roman" w:cs="Times New Roman"/>
                <w:sz w:val="24"/>
                <w:szCs w:val="24"/>
                <w:highlight w:val="white"/>
              </w:rPr>
              <w:lastRenderedPageBreak/>
              <w:t xml:space="preserve">prevăzute la articolul 52 alineatul (1) din cartă și în special conținutul esențial al dreptului menționat”. </w:t>
            </w:r>
          </w:p>
          <w:p w14:paraId="1C6FA6B7"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Comisia Europeană a precizat în mod expres că statele membre dispun de o anumită marjă de manevră </w:t>
            </w:r>
            <w:r>
              <w:rPr>
                <w:rFonts w:ascii="Times New Roman" w:eastAsia="Times New Roman" w:hAnsi="Times New Roman" w:cs="Times New Roman"/>
                <w:i/>
                <w:iCs/>
                <w:sz w:val="24"/>
                <w:szCs w:val="24"/>
                <w:highlight w:val="white"/>
              </w:rPr>
              <w:t>exclusiv</w:t>
            </w:r>
            <w:r>
              <w:rPr>
                <w:rFonts w:ascii="Times New Roman" w:eastAsia="Times New Roman" w:hAnsi="Times New Roman" w:cs="Times New Roman"/>
                <w:sz w:val="24"/>
                <w:szCs w:val="24"/>
                <w:highlight w:val="white"/>
              </w:rPr>
              <w:t xml:space="preserve"> în ceea ce privește reglementarea modului în care poate fi exercitat dreptul la concediu anual plătit, iar nu în sensul diminuării sau anulării lui. </w:t>
            </w:r>
          </w:p>
          <w:p w14:paraId="025B85DD" w14:textId="77777777" w:rsidR="00315874" w:rsidRDefault="00000000">
            <w:pPr>
              <w:jc w:val="both"/>
              <w:rPr>
                <w:rFonts w:ascii="Times New Roman" w:eastAsia="Times New Roman" w:hAnsi="Times New Roman" w:cs="Times New Roman"/>
                <w:i/>
                <w:iCs/>
                <w:sz w:val="24"/>
                <w:szCs w:val="24"/>
                <w:highlight w:val="white"/>
              </w:rPr>
            </w:pPr>
            <w:r>
              <w:rPr>
                <w:rFonts w:ascii="Times New Roman" w:eastAsia="Times New Roman" w:hAnsi="Times New Roman" w:cs="Times New Roman"/>
                <w:sz w:val="24"/>
                <w:szCs w:val="24"/>
                <w:highlight w:val="white"/>
              </w:rPr>
              <w:t>Potrivit articolului 52 alineatul (1) din Carta Drepturilor Fundamentale a Uniunii Europene, ”</w:t>
            </w:r>
            <w:r>
              <w:rPr>
                <w:rFonts w:ascii="Times New Roman" w:eastAsia="Times New Roman" w:hAnsi="Times New Roman" w:cs="Times New Roman"/>
                <w:i/>
                <w:iCs/>
                <w:sz w:val="24"/>
                <w:szCs w:val="24"/>
                <w:highlight w:val="white"/>
              </w:rPr>
              <w:t xml:space="preserve">Orice restrângere a exercițiului drepturilor și libertăților recunoscute prin prezenta cartă trebuie să fie prevăzută de lege și să respecte substanța acestor drepturi și libertăți. Prin respectarea principiului proporționalității, pot fi impuse restrângeri numai în cazul în care acestea sunt necesare și numai dacă răspund efectiv obiectivelor de interes general recunoscute de Uniune sau necesității protejării drepturilor și libertăților celorlalți.” </w:t>
            </w:r>
          </w:p>
          <w:p w14:paraId="0C2B186D"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Reducerea drepturilor compensatorii pentru ofițerii anticorupție din cadrul Centrului, prin privarea de concedii suplimentare în raport cu vechimea în muncă, fără o justificare de interes general superior, afectează substanța însăși a normei de protecție. </w:t>
            </w:r>
          </w:p>
          <w:p w14:paraId="6C54B65C"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Prin urmare, nicio normă sau practică europeană nu susține limitarea drepturilor la concediu de odihnă anual </w:t>
            </w:r>
            <w:r>
              <w:rPr>
                <w:rFonts w:ascii="Times New Roman" w:eastAsia="Times New Roman" w:hAnsi="Times New Roman" w:cs="Times New Roman"/>
                <w:sz w:val="24"/>
                <w:szCs w:val="24"/>
                <w:highlight w:val="white"/>
              </w:rPr>
              <w:lastRenderedPageBreak/>
              <w:t xml:space="preserve">plătit, ci, din contră, dreptul Uniunii Europene obligă la protejarea substanței acestui drept fundamental. </w:t>
            </w:r>
          </w:p>
          <w:p w14:paraId="08E4D111"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Proiectul este fundamentat pe o analiză exclusiv economico-financiară, ignorând faptul că reducerea substanțială a zilelor de odihnă nu va eficientiza activitatea, ci va genera o stare de epuizare profesională în rândul ofițerilor anticorupție. Acest fapt va crește iminent marja de eroare în misiuni critice, cu consecințe negative directe asupra securității naționale și ordinii publice. </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4D3521DD"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Nu se acceptă.</w:t>
            </w:r>
          </w:p>
          <w:p w14:paraId="0A60E6F7"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428956BD" w14:textId="1482BFF2"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Poziția MMPS privind menținerea excluderii concediului suplimentar pentru vechime este cea expusă la pct. 8 (Ministerul Justiției) și pct. 13 (Ministerul Afacerilor Interne). </w:t>
            </w:r>
            <w:r>
              <w:rPr>
                <w:rFonts w:ascii="Times New Roman" w:eastAsia="Times New Roman" w:hAnsi="Times New Roman" w:cs="Times New Roman"/>
                <w:sz w:val="24"/>
                <w:szCs w:val="24"/>
                <w:highlight w:val="white"/>
              </w:rPr>
              <w:lastRenderedPageBreak/>
              <w:t xml:space="preserve">Specificul activității ofițerilor anticorupție (risc, restricții, incompatibilități, solicitare psihologică) este recunoscut de proiect prin durata concediului de bază stabilită la 28 de zile lucrătoare — superioară </w:t>
            </w:r>
            <w:r w:rsidRPr="00A62E1D">
              <w:rPr>
                <w:rFonts w:ascii="Times New Roman" w:eastAsia="Times New Roman" w:hAnsi="Times New Roman" w:cs="Times New Roman"/>
                <w:sz w:val="24"/>
                <w:szCs w:val="24"/>
                <w:highlight w:val="white"/>
              </w:rPr>
              <w:t>standardului minim de 24 de zile lucrătoare</w:t>
            </w:r>
            <w:r w:rsidR="00A62E1D">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highlight w:val="white"/>
              </w:rPr>
              <w:t>(Convenția OIM nr. 132/1970) — și nu impune, prin el însuși, menținerea unui mecanism suplimentar automat legat de vechime.</w:t>
            </w:r>
          </w:p>
          <w:p w14:paraId="29D175AA"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Invocarea art. 31 alin. (2) din Carta drepturilor fundamentale a UE și a Comunicării interpretative a Comisiei Europene (2023/C 109/01) nu este determinantă: aceste instrumente protejează conținutul esențial al dreptului la concediu anual plătit (nivelul minim), pe care proiectul îl respectă; ele nu extind protecția la orice mecanism accesoriu instituit de legiuitorul național.</w:t>
            </w:r>
          </w:p>
          <w:p w14:paraId="639BCEE7"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Recunoașterea investiției statului în formarea ofițerilor anticorupție și fidelizarea personalului se realizează prin sistemul de salarizare și prin măsurile de dezvoltare a carierei, nu prin acumularea de zile de concediu neutilizate, care generează obligații financiare ulterioare pentru bugetul public.</w:t>
            </w:r>
          </w:p>
          <w:p w14:paraId="6B5D4D15"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Nu se acceptă majorarea duratei concediului de bază de la 28 la 35 de zile lucrătoare: durata propusă este deja superioară standardului minim și corespunde nivelului aplicabil categoriilor comparabile de personal cu statut special.</w:t>
            </w:r>
          </w:p>
          <w:p w14:paraId="7562FE4F"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Prin urmare, redacția art. 43 din Legea nr. 1104/2002 propusă la art. III din proiect se menține.</w:t>
            </w:r>
          </w:p>
          <w:p w14:paraId="71C31B40"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64F95E82" w14:textId="77777777" w:rsidR="00315874" w:rsidRDefault="00315874">
            <w:pPr>
              <w:shd w:val="clear" w:color="auto" w:fill="FFFFFF"/>
              <w:jc w:val="both"/>
              <w:rPr>
                <w:rFonts w:ascii="Times New Roman" w:eastAsia="Times New Roman" w:hAnsi="Times New Roman" w:cs="Times New Roman"/>
                <w:sz w:val="24"/>
                <w:szCs w:val="24"/>
                <w:highlight w:val="white"/>
              </w:rPr>
            </w:pPr>
          </w:p>
        </w:tc>
      </w:tr>
      <w:tr w:rsidR="00315874" w14:paraId="621076B8" w14:textId="77777777">
        <w:trPr>
          <w:trHeight w:val="915"/>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49B0A969"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19601044" w14:textId="77777777" w:rsidR="00315874" w:rsidRDefault="00315874">
            <w:pPr>
              <w:spacing w:line="240" w:lineRule="auto"/>
              <w:jc w:val="center"/>
              <w:rPr>
                <w:rFonts w:ascii="Times New Roman" w:eastAsia="Times New Roman" w:hAnsi="Times New Roman" w:cs="Times New Roman"/>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155CC27E"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Argumentul autorului privind ”</w:t>
            </w:r>
            <w:r>
              <w:rPr>
                <w:rFonts w:ascii="Times New Roman" w:eastAsia="Times New Roman" w:hAnsi="Times New Roman" w:cs="Times New Roman"/>
                <w:i/>
                <w:iCs/>
                <w:sz w:val="24"/>
                <w:szCs w:val="24"/>
                <w:highlight w:val="white"/>
              </w:rPr>
              <w:t>costurile financiare</w:t>
            </w:r>
            <w:r>
              <w:rPr>
                <w:rFonts w:ascii="Times New Roman" w:eastAsia="Times New Roman" w:hAnsi="Times New Roman" w:cs="Times New Roman"/>
                <w:sz w:val="24"/>
                <w:szCs w:val="24"/>
                <w:highlight w:val="white"/>
              </w:rPr>
              <w:t xml:space="preserve">” generate de aceste concedii este superficial și lipsit de o analiză de impact privind fluctuația resurselor umane. Eliminarea beneficiilor corelate cu vechimea în muncă afectează direct segmentul cel mai valoros de personal, precum ofițerii cu o experiență acumulată de 5-20 de ani. </w:t>
            </w:r>
          </w:p>
          <w:p w14:paraId="229E21AF"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Afirmația din nota de fundamentare referitoare la ”</w:t>
            </w:r>
            <w:r>
              <w:rPr>
                <w:rFonts w:ascii="Times New Roman" w:eastAsia="Times New Roman" w:hAnsi="Times New Roman" w:cs="Times New Roman"/>
                <w:i/>
                <w:iCs/>
                <w:sz w:val="24"/>
                <w:szCs w:val="24"/>
                <w:highlight w:val="white"/>
              </w:rPr>
              <w:t>acumularea unor solduri semnificative de concedii neutilizate</w:t>
            </w:r>
            <w:r>
              <w:rPr>
                <w:rFonts w:ascii="Times New Roman" w:eastAsia="Times New Roman" w:hAnsi="Times New Roman" w:cs="Times New Roman"/>
                <w:sz w:val="24"/>
                <w:szCs w:val="24"/>
                <w:highlight w:val="white"/>
              </w:rPr>
              <w:t xml:space="preserve">” demonstrează un deficit sistemic de personal operațional și o suprasolicitare a efectivului existent, iar nu o rea-intenție sau un refuz al angajaților de a se odihni. Penalizarea acestora prin anularea dreptului la concediu pentru vechime în muncă este o măsură disproporționată, inechitabilă și de natură să accentueze problema funcțiilor vacante persistente. </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277EFC1C"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 xml:space="preserve">Nu se acceptă. </w:t>
            </w:r>
          </w:p>
          <w:p w14:paraId="4D9A873A"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3C4299BB"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 se vedea răspunsul consolidat de la pct. 30 (paragraful de la începutul prezentului aviz al Centrului Național Anticorupție), aplicabil în integralitate, inclusiv în privința neacceptării majorării la 35 de zile lucrătoare.</w:t>
            </w:r>
          </w:p>
        </w:tc>
      </w:tr>
      <w:tr w:rsidR="00315874" w14:paraId="57686F1D" w14:textId="77777777">
        <w:trPr>
          <w:trHeight w:val="915"/>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2CA75E3E"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2BD72B7E" w14:textId="77777777" w:rsidR="00315874" w:rsidRDefault="00315874">
            <w:pPr>
              <w:spacing w:line="240" w:lineRule="auto"/>
              <w:jc w:val="center"/>
              <w:rPr>
                <w:rFonts w:ascii="Times New Roman" w:eastAsia="Times New Roman" w:hAnsi="Times New Roman" w:cs="Times New Roman"/>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78AC58BC"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Mai mult, deși proiectul majorează durata concediului de bază cu doar 3 zile, stabilind-o la 28 de zile lucrătoare, acesta conduce, concomitent, la eliminarea mecanismului actual de acordare a concediului suplimentar în funcție de vechimea în muncă. În consecință, se reduce diferențierea între personalul nou-angajat și personalul care a acumulat o experiență profesională îndelungată în cadrul instituției, fiind afectat unul dintre instrumentele de stimulare și fidelizare a personalului. </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06D52DF2"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 xml:space="preserve">Nu se acceptă. </w:t>
            </w:r>
          </w:p>
          <w:p w14:paraId="3B5043F4"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114BB379"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2030D58B"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 se vedea răspunsul consolidat de la pct. 30 (paragraful de la începutul prezentului aviz al Centrului Național Anticorupție), aplicabil în integralitate, inclusiv în privința neacceptării majorării la 35 de zile lucrătoare.</w:t>
            </w:r>
          </w:p>
          <w:p w14:paraId="0C7CEBE6"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2F728516" w14:textId="77777777" w:rsidR="00315874" w:rsidRDefault="00315874">
            <w:pPr>
              <w:shd w:val="clear" w:color="auto" w:fill="FFFFFF"/>
              <w:jc w:val="both"/>
              <w:rPr>
                <w:rFonts w:ascii="Times New Roman" w:eastAsia="Times New Roman" w:hAnsi="Times New Roman" w:cs="Times New Roman"/>
                <w:sz w:val="24"/>
                <w:szCs w:val="24"/>
                <w:highlight w:val="white"/>
              </w:rPr>
            </w:pPr>
          </w:p>
        </w:tc>
      </w:tr>
      <w:tr w:rsidR="00315874" w14:paraId="58ADC334" w14:textId="77777777">
        <w:trPr>
          <w:trHeight w:val="915"/>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5C7B885F"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0A2B8061" w14:textId="77777777" w:rsidR="00315874" w:rsidRDefault="00315874">
            <w:pPr>
              <w:spacing w:line="240" w:lineRule="auto"/>
              <w:jc w:val="center"/>
              <w:rPr>
                <w:rFonts w:ascii="Times New Roman" w:eastAsia="Times New Roman" w:hAnsi="Times New Roman" w:cs="Times New Roman"/>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41E8B0E0"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Suplimentar, activitatea de combatere a corupției este asociată în mod constant cu stres profesional ridicat, presiune operațională, termene procesuale restrictive și o responsabilitate sporită pentru rezultatele activității. În ultimii ani, conceptul de sănătate ocupațională și prevenire a sindromului de ardere profesională a devenit un element important al politicilor de resurse umane în instituțiile de aplicare a legii. </w:t>
            </w:r>
          </w:p>
          <w:p w14:paraId="16D65E97"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Prin urmare, durata concediului anual trebuie analizată nu doar ca o garanție socială, ci și ca un instrument de menținere a capacității profesionale a personalului. </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38F778D5"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 xml:space="preserve">Nu se acceptă. </w:t>
            </w:r>
          </w:p>
          <w:p w14:paraId="08E36324"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165F14CD"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sz w:val="24"/>
                <w:szCs w:val="24"/>
                <w:highlight w:val="white"/>
              </w:rPr>
              <w:t>A se vedea răspunsul consolidat de la pct. 30 (paragraful de la începutul prezentului aviz al Centrului Național Anticorupție), aplicabil în integralitate, inclusiv în privința neacceptării majorării la 35 de zile lucrătoare.</w:t>
            </w:r>
          </w:p>
        </w:tc>
      </w:tr>
      <w:tr w:rsidR="00315874" w14:paraId="6A4AECAB" w14:textId="77777777">
        <w:trPr>
          <w:trHeight w:val="915"/>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1D268DB7"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6B176791" w14:textId="77777777" w:rsidR="00315874" w:rsidRDefault="00315874">
            <w:pPr>
              <w:spacing w:line="240" w:lineRule="auto"/>
              <w:jc w:val="center"/>
              <w:rPr>
                <w:rFonts w:ascii="Times New Roman" w:eastAsia="Times New Roman" w:hAnsi="Times New Roman" w:cs="Times New Roman"/>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7BED0774"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Nota de fundamentare argumentează necesitatea uniformizării regimului concediilor pentru diferite categorii de personal, însă nu conține o analiză distinctă privind impactul eliminării concediilor suplimentare acordate pentru vechime în muncă ofițerilor anticorupție </w:t>
            </w:r>
            <w:r>
              <w:rPr>
                <w:rFonts w:ascii="Times New Roman" w:eastAsia="Times New Roman" w:hAnsi="Times New Roman" w:cs="Times New Roman"/>
                <w:sz w:val="24"/>
                <w:szCs w:val="24"/>
                <w:highlight w:val="white"/>
              </w:rPr>
              <w:lastRenderedPageBreak/>
              <w:t xml:space="preserve">și nici o evaluare a efectelor asupra retenției personalului și continuității instituționale. </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4F43EEFE"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 xml:space="preserve">Nu se acceptă. </w:t>
            </w:r>
          </w:p>
          <w:p w14:paraId="7C3457DE"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7F1BD86E"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sz w:val="24"/>
                <w:szCs w:val="24"/>
                <w:highlight w:val="white"/>
              </w:rPr>
              <w:t xml:space="preserve">A se vedea răspunsul consolidat de la pct. 30 (paragraful de la începutul prezentului aviz al Centrului Național Anticorupție), </w:t>
            </w:r>
            <w:r>
              <w:rPr>
                <w:rFonts w:ascii="Times New Roman" w:eastAsia="Times New Roman" w:hAnsi="Times New Roman" w:cs="Times New Roman"/>
                <w:sz w:val="24"/>
                <w:szCs w:val="24"/>
                <w:highlight w:val="white"/>
              </w:rPr>
              <w:lastRenderedPageBreak/>
              <w:t>aplicabil în integralitate, inclusiv în privința neacceptării majorării la 35 de zile lucrătoare.</w:t>
            </w:r>
          </w:p>
        </w:tc>
      </w:tr>
      <w:tr w:rsidR="00315874" w14:paraId="2B645EB2" w14:textId="77777777">
        <w:trPr>
          <w:trHeight w:val="915"/>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57664DF0"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0AC8C6A9" w14:textId="77777777" w:rsidR="00315874" w:rsidRDefault="00315874">
            <w:pPr>
              <w:spacing w:line="240" w:lineRule="auto"/>
              <w:jc w:val="center"/>
              <w:rPr>
                <w:rFonts w:ascii="Times New Roman" w:eastAsia="Times New Roman" w:hAnsi="Times New Roman" w:cs="Times New Roman"/>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5379E609"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În contextul renunțării la concediile suplimentare și având în vedere caracterul complex al atribuțiilor exercitate de ofițerii anticorupție, gradul sporit de responsabilitate, nivelul ridicat de solicitare psihică și emoțională, precum și necesitatea menținerii unui corp profesional stabil și calificat, se consideră oportună reexaminarea duratei concediului de odihnă anual prevăzute la articolul III din proiect, prin majorarea acesteia pentru ofițerii anticorupție de la 28 la 35 de zile lucrătoare. </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067ABA4B"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 xml:space="preserve">Nu se acceptă. </w:t>
            </w:r>
          </w:p>
          <w:p w14:paraId="2D498C9D"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79A433CE"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sz w:val="24"/>
                <w:szCs w:val="24"/>
                <w:highlight w:val="white"/>
              </w:rPr>
              <w:t>A se vedea răspunsul consolidat de la pct. 30 (paragraful de la începutul prezentului aviz al Centrului Național Anticorupție), aplicabil în integralitate, inclusiv în privința neacceptării majorării la 35 de zile lucrătoare.</w:t>
            </w:r>
          </w:p>
        </w:tc>
      </w:tr>
      <w:tr w:rsidR="00315874" w14:paraId="7CE0B6C3" w14:textId="77777777">
        <w:trPr>
          <w:trHeight w:val="915"/>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4491AC0E"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23826350" w14:textId="77777777" w:rsidR="00315874" w:rsidRDefault="00315874">
            <w:pPr>
              <w:spacing w:line="240" w:lineRule="auto"/>
              <w:jc w:val="center"/>
              <w:rPr>
                <w:rFonts w:ascii="Times New Roman" w:eastAsia="Times New Roman" w:hAnsi="Times New Roman" w:cs="Times New Roman"/>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5C28BFD0" w14:textId="77777777" w:rsidR="00315874" w:rsidRDefault="00000000">
            <w:pPr>
              <w:jc w:val="both"/>
              <w:rPr>
                <w:rFonts w:ascii="Times New Roman" w:eastAsia="Times New Roman" w:hAnsi="Times New Roman" w:cs="Times New Roman"/>
                <w:i/>
                <w:iCs/>
                <w:sz w:val="24"/>
                <w:szCs w:val="24"/>
                <w:highlight w:val="white"/>
              </w:rPr>
            </w:pPr>
            <w:r>
              <w:rPr>
                <w:rFonts w:ascii="Times New Roman" w:eastAsia="Times New Roman" w:hAnsi="Times New Roman" w:cs="Times New Roman"/>
                <w:sz w:val="24"/>
                <w:szCs w:val="24"/>
                <w:highlight w:val="white"/>
              </w:rPr>
              <w:t xml:space="preserve">  Subsecvent, conform articolului 25 alineatul (1) al Legii integrității nr.82/2017, ”</w:t>
            </w:r>
            <w:r>
              <w:rPr>
                <w:rFonts w:ascii="Times New Roman" w:eastAsia="Times New Roman" w:hAnsi="Times New Roman" w:cs="Times New Roman"/>
                <w:i/>
                <w:iCs/>
                <w:sz w:val="24"/>
                <w:szCs w:val="24"/>
                <w:highlight w:val="white"/>
              </w:rPr>
              <w:t xml:space="preserve">Eficiența cultivării climatului de integritate instituțională și profesională este supusă verificărilor din partea conducătorilor entităților publice, a autorităților anticorupție, a societății civile și mass mediei”. </w:t>
            </w:r>
          </w:p>
          <w:p w14:paraId="225380E8"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Potrivit articolului 25 alineatul (3) litera a), articolului 28 alineatul (4) din Legea prenotată, </w:t>
            </w:r>
            <w:r>
              <w:rPr>
                <w:rFonts w:ascii="Times New Roman" w:eastAsia="Times New Roman" w:hAnsi="Times New Roman" w:cs="Times New Roman"/>
                <w:i/>
                <w:iCs/>
                <w:sz w:val="24"/>
                <w:szCs w:val="24"/>
                <w:highlight w:val="white"/>
              </w:rPr>
              <w:t>expertiza anticorupție, în calitate de măsură de control al integrității în sectorul public, se va efectua concomitent cu efectuarea expertizei juridice a proiectului actului normativ.</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i/>
                <w:iCs/>
                <w:sz w:val="24"/>
                <w:szCs w:val="24"/>
                <w:highlight w:val="white"/>
              </w:rPr>
              <w:t xml:space="preserve">În procesul de efectuare a expertizei </w:t>
            </w:r>
            <w:r>
              <w:rPr>
                <w:rFonts w:ascii="Times New Roman" w:eastAsia="Times New Roman" w:hAnsi="Times New Roman" w:cs="Times New Roman"/>
                <w:i/>
                <w:iCs/>
                <w:sz w:val="24"/>
                <w:szCs w:val="24"/>
                <w:highlight w:val="white"/>
              </w:rPr>
              <w:lastRenderedPageBreak/>
              <w:t>anticorupție a proiectelor actelor normative se aplică prevederile Legii nr.100/2017 cu privire la actele normative.</w:t>
            </w:r>
            <w:r>
              <w:rPr>
                <w:rFonts w:ascii="Times New Roman" w:eastAsia="Times New Roman" w:hAnsi="Times New Roman" w:cs="Times New Roman"/>
                <w:sz w:val="24"/>
                <w:szCs w:val="24"/>
                <w:highlight w:val="white"/>
              </w:rPr>
              <w:t xml:space="preserve"> </w:t>
            </w:r>
          </w:p>
          <w:p w14:paraId="7884FECC"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În același timp, potrivit articolului 36 alineatul (2) din Legea nr.100/2017, ”</w:t>
            </w:r>
            <w:r>
              <w:rPr>
                <w:rFonts w:ascii="Times New Roman" w:eastAsia="Times New Roman" w:hAnsi="Times New Roman" w:cs="Times New Roman"/>
                <w:i/>
                <w:iCs/>
                <w:sz w:val="24"/>
                <w:szCs w:val="24"/>
                <w:highlight w:val="white"/>
              </w:rPr>
              <w:t>Proiectul actului normativ, însoțit de nota de fundamentare și de sinteză, se expediază Centrului Național Anticorupție pentru efectuarea expertizei anticorupție.</w:t>
            </w:r>
            <w:r>
              <w:rPr>
                <w:rFonts w:ascii="Times New Roman" w:eastAsia="Times New Roman" w:hAnsi="Times New Roman" w:cs="Times New Roman"/>
                <w:sz w:val="24"/>
                <w:szCs w:val="24"/>
                <w:highlight w:val="white"/>
              </w:rPr>
              <w:t xml:space="preserve">” </w:t>
            </w:r>
          </w:p>
          <w:p w14:paraId="212FD2FE"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Urmare celor expuse, după finalizarea procedurii de avizare, întocmirea sintezei și definitivarea proiectului de lege pentru modificarea unor acte normative (consolidarea cadrului normativ privind garanțiile sociale) (număr unic 635/MMPS/2026), solicităm condescendent expedierea acestuia către Centrul Național Anticorupție, pentru a fi supus expertizei anticorupție. </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42BE2FEB" w14:textId="77777777" w:rsidR="00315874" w:rsidRDefault="00315874">
            <w:pPr>
              <w:shd w:val="clear" w:color="auto" w:fill="FFFFFF"/>
              <w:jc w:val="both"/>
              <w:rPr>
                <w:rFonts w:ascii="Times New Roman" w:eastAsia="Times New Roman" w:hAnsi="Times New Roman" w:cs="Times New Roman"/>
                <w:b/>
                <w:bCs/>
                <w:sz w:val="24"/>
                <w:szCs w:val="24"/>
                <w:highlight w:val="white"/>
              </w:rPr>
            </w:pPr>
          </w:p>
          <w:p w14:paraId="15411574" w14:textId="770A5751" w:rsidR="0021239A" w:rsidRDefault="00000000">
            <w:pPr>
              <w:shd w:val="clear" w:color="auto" w:fill="FFFFFF"/>
              <w:jc w:val="both"/>
              <w:rPr>
                <w:rFonts w:ascii="Times New Roman" w:eastAsia="Times New Roman" w:hAnsi="Times New Roman" w:cs="Times New Roman"/>
                <w:b/>
                <w:bCs/>
                <w:sz w:val="24"/>
                <w:szCs w:val="24"/>
                <w:highlight w:val="white"/>
              </w:rPr>
            </w:pPr>
            <w:r w:rsidRPr="00A62E1D">
              <w:rPr>
                <w:rFonts w:ascii="Times New Roman" w:eastAsia="Times New Roman" w:hAnsi="Times New Roman" w:cs="Times New Roman"/>
                <w:sz w:val="24"/>
                <w:szCs w:val="24"/>
                <w:highlight w:val="white"/>
              </w:rPr>
              <w:t>Se ia act. Proiectul va fi supus expertizei anticorupție în condițiile legii.</w:t>
            </w:r>
          </w:p>
        </w:tc>
      </w:tr>
      <w:tr w:rsidR="00315874" w14:paraId="04D34F70" w14:textId="77777777">
        <w:trPr>
          <w:trHeight w:val="1065"/>
        </w:trPr>
        <w:tc>
          <w:tcPr>
            <w:tcW w:w="735" w:type="dxa"/>
            <w:vMerge w:val="restart"/>
            <w:tcBorders>
              <w:top w:val="single" w:sz="6" w:space="0" w:color="999999"/>
              <w:left w:val="single" w:sz="6" w:space="0" w:color="999999"/>
              <w:bottom w:val="single" w:sz="6" w:space="0" w:color="999999"/>
              <w:right w:val="single" w:sz="6" w:space="0" w:color="999999"/>
            </w:tcBorders>
            <w:tcMar>
              <w:top w:w="0" w:type="dxa"/>
              <w:bottom w:w="0" w:type="dxa"/>
            </w:tcMar>
          </w:tcPr>
          <w:p w14:paraId="53D05CD0" w14:textId="77777777" w:rsidR="00315874"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31.</w:t>
            </w:r>
          </w:p>
        </w:tc>
        <w:tc>
          <w:tcPr>
            <w:tcW w:w="2835" w:type="dxa"/>
            <w:vMerge w:val="restart"/>
            <w:tcBorders>
              <w:top w:val="single" w:sz="6" w:space="0" w:color="999999"/>
              <w:left w:val="single" w:sz="6" w:space="0" w:color="999999"/>
              <w:bottom w:val="single" w:sz="6" w:space="0" w:color="999999"/>
              <w:right w:val="single" w:sz="6" w:space="0" w:color="999999"/>
            </w:tcBorders>
            <w:tcMar>
              <w:top w:w="0" w:type="dxa"/>
              <w:bottom w:w="0" w:type="dxa"/>
            </w:tcMar>
          </w:tcPr>
          <w:p w14:paraId="7B8568B5" w14:textId="77777777" w:rsidR="00315874" w:rsidRDefault="00000000">
            <w:pPr>
              <w:spacing w:line="240" w:lineRule="auto"/>
              <w:ind w:left="14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Serviciul de Protecție și Pază de Stat</w:t>
            </w:r>
          </w:p>
          <w:p w14:paraId="480EDD17" w14:textId="77777777" w:rsidR="00315874" w:rsidRDefault="00000000">
            <w:pPr>
              <w:spacing w:line="240" w:lineRule="auto"/>
              <w:ind w:left="140"/>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Nr. 2/1282 din 01.07.2026</w:t>
            </w: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7D44A693"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În urma examinării proiectului de lege, elaborat în vederea consolidării cadrului normativ privind garanțiile sociale aferente concediului de odihnă, s-a constatat că obiectivul declarat al uniformizării regimului concediilor aplicabil personalului din sectorul bugetar nu este realizat în mod efectiv.</w:t>
            </w:r>
          </w:p>
          <w:p w14:paraId="4DB752D5"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Reglementările propuse mențin în continuare diferențe între diverse categorii de personal bugetar, aspect reflectat inclusiv prin durata distinctă a concediului anual de odihnă prevăzută de legislația specială.</w:t>
            </w:r>
          </w:p>
          <w:p w14:paraId="0CF191EB"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 xml:space="preserve">Astfel, potrivit </w:t>
            </w:r>
            <w:r>
              <w:rPr>
                <w:rFonts w:ascii="Times New Roman" w:eastAsia="Times New Roman" w:hAnsi="Times New Roman" w:cs="Times New Roman"/>
                <w:b/>
                <w:bCs/>
                <w:sz w:val="24"/>
                <w:szCs w:val="24"/>
                <w:highlight w:val="white"/>
              </w:rPr>
              <w:t>Art. X</w:t>
            </w:r>
            <w:r>
              <w:rPr>
                <w:rFonts w:ascii="Times New Roman" w:eastAsia="Times New Roman" w:hAnsi="Times New Roman" w:cs="Times New Roman"/>
                <w:sz w:val="24"/>
                <w:szCs w:val="24"/>
                <w:highlight w:val="white"/>
              </w:rPr>
              <w:t xml:space="preserve"> din proiectul legii, se propune modificarea articolului 40 din Legea nr.134/2008 cu privire la Serviciul de Protecție și Pază de Stat, și anume: modificarea alin. (2) prin substituirea textului </w:t>
            </w:r>
            <w:r>
              <w:rPr>
                <w:rFonts w:ascii="Times New Roman" w:eastAsia="Times New Roman" w:hAnsi="Times New Roman" w:cs="Times New Roman"/>
                <w:i/>
                <w:iCs/>
                <w:sz w:val="24"/>
                <w:szCs w:val="24"/>
                <w:highlight w:val="white"/>
              </w:rPr>
              <w:t>„35 de zile calendaristice”</w:t>
            </w:r>
            <w:r>
              <w:rPr>
                <w:rFonts w:ascii="Times New Roman" w:eastAsia="Times New Roman" w:hAnsi="Times New Roman" w:cs="Times New Roman"/>
                <w:sz w:val="24"/>
                <w:szCs w:val="24"/>
                <w:highlight w:val="white"/>
              </w:rPr>
              <w:t xml:space="preserve"> cu textul „</w:t>
            </w:r>
            <w:r>
              <w:rPr>
                <w:rFonts w:ascii="Times New Roman" w:eastAsia="Times New Roman" w:hAnsi="Times New Roman" w:cs="Times New Roman"/>
                <w:i/>
                <w:iCs/>
                <w:sz w:val="24"/>
                <w:szCs w:val="24"/>
                <w:highlight w:val="white"/>
              </w:rPr>
              <w:t>28 de zile lucrătoare”</w:t>
            </w:r>
            <w:r>
              <w:rPr>
                <w:rFonts w:ascii="Times New Roman" w:eastAsia="Times New Roman" w:hAnsi="Times New Roman" w:cs="Times New Roman"/>
                <w:sz w:val="24"/>
                <w:szCs w:val="24"/>
                <w:highlight w:val="white"/>
              </w:rPr>
              <w:t>, abrogarea alin. (3) și (4), precum și modificarea/ajustarea alin. (5).</w:t>
            </w:r>
          </w:p>
          <w:p w14:paraId="2A77A45D"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În redacția actuală a Legii nr.134/2008, articolul 40 garantează ofițerilor de protecție dreptul la un concediu de odihnă anual de 35 de zile calendaristice, majorat în funcție de vechimea în serviciu cu 5 zile calendaristice pentru o vechime de peste 10 ani, cu 10 zile calendaristice pentru o vechime de peste 15 ani și cu 15 zile calendaristice pentru o vechime de peste 20 de ani.</w:t>
            </w:r>
          </w:p>
          <w:p w14:paraId="4AE93BE8"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Analiza proiectului relevă că efectul juridic esențial al intervenției legislative nu constă în modificarea modalității de calcul al concediului de odihnă, ci în eliminarea mecanismului legal de majorare a duratei acestuia în funcție de vechimea în serviciu. În consecință, ofițerii de protecție cu o vechime de peste 10, 15 și 20 de ani vor pierde dreptul la zilele suplimentare de concediu de care beneficiază în prezent, ceea ce determină diminuarea nivelului de protecție socială, instituit de legiuitor pentru această categorie de personal cu statut special.</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70AC0EFE"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Nu se acceptă.</w:t>
            </w:r>
          </w:p>
          <w:p w14:paraId="13C80CB4"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7C9C148D" w14:textId="0637DEEF"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Poziția Ministerului privind menținerea excluderii concediului suplimentar pentru vechime este cea expusă la pct. 2 (Secretariatul Parlamentului), la 8 (Ministerul Justiției) și pct. 13 (Ministerul Afacerilor Interne). Nu se acceptă propunerea de menținere a art. 40 alin. (3) din Legea nr. 134/2008 (majorarea concediului cu 3/5/7 zile lucrătoare în funcție de vechime): recunoașterea vechimii se realizează prin salarizare, </w:t>
            </w:r>
            <w:r>
              <w:rPr>
                <w:rFonts w:ascii="Times New Roman" w:eastAsia="Times New Roman" w:hAnsi="Times New Roman" w:cs="Times New Roman"/>
                <w:sz w:val="24"/>
                <w:szCs w:val="24"/>
                <w:highlight w:val="white"/>
              </w:rPr>
              <w:lastRenderedPageBreak/>
              <w:t xml:space="preserve">iar concediul de bază de 28 de zile lucrătoare este superior </w:t>
            </w:r>
            <w:r w:rsidRPr="00A62E1D">
              <w:rPr>
                <w:rFonts w:ascii="Times New Roman" w:eastAsia="Times New Roman" w:hAnsi="Times New Roman" w:cs="Times New Roman"/>
                <w:sz w:val="24"/>
                <w:szCs w:val="24"/>
                <w:highlight w:val="white"/>
              </w:rPr>
              <w:t>standardului minim de 24 de zile lucrătoare</w:t>
            </w:r>
            <w:r>
              <w:rPr>
                <w:rFonts w:ascii="Times New Roman" w:eastAsia="Times New Roman" w:hAnsi="Times New Roman" w:cs="Times New Roman"/>
                <w:sz w:val="24"/>
                <w:szCs w:val="24"/>
                <w:highlight w:val="white"/>
              </w:rPr>
              <w:t>.</w:t>
            </w:r>
          </w:p>
          <w:p w14:paraId="0ACD6A26"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Referitor la datele statistice prezentate (9% angajați cu zile de concediu neutilizate în 2025, incomplet de personal de 10–15%): acestea confirmă o problemă de dimensionare a efectivelor și de planificare a concediilor, care se rezolvă prin măsuri de management al resurselor umane, nu prin extinderea concediului suplimentar.</w:t>
            </w:r>
          </w:p>
          <w:p w14:paraId="056DF047"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Nu se acceptă completarea art. 40 cu un nou alineat privind un concediu suplimentar plătit de până la 8 zile lucrătoare pentru „probleme sociale și de trai stringente”: o asemenea garanție excedează obiectul proiectului (uniformizarea concediului de odihnă anual) și dublează, fără justificare distinctă, instrumentele deja existente în Codul muncii pentru situații familiale deosebite.</w:t>
            </w:r>
          </w:p>
          <w:p w14:paraId="65A7774F" w14:textId="28703910"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Prin urmare, redacția art. 40 din Legea nr. 134/2008 propusă la </w:t>
            </w:r>
            <w:r w:rsidRPr="00A62E1D">
              <w:rPr>
                <w:rFonts w:ascii="Times New Roman" w:eastAsia="Times New Roman" w:hAnsi="Times New Roman" w:cs="Times New Roman"/>
                <w:sz w:val="24"/>
                <w:szCs w:val="24"/>
                <w:highlight w:val="white"/>
              </w:rPr>
              <w:t>proiect</w:t>
            </w:r>
            <w:r>
              <w:rPr>
                <w:rFonts w:ascii="Times New Roman" w:eastAsia="Times New Roman" w:hAnsi="Times New Roman" w:cs="Times New Roman"/>
                <w:sz w:val="24"/>
                <w:szCs w:val="24"/>
                <w:highlight w:val="white"/>
              </w:rPr>
              <w:t xml:space="preserve"> se menține.</w:t>
            </w:r>
          </w:p>
          <w:p w14:paraId="6498EF48"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2F810CC3" w14:textId="7449E42A" w:rsidR="0021239A" w:rsidRDefault="0021239A">
            <w:pPr>
              <w:shd w:val="clear" w:color="auto" w:fill="FFFFFF"/>
              <w:jc w:val="both"/>
              <w:rPr>
                <w:rFonts w:ascii="Times New Roman" w:eastAsia="Times New Roman" w:hAnsi="Times New Roman" w:cs="Times New Roman"/>
                <w:sz w:val="24"/>
                <w:szCs w:val="24"/>
                <w:highlight w:val="white"/>
              </w:rPr>
            </w:pPr>
          </w:p>
        </w:tc>
      </w:tr>
      <w:tr w:rsidR="00315874" w14:paraId="3991DE29" w14:textId="77777777">
        <w:trPr>
          <w:trHeight w:val="1065"/>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399B30D0"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11AC6D16" w14:textId="77777777" w:rsidR="00315874" w:rsidRDefault="00315874">
            <w:pPr>
              <w:spacing w:line="240" w:lineRule="auto"/>
              <w:jc w:val="center"/>
              <w:rPr>
                <w:rFonts w:ascii="Times New Roman" w:eastAsia="Times New Roman" w:hAnsi="Times New Roman" w:cs="Times New Roman"/>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1EE1B073"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Totodată, nota informativă care însoțește proiectul nu conține argumente obiective și proporționale care să justifice eliminarea acestei garanții și nu demonstrează necesitatea restrângerii drepturilor acordate în funcție de vechimea în serviciu. Or, diminuarea unei garanții sociale consacrate prin lege pentru o categorie profesională cu statut special trebuie să fie fundamentată prin existența unui interes public legitim și să respecte principiile proporționalității și ale protecției încrederii legitime. În lipsa unei asemenea justificări, măsura propusă apare ca o diminuare nefundamentată a nivelului de protecție socială stabilit de legiuitor.</w:t>
            </w:r>
          </w:p>
          <w:p w14:paraId="533ADBE1"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Majorarea duratei concediului de odihnă în funcție de vechimea în serviciu nu constituie un beneficiu acordat discreționar, ci o garanție legală instituită pentru compensarea constrângerilor și uzurii profesionale specifice funcției de ofițer de protecție. Activitatea acestei categorii de personal se desfășoară într-un regim special de serviciu, caracterizat prin executarea misiunilor de protecție cu un nivel ridicat de responsabilitate și risc, disponibilitate permanentă pentru intervenție, activitate în schimburi, prestarea serviciului în afara programului normal de muncă, inclusiv în zilele de repaus și de sărbătoare nelucrătoare, precum și imposibilitatea planificării previzibile a timpului de odihnă. Aceste </w:t>
            </w:r>
            <w:r>
              <w:rPr>
                <w:rFonts w:ascii="Times New Roman" w:eastAsia="Times New Roman" w:hAnsi="Times New Roman" w:cs="Times New Roman"/>
                <w:sz w:val="24"/>
                <w:szCs w:val="24"/>
                <w:highlight w:val="white"/>
              </w:rPr>
              <w:lastRenderedPageBreak/>
              <w:t>particularități generează un nivel ridicat de solicitare fizică și psihică, justificând menținerea unor garanții compensatorii corespunzătoare.</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1412381C"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 xml:space="preserve">Nu se acceptă. </w:t>
            </w:r>
          </w:p>
          <w:p w14:paraId="19FF36D5"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6EE746BE"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 se vedea răspunsul consolidat de la pct. 31 (paragraful de la începutul prezentului aviz al Serviciului de Protecție și Pază de Stat), aplicabil în integralitate.</w:t>
            </w:r>
          </w:p>
        </w:tc>
      </w:tr>
      <w:tr w:rsidR="00315874" w14:paraId="5347EF81" w14:textId="77777777">
        <w:trPr>
          <w:trHeight w:val="1065"/>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2C049D8B"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481C9E62" w14:textId="77777777" w:rsidR="00315874" w:rsidRDefault="00315874">
            <w:pPr>
              <w:spacing w:line="240" w:lineRule="auto"/>
              <w:jc w:val="center"/>
              <w:rPr>
                <w:rFonts w:ascii="Times New Roman" w:eastAsia="Times New Roman" w:hAnsi="Times New Roman" w:cs="Times New Roman"/>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0CF4FAFC"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De asemenea, odată cu acumularea vechimii în serviciu, ofițerii de protecție exercită atribuții cu un grad sporit de complexitate și responsabilitate, gestionează situații cu risc operațional ridicat, participă la planificarea și coordonarea misiunilor de protecție și contribuie la instruirea și integrarea profesională a personalului nou încadrat. În aceste condiții, timpul destinat recuperării capacității de muncă nu reprezintă un avantaj suplimentar, ci o măsură necesară pentru menținerea sănătății, a echilibrului psihologic și a capacității de exercitare a atribuțiilor de serviciu la standardele impuse de funcția publică cu statut special.</w:t>
            </w:r>
          </w:p>
          <w:p w14:paraId="2D4D3FCF"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Astfel, Serviciul constată că eliminarea majorării concediului de odihnă în funcție de vechimea în serviciu nu este susținută de argumente obiective și proporționale și este de natură să diminueze nivelul garanțiilor sociale aferente statutului special al ofițerilor de protecție. </w:t>
            </w:r>
          </w:p>
          <w:p w14:paraId="0795ACC3"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Prin urmare, se consideră oportună menținerea mecanismului de majorare a concediului, adaptat noii modalități de calcul a duratei acestuia.</w:t>
            </w:r>
          </w:p>
          <w:p w14:paraId="14117009"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 xml:space="preserve">  În acest sens, se propune menținerea garanțiilor prevăzute la articolul 40 alin.(3) din Legea nr.134/2008 cu privire la Serviciul de Protecție și Pază de Stat, cu ajustarea corespunzătoare la noua modalitate de calcul a concediului suplimentar, prin expunerea acesteia în următoarea redacție: „</w:t>
            </w:r>
            <w:r>
              <w:rPr>
                <w:rFonts w:ascii="Times New Roman" w:eastAsia="Times New Roman" w:hAnsi="Times New Roman" w:cs="Times New Roman"/>
                <w:i/>
                <w:iCs/>
                <w:sz w:val="24"/>
                <w:szCs w:val="24"/>
                <w:highlight w:val="white"/>
              </w:rPr>
              <w:t>În cazul în care vechimea în serviciu depășește 10, 15 și 20 de ani, concediul de odihnă anual plătit se majorează, respectiv, cu 3, 5 și 7 zile lucrătoare.”</w:t>
            </w:r>
            <w:r>
              <w:rPr>
                <w:rFonts w:ascii="Times New Roman" w:eastAsia="Times New Roman" w:hAnsi="Times New Roman" w:cs="Times New Roman"/>
                <w:sz w:val="24"/>
                <w:szCs w:val="24"/>
                <w:highlight w:val="white"/>
              </w:rPr>
              <w:t>.</w:t>
            </w:r>
          </w:p>
          <w:p w14:paraId="7C03CFC6"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În același timp, majorarea propusă a duratei concediului de odihnă în funcție de vechimea în serviciu nu conduce la acordarea unui număr mai mare de zile de concediu decât cel prevăzut de reglementarea în vigoare, ci reprezintă exclusiv adaptarea mecanismului existent la noua modalitate de calcul a concediului, exprimată în zile lucrătoare.</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3946DC36"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 xml:space="preserve">Nu se acceptă. </w:t>
            </w:r>
          </w:p>
          <w:p w14:paraId="6E7AD211"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78D9B6D5"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 se vedea răspunsul consolidat de la pct. 31 (paragraful de la începutul prezentului aviz al Serviciului de Protecție și Pază de Stat), aplicabil în integralitate.</w:t>
            </w:r>
          </w:p>
        </w:tc>
      </w:tr>
      <w:tr w:rsidR="00315874" w14:paraId="3DB56ACA" w14:textId="77777777">
        <w:trPr>
          <w:trHeight w:val="1065"/>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09BC17E2"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0FED01C9" w14:textId="77777777" w:rsidR="00315874" w:rsidRDefault="00315874">
            <w:pPr>
              <w:spacing w:line="240" w:lineRule="auto"/>
              <w:jc w:val="center"/>
              <w:rPr>
                <w:rFonts w:ascii="Times New Roman" w:eastAsia="Times New Roman" w:hAnsi="Times New Roman" w:cs="Times New Roman"/>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126A36D7"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Totodată, în vederea asigurării unui tratament juridic comparabil cu cel reglementat de alte legi speciale aplicabile instituțiilor din domeniul apărării, securității naționale și ordinii publice, se propune completarea articolului 40 cu un nou alineat, cu următorul cuprins:</w:t>
            </w:r>
          </w:p>
          <w:p w14:paraId="0FC6A023" w14:textId="77777777" w:rsidR="00315874" w:rsidRDefault="00000000">
            <w:pPr>
              <w:jc w:val="both"/>
              <w:rPr>
                <w:rFonts w:ascii="Times New Roman" w:eastAsia="Times New Roman" w:hAnsi="Times New Roman" w:cs="Times New Roman"/>
                <w:i/>
                <w:iCs/>
                <w:sz w:val="24"/>
                <w:szCs w:val="24"/>
                <w:highlight w:val="white"/>
              </w:rPr>
            </w:pP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i/>
                <w:iCs/>
                <w:sz w:val="24"/>
                <w:szCs w:val="24"/>
                <w:highlight w:val="white"/>
              </w:rPr>
              <w:t xml:space="preserve">„Pentru soluționarea unor probleme sociale și de trai stringente, în special pentru fortificarea sănătății, îndeplinirea obligațiilor familiale sau pentru alte motive întemeiate, confirmate documentar, ofițerilor de protecție </w:t>
            </w:r>
            <w:r>
              <w:rPr>
                <w:rFonts w:ascii="Times New Roman" w:eastAsia="Times New Roman" w:hAnsi="Times New Roman" w:cs="Times New Roman"/>
                <w:i/>
                <w:iCs/>
                <w:sz w:val="24"/>
                <w:szCs w:val="24"/>
                <w:highlight w:val="white"/>
              </w:rPr>
              <w:lastRenderedPageBreak/>
              <w:t>li se acordă un concediu suplimentar plătit cu o durată de până la 8 zile lucrătoare pe an, care nu se include în durata concediului de odihnă anual plătit.”</w:t>
            </w:r>
          </w:p>
          <w:p w14:paraId="51FA23DF"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Necesitatea instituirii acestei garanții rezultă și din practica legislativă aplicabilă altor autorități cu atribuții în domeniul apărării, securității naționale și ordinii publice, dispoziții similare fiind prevăzute în Legea nr. 300/2017 cu privire la sistemul administrației penitenciare și de Legea nr. 170/2007 privind statutul ofițerului de informații și securitate.</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043F14F5"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 xml:space="preserve">Nu se acceptă. </w:t>
            </w:r>
          </w:p>
          <w:p w14:paraId="0313A08C"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2302CE6A"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 se vedea răspunsul consolidat de la pct. 31 (paragraful de la începutul prezentului aviz al Serviciului de Protecție și Pază de Stat), aplicabil în integralitate.</w:t>
            </w:r>
          </w:p>
        </w:tc>
      </w:tr>
      <w:tr w:rsidR="00315874" w14:paraId="3CEA0A95" w14:textId="77777777">
        <w:trPr>
          <w:trHeight w:val="1065"/>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73CE8D4A"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560F3BC7" w14:textId="77777777" w:rsidR="00315874" w:rsidRDefault="00315874">
            <w:pPr>
              <w:spacing w:line="240" w:lineRule="auto"/>
              <w:jc w:val="center"/>
              <w:rPr>
                <w:rFonts w:ascii="Times New Roman" w:eastAsia="Times New Roman" w:hAnsi="Times New Roman" w:cs="Times New Roman"/>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217530B7"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Totodată, ținem să menționăm că la moment doar 9% din numărul total al angajaților Serviciului înregistrează zile de concediu neutilizate pentru anul 2025, iar cele vehiculate că concediile nu sunt folosite și că acestea nu sunt necesare nu corespund realității din următoarele considerente:</w:t>
            </w:r>
          </w:p>
          <w:p w14:paraId="27DA93C8"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 Incompletul actual de efectiv se menține în jur de 10-15 %. Această situație apare din mai multe cauze dintre care: procesul de recrutare, fluxul de personal, salarii reduse în comparație cu sectorul privat, condițiile și restricțiile impuse, precum și de reducerea pachetului protecției sociale a angajaților;</w:t>
            </w:r>
          </w:p>
          <w:p w14:paraId="07641515"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 Sunt angajați detașați la studii, cursuri de perfecționare, se află în concedii medicale etc., fapt care și mai mult </w:t>
            </w:r>
            <w:r>
              <w:rPr>
                <w:rFonts w:ascii="Times New Roman" w:eastAsia="Times New Roman" w:hAnsi="Times New Roman" w:cs="Times New Roman"/>
                <w:sz w:val="24"/>
                <w:szCs w:val="24"/>
                <w:highlight w:val="white"/>
              </w:rPr>
              <w:lastRenderedPageBreak/>
              <w:t>reduce numărul de personal disponibil pentru îndeplinirea misiunilor/sarcinilor;</w:t>
            </w:r>
          </w:p>
          <w:p w14:paraId="25898DAA"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 Deasemenea, structura actuală nu corespunde volumului de sarcini. De exemplu, pentru perioada anilor 2022-2026, numărul de misiuni de protecție s-a mărit cu 300%, iar în urma reformelor din anul 2023, numărul de personal a fost redus cu 88 de angajați. Respectiv, implicarea efectivului este suprasolicitată.</w:t>
            </w:r>
          </w:p>
          <w:p w14:paraId="290C6DBA"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Toate acestea se reflectă direct asupra situației de a acorda concedii în măsura deplină pentru personal.</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5CDA5089"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 xml:space="preserve">Nu se acceptă. </w:t>
            </w:r>
          </w:p>
          <w:p w14:paraId="3E507B0D"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308D6F0D"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 se vedea răspunsul consolidat de la pct. 31 (paragraful de la începutul prezentului aviz al Serviciului de Protecție și Pază de Stat), aplicabil în integralitate.</w:t>
            </w:r>
          </w:p>
        </w:tc>
      </w:tr>
      <w:tr w:rsidR="00315874" w14:paraId="5E5DE944" w14:textId="77777777">
        <w:trPr>
          <w:trHeight w:val="4080"/>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79A4CD31"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4260D38D" w14:textId="77777777" w:rsidR="00315874" w:rsidRDefault="00315874">
            <w:pPr>
              <w:spacing w:line="240" w:lineRule="auto"/>
              <w:jc w:val="center"/>
              <w:rPr>
                <w:rFonts w:ascii="Times New Roman" w:eastAsia="Times New Roman" w:hAnsi="Times New Roman" w:cs="Times New Roman"/>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17A0A0B7"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În concluzie, menținerea majorării concediului de odihnă anual în funcție de vechimea în serviciu, precum și completarea cadrului normativ cu posibilitatea acordării unui concediu suplimentar plătit pentru soluționarea unor probleme sociale și familiale deosebite, măsuri care sunt justificate de specificul statutului profesional al ofițerilor de protecție și necesare pentru asigurarea unui nivel adecvat de protecție socială. Aceste măsuri vor contribui la menținerea capacității operaționale a personalului, la motivarea resursei umane și la consolidarea atractivității funcției publice cu statut special din cadrul Serviciului de Protecție și Pază de Stat.</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084253D1"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 xml:space="preserve">Nu se acceptă. </w:t>
            </w:r>
          </w:p>
          <w:p w14:paraId="73962967"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62BF4243"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 se vedea răspunsul consolidat de la pct. 31 (paragraful de la începutul prezentului aviz al Serviciului de Protecție și Pază de Stat), aplicabil în integralitate.</w:t>
            </w:r>
          </w:p>
        </w:tc>
      </w:tr>
      <w:tr w:rsidR="00315874" w14:paraId="6949518A" w14:textId="77777777">
        <w:trPr>
          <w:trHeight w:val="1080"/>
        </w:trPr>
        <w:tc>
          <w:tcPr>
            <w:tcW w:w="735" w:type="dxa"/>
            <w:vMerge w:val="restart"/>
            <w:tcBorders>
              <w:top w:val="single" w:sz="6" w:space="0" w:color="999999"/>
              <w:left w:val="single" w:sz="6" w:space="0" w:color="999999"/>
              <w:bottom w:val="single" w:sz="6" w:space="0" w:color="999999"/>
              <w:right w:val="single" w:sz="6" w:space="0" w:color="999999"/>
            </w:tcBorders>
            <w:tcMar>
              <w:top w:w="0" w:type="dxa"/>
              <w:bottom w:w="0" w:type="dxa"/>
            </w:tcMar>
          </w:tcPr>
          <w:p w14:paraId="53CAC93E" w14:textId="77777777" w:rsidR="00315874"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32.</w:t>
            </w:r>
          </w:p>
        </w:tc>
        <w:tc>
          <w:tcPr>
            <w:tcW w:w="2835" w:type="dxa"/>
            <w:vMerge w:val="restart"/>
            <w:tcBorders>
              <w:top w:val="single" w:sz="6" w:space="0" w:color="999999"/>
              <w:left w:val="single" w:sz="6" w:space="0" w:color="999999"/>
              <w:bottom w:val="single" w:sz="6" w:space="0" w:color="999999"/>
              <w:right w:val="single" w:sz="6" w:space="0" w:color="999999"/>
            </w:tcBorders>
            <w:tcMar>
              <w:top w:w="0" w:type="dxa"/>
              <w:bottom w:w="0" w:type="dxa"/>
            </w:tcMar>
          </w:tcPr>
          <w:p w14:paraId="25972CD0" w14:textId="77777777" w:rsidR="00315874" w:rsidRDefault="00000000">
            <w:pPr>
              <w:spacing w:line="240" w:lineRule="auto"/>
              <w:ind w:left="14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Banca Națională a Moldovei</w:t>
            </w:r>
          </w:p>
          <w:p w14:paraId="339EE082" w14:textId="77777777" w:rsidR="00315874" w:rsidRDefault="00000000">
            <w:pPr>
              <w:spacing w:line="240" w:lineRule="auto"/>
              <w:ind w:left="140"/>
              <w:rPr>
                <w:rFonts w:ascii="Times New Roman" w:eastAsia="Times New Roman" w:hAnsi="Times New Roman" w:cs="Times New Roman"/>
                <w:sz w:val="24"/>
                <w:szCs w:val="24"/>
              </w:rPr>
            </w:pPr>
            <w:r>
              <w:rPr>
                <w:rFonts w:ascii="Times New Roman" w:eastAsia="Times New Roman" w:hAnsi="Times New Roman" w:cs="Times New Roman"/>
                <w:sz w:val="24"/>
                <w:szCs w:val="24"/>
              </w:rPr>
              <w:t>Nr. . 31-002/121/3892  din 16.07.2026</w:t>
            </w: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7117B6DC"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1. Art. V</w:t>
            </w:r>
            <w:r>
              <w:rPr>
                <w:rFonts w:ascii="Times New Roman" w:eastAsia="Times New Roman" w:hAnsi="Times New Roman" w:cs="Times New Roman"/>
                <w:sz w:val="24"/>
                <w:szCs w:val="24"/>
                <w:highlight w:val="white"/>
              </w:rPr>
              <w:t xml:space="preserve"> din proiect: </w:t>
            </w:r>
            <w:r>
              <w:rPr>
                <w:rFonts w:ascii="Times New Roman" w:eastAsia="Times New Roman" w:hAnsi="Times New Roman" w:cs="Times New Roman"/>
                <w:b/>
                <w:bCs/>
                <w:sz w:val="24"/>
                <w:szCs w:val="24"/>
                <w:highlight w:val="white"/>
              </w:rPr>
              <w:t>1.1 la pct.2 și 3</w:t>
            </w:r>
            <w:r>
              <w:rPr>
                <w:rFonts w:ascii="Times New Roman" w:eastAsia="Times New Roman" w:hAnsi="Times New Roman" w:cs="Times New Roman"/>
                <w:sz w:val="24"/>
                <w:szCs w:val="24"/>
                <w:highlight w:val="white"/>
              </w:rPr>
              <w:t>, în partea ce ține de reglementarea procesului de consultare cu Ministerul Finanțelor a contractelor colective din sectorul bugetar, modificări ce vizează art. 32 și art. 37 din Codul muncii, propunem completarea acestora cu prevederi ce țin de termenul de examinare și oferirea răspunsului oficial, în vederea eliminării interpretărilor eronate și descrierii depline a procesului de consultare.</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35CF1BBF" w14:textId="77777777" w:rsidR="00315874" w:rsidRDefault="00315874">
            <w:pPr>
              <w:shd w:val="clear" w:color="auto" w:fill="FFFFFF"/>
              <w:jc w:val="both"/>
              <w:rPr>
                <w:rFonts w:ascii="Times New Roman" w:eastAsia="Times New Roman" w:hAnsi="Times New Roman" w:cs="Times New Roman"/>
                <w:b/>
                <w:bCs/>
                <w:sz w:val="24"/>
                <w:szCs w:val="24"/>
                <w:highlight w:val="white"/>
              </w:rPr>
            </w:pPr>
          </w:p>
          <w:p w14:paraId="656831BF" w14:textId="2AF93F1E" w:rsidR="0021239A" w:rsidRDefault="00000000">
            <w:pPr>
              <w:shd w:val="clear" w:color="auto" w:fill="FFFFFF"/>
              <w:jc w:val="both"/>
              <w:rPr>
                <w:rFonts w:ascii="Times New Roman" w:eastAsia="Times New Roman" w:hAnsi="Times New Roman" w:cs="Times New Roman"/>
                <w:b/>
                <w:bCs/>
                <w:sz w:val="24"/>
                <w:szCs w:val="24"/>
                <w:highlight w:val="white"/>
              </w:rPr>
            </w:pPr>
            <w:r w:rsidRPr="00A62E1D">
              <w:rPr>
                <w:rFonts w:ascii="Times New Roman" w:eastAsia="Times New Roman" w:hAnsi="Times New Roman" w:cs="Times New Roman"/>
                <w:b/>
                <w:bCs/>
                <w:sz w:val="24"/>
                <w:szCs w:val="24"/>
                <w:highlight w:val="white"/>
              </w:rPr>
              <w:t>Se acceptă.</w:t>
            </w:r>
            <w:r w:rsidRPr="00A62E1D">
              <w:rPr>
                <w:rFonts w:ascii="Times New Roman" w:eastAsia="Times New Roman" w:hAnsi="Times New Roman" w:cs="Times New Roman"/>
                <w:sz w:val="24"/>
                <w:szCs w:val="24"/>
                <w:highlight w:val="white"/>
              </w:rPr>
              <w:t xml:space="preserve"> Art. 32 și 37 CM au fost completate cu termenul de 10 zile lucrătoare pentru emiterea opiniei și cu efectul neprezentării acesteia.</w:t>
            </w:r>
          </w:p>
        </w:tc>
      </w:tr>
      <w:tr w:rsidR="00315874" w14:paraId="46DDD58D" w14:textId="77777777">
        <w:trPr>
          <w:trHeight w:val="1080"/>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3CC9FD37" w14:textId="77777777" w:rsidR="00315874" w:rsidRDefault="00315874">
            <w:pPr>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2C03F7E8" w14:textId="77777777" w:rsidR="00315874" w:rsidRDefault="00315874">
            <w:pPr>
              <w:spacing w:line="240" w:lineRule="auto"/>
              <w:ind w:left="140"/>
              <w:rPr>
                <w:rFonts w:ascii="Times New Roman" w:eastAsia="Times New Roman" w:hAnsi="Times New Roman" w:cs="Times New Roman"/>
                <w:b/>
                <w:bCs/>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2F4A395A" w14:textId="77777777" w:rsidR="00315874" w:rsidRDefault="00000000">
            <w:pPr>
              <w:ind w:firstLine="283"/>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1.2 la pct. 5</w:t>
            </w:r>
            <w:r>
              <w:rPr>
                <w:rFonts w:ascii="Times New Roman" w:eastAsia="Times New Roman" w:hAnsi="Times New Roman" w:cs="Times New Roman"/>
                <w:sz w:val="24"/>
                <w:szCs w:val="24"/>
                <w:highlight w:val="white"/>
              </w:rPr>
              <w:t>, în partea ce ține de completarea art. 113 alin. (1) din Codul muncii cu textul „luându-se drept bază durata normală a timpului de muncă”, considerăm oportună clarificarea scopului acestei completări sau, după caz, revizuirea redactării propuse, întrucât nu este clar în ce mod această referință la „durata normală a timpului de muncă” urmează a fi utilizată la determinarea duratei concediului anual.</w:t>
            </w:r>
          </w:p>
          <w:p w14:paraId="4D8702C4" w14:textId="77777777" w:rsidR="00315874" w:rsidRDefault="00000000">
            <w:pPr>
              <w:ind w:firstLine="283"/>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sz w:val="24"/>
                <w:szCs w:val="24"/>
                <w:highlight w:val="white"/>
              </w:rPr>
              <w:t>De asemenea, nu este clar ce urmează a fi ajustat în raport cu această referință, inclusiv în cazul salariaților care desfășoară activitate cu timp de muncă parțial, în schimburi, în baza unui program individualizat de muncă sau în alte regimuri specifice de organizare a timpului de muncă. De menționat, că nici în Nota de fundamentare nu sunt prezentate argumente în acest sens, respectiv nu sunt expuse rațiunile juridice sau modalitățile practice de aplicare a acestei completări.</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4F820792" w14:textId="77777777" w:rsidR="00315874" w:rsidRDefault="00315874">
            <w:pPr>
              <w:shd w:val="clear" w:color="auto" w:fill="FFFFFF"/>
              <w:jc w:val="both"/>
              <w:rPr>
                <w:rFonts w:ascii="Times New Roman" w:eastAsia="Times New Roman" w:hAnsi="Times New Roman" w:cs="Times New Roman"/>
                <w:b/>
                <w:bCs/>
                <w:sz w:val="24"/>
                <w:szCs w:val="24"/>
                <w:highlight w:val="white"/>
              </w:rPr>
            </w:pPr>
          </w:p>
          <w:p w14:paraId="4A695B3B" w14:textId="36F724A9" w:rsidR="0021239A" w:rsidRDefault="00000000">
            <w:pPr>
              <w:shd w:val="clear" w:color="auto" w:fill="FFFFFF"/>
              <w:jc w:val="both"/>
              <w:rPr>
                <w:rFonts w:ascii="Times New Roman" w:eastAsia="Times New Roman" w:hAnsi="Times New Roman" w:cs="Times New Roman"/>
                <w:b/>
                <w:bCs/>
                <w:sz w:val="24"/>
                <w:szCs w:val="24"/>
                <w:highlight w:val="white"/>
              </w:rPr>
            </w:pPr>
            <w:r w:rsidRPr="00A62E1D">
              <w:rPr>
                <w:rFonts w:ascii="Times New Roman" w:eastAsia="Times New Roman" w:hAnsi="Times New Roman" w:cs="Times New Roman"/>
                <w:b/>
                <w:bCs/>
                <w:sz w:val="24"/>
                <w:szCs w:val="24"/>
                <w:highlight w:val="white"/>
              </w:rPr>
              <w:t>Se acceptă.</w:t>
            </w:r>
            <w:r w:rsidRPr="00A62E1D">
              <w:rPr>
                <w:rFonts w:ascii="Times New Roman" w:eastAsia="Times New Roman" w:hAnsi="Times New Roman" w:cs="Times New Roman"/>
                <w:sz w:val="24"/>
                <w:szCs w:val="24"/>
                <w:highlight w:val="white"/>
              </w:rPr>
              <w:t xml:space="preserve"> Sintagma „luându-se drept bază durata normală a timpului de muncă” a fost exclusă. Art. 113 alin. (1) stabilește 22 de zile lucrătoare la săptămâna de 5 zile și 24 la săptămâna de 6 zile.</w:t>
            </w:r>
          </w:p>
        </w:tc>
      </w:tr>
      <w:tr w:rsidR="00315874" w14:paraId="36DA634F" w14:textId="77777777">
        <w:trPr>
          <w:trHeight w:val="1080"/>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47566A5F" w14:textId="77777777" w:rsidR="00315874" w:rsidRDefault="00315874">
            <w:pPr>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593BAAC8" w14:textId="77777777" w:rsidR="00315874" w:rsidRDefault="00315874">
            <w:pPr>
              <w:spacing w:line="240" w:lineRule="auto"/>
              <w:ind w:left="140"/>
              <w:rPr>
                <w:rFonts w:ascii="Times New Roman" w:eastAsia="Times New Roman" w:hAnsi="Times New Roman" w:cs="Times New Roman"/>
                <w:b/>
                <w:bCs/>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6113A68D" w14:textId="77777777" w:rsidR="00315874" w:rsidRDefault="00000000">
            <w:pPr>
              <w:ind w:firstLine="283"/>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Totodată, constatăm existența unor formulări diferite în proiect și în tabelul comparativ, respectiv </w:t>
            </w:r>
            <w:r>
              <w:rPr>
                <w:rFonts w:ascii="Times New Roman" w:eastAsia="Times New Roman" w:hAnsi="Times New Roman" w:cs="Times New Roman"/>
                <w:sz w:val="24"/>
                <w:szCs w:val="24"/>
                <w:highlight w:val="white"/>
                <w:u w:val="single"/>
              </w:rPr>
              <w:t>„luându-se drept bază durata normală a timpului de muncă”</w:t>
            </w:r>
            <w:r>
              <w:rPr>
                <w:rFonts w:ascii="Times New Roman" w:eastAsia="Times New Roman" w:hAnsi="Times New Roman" w:cs="Times New Roman"/>
                <w:sz w:val="24"/>
                <w:szCs w:val="24"/>
                <w:highlight w:val="white"/>
              </w:rPr>
              <w:t xml:space="preserve"> și </w:t>
            </w:r>
            <w:r>
              <w:rPr>
                <w:rFonts w:ascii="Times New Roman" w:eastAsia="Times New Roman" w:hAnsi="Times New Roman" w:cs="Times New Roman"/>
                <w:sz w:val="24"/>
                <w:szCs w:val="24"/>
                <w:highlight w:val="white"/>
                <w:u w:val="single"/>
              </w:rPr>
              <w:t>„luându-se drept bază săptămâna de muncă de 5 zile”</w:t>
            </w:r>
            <w:r>
              <w:rPr>
                <w:rFonts w:ascii="Times New Roman" w:eastAsia="Times New Roman" w:hAnsi="Times New Roman" w:cs="Times New Roman"/>
                <w:sz w:val="24"/>
                <w:szCs w:val="24"/>
                <w:highlight w:val="white"/>
              </w:rPr>
              <w:t>, ambele fiind insuficient de clare și susceptibile de interpretări diferite.</w:t>
            </w:r>
          </w:p>
          <w:p w14:paraId="49E95EA4" w14:textId="77777777" w:rsidR="00315874" w:rsidRDefault="00000000">
            <w:pPr>
              <w:ind w:firstLine="283"/>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sz w:val="24"/>
                <w:szCs w:val="24"/>
                <w:highlight w:val="white"/>
              </w:rPr>
              <w:t>În vederea asigurării unei aplicări uniforme a normei și evitării interpretărilor divergente, recomandăm completarea proiectului cu o prevedere expresă care să stabilească modalitatea de determinare a duratei concediului anual în raport cu sintagma „luându-se drept bază durata normală a timpului de muncă”, inclusiv modul de aplicare a acesteia pentru diferitele regimuri de muncă prevăzute de legislația muncii.</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18E0973E" w14:textId="77777777" w:rsidR="00315874" w:rsidRPr="00A62E1D" w:rsidRDefault="00315874">
            <w:pPr>
              <w:shd w:val="clear" w:color="auto" w:fill="FFFFFF"/>
              <w:jc w:val="both"/>
              <w:rPr>
                <w:rFonts w:ascii="Times New Roman" w:eastAsia="Times New Roman" w:hAnsi="Times New Roman" w:cs="Times New Roman"/>
                <w:sz w:val="24"/>
                <w:szCs w:val="24"/>
                <w:highlight w:val="white"/>
              </w:rPr>
            </w:pPr>
          </w:p>
          <w:p w14:paraId="7B16DAF2" w14:textId="02552FBC" w:rsidR="0021239A" w:rsidRPr="00A62E1D" w:rsidRDefault="00000000">
            <w:pPr>
              <w:shd w:val="clear" w:color="auto" w:fill="FFFFFF"/>
              <w:jc w:val="both"/>
              <w:rPr>
                <w:rFonts w:ascii="Times New Roman" w:eastAsia="Times New Roman" w:hAnsi="Times New Roman" w:cs="Times New Roman"/>
                <w:sz w:val="24"/>
                <w:szCs w:val="24"/>
                <w:highlight w:val="white"/>
              </w:rPr>
            </w:pPr>
            <w:r w:rsidRPr="00A62E1D">
              <w:rPr>
                <w:rFonts w:ascii="Times New Roman" w:eastAsia="Times New Roman" w:hAnsi="Times New Roman" w:cs="Times New Roman"/>
                <w:b/>
                <w:bCs/>
                <w:sz w:val="24"/>
                <w:szCs w:val="24"/>
                <w:highlight w:val="white"/>
              </w:rPr>
              <w:t>Se acceptă.</w:t>
            </w:r>
            <w:r w:rsidRPr="00A62E1D">
              <w:rPr>
                <w:rFonts w:ascii="Times New Roman" w:eastAsia="Times New Roman" w:hAnsi="Times New Roman" w:cs="Times New Roman"/>
                <w:sz w:val="24"/>
                <w:szCs w:val="24"/>
                <w:highlight w:val="white"/>
              </w:rPr>
              <w:t xml:space="preserve"> Formulările au fost excluse, iar proiectul și Tabelul comparativ au fost aliniate.</w:t>
            </w:r>
          </w:p>
        </w:tc>
      </w:tr>
      <w:tr w:rsidR="00315874" w14:paraId="25F72AE4" w14:textId="77777777">
        <w:trPr>
          <w:trHeight w:val="1080"/>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7320AF07" w14:textId="77777777" w:rsidR="00315874" w:rsidRDefault="00315874">
            <w:pPr>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47E79DDF" w14:textId="77777777" w:rsidR="00315874" w:rsidRDefault="00315874">
            <w:pPr>
              <w:spacing w:line="240" w:lineRule="auto"/>
              <w:ind w:left="140"/>
              <w:rPr>
                <w:rFonts w:ascii="Times New Roman" w:eastAsia="Times New Roman" w:hAnsi="Times New Roman" w:cs="Times New Roman"/>
                <w:b/>
                <w:bCs/>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1BA05772" w14:textId="77777777" w:rsidR="00315874" w:rsidRDefault="00000000">
            <w:pPr>
              <w:ind w:firstLine="283"/>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1.3</w:t>
            </w:r>
            <w:r>
              <w:rPr>
                <w:rFonts w:ascii="Times New Roman" w:eastAsia="Times New Roman" w:hAnsi="Times New Roman" w:cs="Times New Roman"/>
                <w:sz w:val="24"/>
                <w:szCs w:val="24"/>
                <w:highlight w:val="white"/>
              </w:rPr>
              <w:t xml:space="preserve"> suplimentar </w:t>
            </w:r>
            <w:r>
              <w:rPr>
                <w:rFonts w:ascii="Times New Roman" w:eastAsia="Times New Roman" w:hAnsi="Times New Roman" w:cs="Times New Roman"/>
                <w:b/>
                <w:bCs/>
                <w:sz w:val="24"/>
                <w:szCs w:val="24"/>
                <w:highlight w:val="white"/>
              </w:rPr>
              <w:t>la pct. 5</w:t>
            </w:r>
            <w:r>
              <w:rPr>
                <w:rFonts w:ascii="Times New Roman" w:eastAsia="Times New Roman" w:hAnsi="Times New Roman" w:cs="Times New Roman"/>
                <w:sz w:val="24"/>
                <w:szCs w:val="24"/>
                <w:highlight w:val="white"/>
              </w:rPr>
              <w:t>, în partea ce ține de completarea art. 113 din Codul muncii cu alin. (11 ), după cuvintele „aprobat de angajator” se propune substituirea conjuncției „și” cu textul „și/sau”, luând în considerare ipoteza lipsei unui contract colectiv de muncă.</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71476550" w14:textId="77777777" w:rsidR="00315874" w:rsidRPr="00A62E1D" w:rsidRDefault="00315874">
            <w:pPr>
              <w:shd w:val="clear" w:color="auto" w:fill="FFFFFF"/>
              <w:jc w:val="both"/>
              <w:rPr>
                <w:rFonts w:ascii="Times New Roman" w:eastAsia="Times New Roman" w:hAnsi="Times New Roman" w:cs="Times New Roman"/>
                <w:sz w:val="24"/>
                <w:szCs w:val="24"/>
                <w:highlight w:val="white"/>
              </w:rPr>
            </w:pPr>
          </w:p>
          <w:p w14:paraId="5B06910B" w14:textId="1914ED9B" w:rsidR="0021239A" w:rsidRPr="00A62E1D" w:rsidRDefault="00000000">
            <w:pPr>
              <w:shd w:val="clear" w:color="auto" w:fill="FFFFFF"/>
              <w:jc w:val="both"/>
              <w:rPr>
                <w:rFonts w:ascii="Times New Roman" w:eastAsia="Times New Roman" w:hAnsi="Times New Roman" w:cs="Times New Roman"/>
                <w:sz w:val="24"/>
                <w:szCs w:val="24"/>
                <w:highlight w:val="white"/>
              </w:rPr>
            </w:pPr>
            <w:r w:rsidRPr="00A62E1D">
              <w:rPr>
                <w:rFonts w:ascii="Times New Roman" w:eastAsia="Times New Roman" w:hAnsi="Times New Roman" w:cs="Times New Roman"/>
                <w:b/>
                <w:bCs/>
                <w:sz w:val="24"/>
                <w:szCs w:val="24"/>
                <w:highlight w:val="white"/>
              </w:rPr>
              <w:t xml:space="preserve">Se acceptă. </w:t>
            </w:r>
            <w:r w:rsidRPr="00A62E1D">
              <w:rPr>
                <w:rFonts w:ascii="Times New Roman" w:eastAsia="Times New Roman" w:hAnsi="Times New Roman" w:cs="Times New Roman"/>
                <w:sz w:val="24"/>
                <w:szCs w:val="24"/>
                <w:highlight w:val="white"/>
              </w:rPr>
              <w:t>Referirea la regulamentul intern a fost exclusă, iar alin. (1¹) face trimitere „după caz” la contractul colectiv de muncă sau convenția colectivă.</w:t>
            </w:r>
          </w:p>
        </w:tc>
      </w:tr>
      <w:tr w:rsidR="00315874" w14:paraId="634C1023" w14:textId="77777777">
        <w:trPr>
          <w:trHeight w:val="1080"/>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163522C8"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0F83FDBE" w14:textId="77777777" w:rsidR="00315874" w:rsidRDefault="00315874">
            <w:pPr>
              <w:spacing w:line="240" w:lineRule="auto"/>
              <w:rPr>
                <w:rFonts w:ascii="Times New Roman" w:eastAsia="Times New Roman" w:hAnsi="Times New Roman" w:cs="Times New Roman"/>
                <w:b/>
                <w:bCs/>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55AA2682" w14:textId="77777777" w:rsidR="00315874" w:rsidRDefault="00000000">
            <w:pPr>
              <w:ind w:firstLine="26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b/>
                <w:bCs/>
                <w:sz w:val="24"/>
                <w:szCs w:val="24"/>
                <w:highlight w:val="white"/>
              </w:rPr>
              <w:t>1.4 la pct. 8</w:t>
            </w:r>
            <w:r>
              <w:rPr>
                <w:rFonts w:ascii="Times New Roman" w:eastAsia="Times New Roman" w:hAnsi="Times New Roman" w:cs="Times New Roman"/>
                <w:sz w:val="24"/>
                <w:szCs w:val="24"/>
                <w:highlight w:val="white"/>
              </w:rPr>
              <w:t xml:space="preserve">, în partea ce ține de completarea art. 121 alin. (5) cu textul „Concediile de odihnă anuale suplimentare plătite se acordă după utilizarea cel puțin a două săptămâni lucrătoare de concediu neîntrerupt în anul de referință.”, considerăm necesară revizuirea acestei formulări, întrucât aceasta poate genera confuzii între </w:t>
            </w:r>
            <w:r>
              <w:rPr>
                <w:rFonts w:ascii="Times New Roman" w:eastAsia="Times New Roman" w:hAnsi="Times New Roman" w:cs="Times New Roman"/>
                <w:sz w:val="24"/>
                <w:szCs w:val="24"/>
                <w:highlight w:val="white"/>
              </w:rPr>
              <w:lastRenderedPageBreak/>
              <w:t>concediul anual suplimentar reglementat de Codul muncii și alte categorii de concedii suplimentare acordate potrivit art. 11 din Convenția colectivă (nivel național) nr. 2/2004, care se acordă strict în timpul survenirii evenimentului respectiv și nu pot fi condiționate de utilizarea prealabilă a concediului de odihnă anual.</w:t>
            </w:r>
          </w:p>
          <w:p w14:paraId="7B9423D0" w14:textId="77777777" w:rsidR="00315874" w:rsidRDefault="00000000">
            <w:pPr>
              <w:ind w:firstLine="26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În acest sens, recomandăm precizarea expresă că această condiție se aplică exclusiv concediului anual suplimentar reglementat de Codul muncii, fără a afecta categoriile de concedii suplimentare acordate potrivit art. 11 din Convenția colectivă (nivel național) nr. 2/2004.</w:t>
            </w:r>
          </w:p>
          <w:p w14:paraId="7D2ED38D" w14:textId="77777777" w:rsidR="00315874" w:rsidRDefault="00000000">
            <w:pPr>
              <w:ind w:firstLine="26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Adițional, completarea propusă nu pare să se încadreze în obiectul de reglementare al aliniatului (5). Respectiv, propunem a se examina opțiunea expunerii în calitate de aliniat distinct sau completarea alin. (6) din același articol, care are un caracter mai general.</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0876C522" w14:textId="77777777" w:rsidR="00315874" w:rsidRPr="00A62E1D" w:rsidRDefault="00315874">
            <w:pPr>
              <w:shd w:val="clear" w:color="auto" w:fill="FFFFFF"/>
              <w:jc w:val="both"/>
              <w:rPr>
                <w:rFonts w:ascii="Times New Roman" w:eastAsia="Times New Roman" w:hAnsi="Times New Roman" w:cs="Times New Roman"/>
                <w:sz w:val="24"/>
                <w:szCs w:val="24"/>
                <w:highlight w:val="white"/>
              </w:rPr>
            </w:pPr>
          </w:p>
          <w:p w14:paraId="4F755509" w14:textId="52EC1087" w:rsidR="0021239A" w:rsidRPr="00A62E1D" w:rsidRDefault="00000000">
            <w:pPr>
              <w:shd w:val="clear" w:color="auto" w:fill="FFFFFF"/>
              <w:jc w:val="both"/>
              <w:rPr>
                <w:rFonts w:ascii="Times New Roman" w:eastAsia="Times New Roman" w:hAnsi="Times New Roman" w:cs="Times New Roman"/>
                <w:sz w:val="24"/>
                <w:szCs w:val="24"/>
                <w:highlight w:val="white"/>
              </w:rPr>
            </w:pPr>
            <w:r w:rsidRPr="00A62E1D">
              <w:rPr>
                <w:rFonts w:ascii="Times New Roman" w:eastAsia="Times New Roman" w:hAnsi="Times New Roman" w:cs="Times New Roman"/>
                <w:b/>
                <w:bCs/>
                <w:sz w:val="24"/>
                <w:szCs w:val="24"/>
                <w:highlight w:val="white"/>
              </w:rPr>
              <w:t>Se acceptă.</w:t>
            </w:r>
            <w:r w:rsidRPr="00A62E1D">
              <w:rPr>
                <w:rFonts w:ascii="Times New Roman" w:eastAsia="Times New Roman" w:hAnsi="Times New Roman" w:cs="Times New Roman"/>
                <w:sz w:val="24"/>
                <w:szCs w:val="24"/>
                <w:highlight w:val="white"/>
              </w:rPr>
              <w:t xml:space="preserve"> Completarea art. 121 alin. (5) a fost exclusă din proiect.</w:t>
            </w:r>
          </w:p>
        </w:tc>
      </w:tr>
      <w:tr w:rsidR="00315874" w14:paraId="03B3BE65" w14:textId="77777777">
        <w:trPr>
          <w:trHeight w:val="1080"/>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7813EEB2"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2FB916A8" w14:textId="77777777" w:rsidR="00315874" w:rsidRDefault="00315874">
            <w:pPr>
              <w:spacing w:line="240" w:lineRule="auto"/>
              <w:rPr>
                <w:rFonts w:ascii="Times New Roman" w:eastAsia="Times New Roman" w:hAnsi="Times New Roman" w:cs="Times New Roman"/>
                <w:b/>
                <w:bCs/>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6AA6E566" w14:textId="77777777" w:rsidR="00315874" w:rsidRDefault="00000000">
            <w:pPr>
              <w:ind w:firstLine="283"/>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2. </w:t>
            </w:r>
            <w:r>
              <w:rPr>
                <w:rFonts w:ascii="Times New Roman" w:eastAsia="Times New Roman" w:hAnsi="Times New Roman" w:cs="Times New Roman"/>
                <w:sz w:val="24"/>
                <w:szCs w:val="24"/>
                <w:highlight w:val="white"/>
              </w:rPr>
              <w:t xml:space="preserve">Cu referire la </w:t>
            </w:r>
            <w:r>
              <w:rPr>
                <w:rFonts w:ascii="Times New Roman" w:eastAsia="Times New Roman" w:hAnsi="Times New Roman" w:cs="Times New Roman"/>
                <w:b/>
                <w:bCs/>
                <w:sz w:val="24"/>
                <w:szCs w:val="24"/>
                <w:highlight w:val="white"/>
              </w:rPr>
              <w:t>art. XX „Dispoziții finale și tranzitorii</w:t>
            </w:r>
            <w:r>
              <w:rPr>
                <w:rFonts w:ascii="Times New Roman" w:eastAsia="Times New Roman" w:hAnsi="Times New Roman" w:cs="Times New Roman"/>
                <w:sz w:val="24"/>
                <w:szCs w:val="24"/>
                <w:highlight w:val="white"/>
              </w:rPr>
              <w:t xml:space="preserve">”, și anume alin. (2), care stabilește utilizarea zilelor de concediu de odihnă anual acumulate/nefolosite de către salariați până la intrarea în vigoare a prevederilor prezentului proiect de lege „până la epuizarea soldului acestora”, solicităm autorului să detalieze în Nota de fundamentare modul de aplicare a acestor norme în corelare cu prevederile art. XXV alin. (4) din Legea nr. 47/2024 cu privire la modificarea unor acte normative </w:t>
            </w:r>
            <w:r>
              <w:rPr>
                <w:rFonts w:ascii="Times New Roman" w:eastAsia="Times New Roman" w:hAnsi="Times New Roman" w:cs="Times New Roman"/>
                <w:sz w:val="24"/>
                <w:szCs w:val="24"/>
                <w:highlight w:val="white"/>
              </w:rPr>
              <w:lastRenderedPageBreak/>
              <w:t>(actualizarea cadrului normativ aferent managementului resurselor umane), care stabilește că „zilele de concediu de odihnă anual acumulate/nefolosite de către salariați până la intrarea în vigoare a prezentei legi vor fi utilizate până la 31 decembrie 2029, separat de concediul de odihnă anual pentru anul respectiv, în baza unei programări elaborate anual de angajator de comun acord cu salariații, ținându-se cont de necesitatea asigurării bunei funcționări a unității”.</w:t>
            </w:r>
          </w:p>
          <w:p w14:paraId="1FBB6701" w14:textId="77777777" w:rsidR="00315874" w:rsidRDefault="00000000">
            <w:pPr>
              <w:ind w:firstLine="283"/>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Aceste explicații sunt necesare în vederea aplicării corespunzătoare a prevederilor stabilite în proiect și în Legea nr. 47/2024 și evitarea unui conflict de norme. </w:t>
            </w:r>
          </w:p>
          <w:p w14:paraId="736B48E2" w14:textId="77777777" w:rsidR="00315874" w:rsidRDefault="00315874">
            <w:pPr>
              <w:jc w:val="both"/>
              <w:rPr>
                <w:rFonts w:ascii="Times New Roman" w:eastAsia="Times New Roman" w:hAnsi="Times New Roman" w:cs="Times New Roman"/>
                <w:sz w:val="24"/>
                <w:szCs w:val="24"/>
                <w:highlight w:val="white"/>
              </w:rPr>
            </w:pP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75D7F6CA"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 xml:space="preserve">Proiectul a fost ajustat </w:t>
            </w:r>
          </w:p>
          <w:p w14:paraId="7923AAC6"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”Zilele de concediu de odihnă anual acumulate și neutilizate  de către salariați până la intrarea în vigoare a prezentei legi se acordă și se calculează în zile calendaristice până la epuizarea integrală a soldului de concediu restant. </w:t>
            </w:r>
          </w:p>
          <w:p w14:paraId="685B76D2"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Începând cu 1 ianuarie 2027, concediile de odihnă anuale și cele suplimentare plătite aferente anului 2027 și perioadelor următoare se acordă și se calculează în zile lucrătoare, cu respectarea art. 116 din prezentul cod.</w:t>
            </w:r>
          </w:p>
          <w:p w14:paraId="17EA5119"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Pentru anul 2026, concediile vor fi acordate și calculate în zile calendaristice proporțional cu perioada pentru care a fost dobândit dreptul la acest concediu până la data de 31 decembrie 2026.”</w:t>
            </w:r>
          </w:p>
          <w:p w14:paraId="1335FAC3"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18E1B3AE"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Suplimentar art. 113/1 va fi modificat:</w:t>
            </w:r>
          </w:p>
          <w:p w14:paraId="25B6CD77"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 Anul de muncă pentru care se acordă concediul de odihnă anual corespunde perioadei cuprinse între 1 ianuarie și 31 decembrie a anului calendaristic. În cazul în care salariatul nu a prestat activitate pe întreaga durată a anului de muncă, concediul de odihnă anual se acordă proporțional cu perioada efectiv lucrată, în condițiile prevăzute de legislația în vigoare.”</w:t>
            </w:r>
          </w:p>
          <w:p w14:paraId="70F50AFF" w14:textId="77777777" w:rsidR="00315874" w:rsidRDefault="00315874">
            <w:pPr>
              <w:shd w:val="clear" w:color="auto" w:fill="FFFFFF"/>
              <w:jc w:val="both"/>
              <w:rPr>
                <w:rFonts w:ascii="Times New Roman" w:eastAsia="Times New Roman" w:hAnsi="Times New Roman" w:cs="Times New Roman"/>
                <w:b/>
                <w:bCs/>
                <w:sz w:val="24"/>
                <w:szCs w:val="24"/>
                <w:highlight w:val="white"/>
              </w:rPr>
            </w:pPr>
          </w:p>
        </w:tc>
      </w:tr>
      <w:tr w:rsidR="00315874" w14:paraId="6BBADE6B" w14:textId="77777777">
        <w:trPr>
          <w:trHeight w:val="1080"/>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219BCF95"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71774504" w14:textId="77777777" w:rsidR="00315874" w:rsidRDefault="00315874">
            <w:pPr>
              <w:spacing w:line="240" w:lineRule="auto"/>
              <w:rPr>
                <w:rFonts w:ascii="Times New Roman" w:eastAsia="Times New Roman" w:hAnsi="Times New Roman" w:cs="Times New Roman"/>
                <w:b/>
                <w:bCs/>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079FAC02" w14:textId="77777777" w:rsidR="00315874" w:rsidRDefault="00000000">
            <w:pPr>
              <w:ind w:firstLine="283"/>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3. </w:t>
            </w:r>
            <w:r>
              <w:rPr>
                <w:rFonts w:ascii="Times New Roman" w:eastAsia="Times New Roman" w:hAnsi="Times New Roman" w:cs="Times New Roman"/>
                <w:sz w:val="24"/>
                <w:szCs w:val="24"/>
                <w:highlight w:val="white"/>
              </w:rPr>
              <w:t xml:space="preserve">Având în vedere modificarea propusă la Codul muncii privind stabilirea concediului de odihnă anual plătit cu o durată minimă de 22 de zile lucrătoare și luând în considerare faptul că </w:t>
            </w:r>
            <w:r>
              <w:rPr>
                <w:rFonts w:ascii="Times New Roman" w:eastAsia="Times New Roman" w:hAnsi="Times New Roman" w:cs="Times New Roman"/>
                <w:b/>
                <w:bCs/>
                <w:sz w:val="24"/>
                <w:szCs w:val="24"/>
                <w:highlight w:val="white"/>
              </w:rPr>
              <w:t>art. 8 din Convenția colectivă (nivel național) nr. 2/2004</w:t>
            </w:r>
            <w:r>
              <w:rPr>
                <w:rFonts w:ascii="Times New Roman" w:eastAsia="Times New Roman" w:hAnsi="Times New Roman" w:cs="Times New Roman"/>
                <w:sz w:val="24"/>
                <w:szCs w:val="24"/>
                <w:highlight w:val="white"/>
              </w:rPr>
              <w:t xml:space="preserve"> prevede în prezent o durată minimă de 28 de zile calendaristice, observăm necesitatea actualizării corespunzătoare a prevederilor Convenției, în vederea corelării acestora cu noile dispoziții ale Codului muncii, conform modificărilor care vor fi aprobate. </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13967E74"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Se ia act</w:t>
            </w:r>
          </w:p>
          <w:p w14:paraId="0F7DE4B0"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Toate actele vor necesita ajustare în conformitate cu prevederile legislative noi</w:t>
            </w:r>
          </w:p>
        </w:tc>
      </w:tr>
      <w:tr w:rsidR="00315874" w14:paraId="6768C75D" w14:textId="77777777">
        <w:trPr>
          <w:trHeight w:val="1080"/>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7AF3AEB2"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7181DE5E" w14:textId="77777777" w:rsidR="00315874" w:rsidRDefault="00315874">
            <w:pPr>
              <w:spacing w:line="240" w:lineRule="auto"/>
              <w:rPr>
                <w:rFonts w:ascii="Times New Roman" w:eastAsia="Times New Roman" w:hAnsi="Times New Roman" w:cs="Times New Roman"/>
                <w:b/>
                <w:bCs/>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1E3CB828" w14:textId="77777777" w:rsidR="00315874" w:rsidRDefault="00000000">
            <w:pPr>
              <w:ind w:firstLine="26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4. </w:t>
            </w:r>
            <w:r>
              <w:rPr>
                <w:rFonts w:ascii="Times New Roman" w:eastAsia="Times New Roman" w:hAnsi="Times New Roman" w:cs="Times New Roman"/>
                <w:sz w:val="24"/>
                <w:szCs w:val="24"/>
                <w:highlight w:val="white"/>
              </w:rPr>
              <w:t>În contextul exercițiului de modificare a Codului muncii (Art. V din proiect), propunem următoarele ajustări ale acestuia:</w:t>
            </w:r>
          </w:p>
          <w:p w14:paraId="1A71A1B0" w14:textId="77777777" w:rsidR="00315874" w:rsidRDefault="00000000">
            <w:pPr>
              <w:ind w:firstLine="269"/>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4.1 </w:t>
            </w:r>
            <w:r>
              <w:rPr>
                <w:rFonts w:ascii="Times New Roman" w:eastAsia="Times New Roman" w:hAnsi="Times New Roman" w:cs="Times New Roman"/>
                <w:sz w:val="24"/>
                <w:szCs w:val="24"/>
                <w:highlight w:val="white"/>
              </w:rPr>
              <w:t xml:space="preserve">completarea </w:t>
            </w:r>
            <w:r>
              <w:rPr>
                <w:rFonts w:ascii="Times New Roman" w:eastAsia="Times New Roman" w:hAnsi="Times New Roman" w:cs="Times New Roman"/>
                <w:b/>
                <w:bCs/>
                <w:sz w:val="24"/>
                <w:szCs w:val="24"/>
                <w:highlight w:val="white"/>
              </w:rPr>
              <w:t>art. 114 alin. (2) lit. c) din Codul Muncii,</w:t>
            </w:r>
            <w:r>
              <w:rPr>
                <w:rFonts w:ascii="Times New Roman" w:eastAsia="Times New Roman" w:hAnsi="Times New Roman" w:cs="Times New Roman"/>
                <w:sz w:val="24"/>
                <w:szCs w:val="24"/>
                <w:highlight w:val="white"/>
              </w:rPr>
              <w:t xml:space="preserve"> cu cuvintele „pe parcursul unui an”, în măsura în care perioada aflării în concediu ar urma să fie calculată în cadrul unui an calendaristic, dar nu în contextul duratei aflării într-un concediu neplătit.</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14549789"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 xml:space="preserve">Nu se acceptă. </w:t>
            </w:r>
          </w:p>
          <w:p w14:paraId="0C4617E6"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 xml:space="preserve">A se vedea propunerea din Proiect: </w:t>
            </w:r>
          </w:p>
          <w:p w14:paraId="780F7DB6" w14:textId="77777777" w:rsidR="00315874" w:rsidRDefault="00000000">
            <w:pPr>
              <w:ind w:firstLine="56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Articolul 113</w:t>
            </w:r>
            <w:r>
              <w:rPr>
                <w:rFonts w:ascii="Times New Roman" w:eastAsia="Times New Roman" w:hAnsi="Times New Roman" w:cs="Times New Roman"/>
                <w:sz w:val="24"/>
                <w:szCs w:val="24"/>
                <w:highlight w:val="white"/>
                <w:vertAlign w:val="superscript"/>
              </w:rPr>
              <w:t>1</w:t>
            </w:r>
            <w:r>
              <w:rPr>
                <w:rFonts w:ascii="Times New Roman" w:eastAsia="Times New Roman" w:hAnsi="Times New Roman" w:cs="Times New Roman"/>
                <w:sz w:val="24"/>
                <w:szCs w:val="24"/>
                <w:highlight w:val="white"/>
              </w:rPr>
              <w:t xml:space="preserve"> alineatul (1) se expune în următoarea redacție:</w:t>
            </w:r>
          </w:p>
          <w:p w14:paraId="0556A0F0"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sz w:val="24"/>
                <w:szCs w:val="24"/>
                <w:highlight w:val="white"/>
              </w:rPr>
              <w:t xml:space="preserve"> „(1) Anul de muncă pentru care se acordă concediul de odihnă anual corespunde perioadei cuprinsă între 1 ianuarie și 31 decembrie ale anului calendaristic. În cazul în care salariatul nu a prestat activitate pe întreaga durată a anului de muncă, concediul de odihnă anual se acordă proporțional cu perioada efectiv lucrată, în condițiile prevăzute de legislația în vigoare.”</w:t>
            </w:r>
            <w:r>
              <w:rPr>
                <w:rFonts w:ascii="Times New Roman" w:eastAsia="Times New Roman" w:hAnsi="Times New Roman" w:cs="Times New Roman"/>
                <w:b/>
                <w:bCs/>
                <w:sz w:val="24"/>
                <w:szCs w:val="24"/>
                <w:highlight w:val="white"/>
              </w:rPr>
              <w:t xml:space="preserve"> </w:t>
            </w:r>
          </w:p>
        </w:tc>
      </w:tr>
      <w:tr w:rsidR="00315874" w14:paraId="0479EC0E" w14:textId="77777777">
        <w:trPr>
          <w:trHeight w:val="1080"/>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39B5331F"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7776FB28" w14:textId="77777777" w:rsidR="00315874" w:rsidRDefault="00315874">
            <w:pPr>
              <w:spacing w:line="240" w:lineRule="auto"/>
              <w:rPr>
                <w:rFonts w:ascii="Times New Roman" w:eastAsia="Times New Roman" w:hAnsi="Times New Roman" w:cs="Times New Roman"/>
                <w:b/>
                <w:bCs/>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2A8E3800"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 4.2</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b/>
                <w:bCs/>
                <w:sz w:val="24"/>
                <w:szCs w:val="24"/>
                <w:highlight w:val="white"/>
              </w:rPr>
              <w:t>la art. 158 din Codul muncii</w:t>
            </w:r>
            <w:r>
              <w:rPr>
                <w:rFonts w:ascii="Times New Roman" w:eastAsia="Times New Roman" w:hAnsi="Times New Roman" w:cs="Times New Roman"/>
                <w:sz w:val="24"/>
                <w:szCs w:val="24"/>
                <w:highlight w:val="white"/>
              </w:rPr>
              <w:t xml:space="preserve">, propunem examinarea oportunității precizării sensului sintagmei „limitele normei lunare a timpului de muncă”, utilizată la alin. (1) lit. c), întrucât aceasta poate genera interpretări diferite în procesul de aplicare a normei. În special, nu este suficient de clar dacă, în cazul salariaților care au beneficiat pe parcursul lunii de concediu de odihnă, concediu medical sau de alte absențe motivate, norma lunară a timpului de muncă urmează a fi determinată în raport cu norma generală stabilită pentru unitate sau în raport cu norma individuală a salariatului ajustată corespunzător perioadelor de absență. Lipsa unor reglementări exprese în acest sens poate genera pentru aceeași situație soluții diferite de remunerare a muncii prestate în zilele de repaus sau de sărbătoare nelucrătoare, ceea ce poate afecta </w:t>
            </w:r>
            <w:r>
              <w:rPr>
                <w:rFonts w:ascii="Times New Roman" w:eastAsia="Times New Roman" w:hAnsi="Times New Roman" w:cs="Times New Roman"/>
                <w:sz w:val="24"/>
                <w:szCs w:val="24"/>
                <w:highlight w:val="white"/>
              </w:rPr>
              <w:lastRenderedPageBreak/>
              <w:t xml:space="preserve">aplicarea unitară a prevederilor legale și poate genera litigii de muncă. Prin urmare, recomandăm completarea Codului muncii cu o definiție sau cu reguli clare privind determinarea normei lunare a timpului de muncă în scopul aplicării art. 158, inclusiv în situațiile în care salariatul a avut absențe motivate pe parcursul lunii. </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6E79EF8C" w14:textId="77777777" w:rsidR="00A62E1D" w:rsidRDefault="00000000">
            <w:pPr>
              <w:shd w:val="clear" w:color="auto" w:fill="FFFFFF"/>
              <w:jc w:val="both"/>
              <w:rPr>
                <w:rFonts w:ascii="Times New Roman" w:eastAsia="Times New Roman" w:hAnsi="Times New Roman" w:cs="Times New Roman"/>
                <w:bCs/>
                <w:i/>
                <w:color w:val="FF0000"/>
                <w:sz w:val="24"/>
                <w:szCs w:val="24"/>
              </w:rPr>
            </w:pPr>
            <w:r w:rsidRPr="00A62E1D">
              <w:rPr>
                <w:rFonts w:ascii="Times New Roman" w:eastAsia="Times New Roman" w:hAnsi="Times New Roman" w:cs="Times New Roman"/>
                <w:b/>
                <w:bCs/>
                <w:sz w:val="24"/>
                <w:szCs w:val="24"/>
                <w:highlight w:val="white"/>
              </w:rPr>
              <w:lastRenderedPageBreak/>
              <w:t>Nu se acceptă.</w:t>
            </w:r>
            <w:r>
              <w:rPr>
                <w:rFonts w:ascii="Times New Roman" w:eastAsia="Times New Roman" w:hAnsi="Times New Roman" w:cs="Times New Roman"/>
                <w:bCs/>
                <w:i/>
                <w:color w:val="FF0000"/>
                <w:sz w:val="24"/>
                <w:szCs w:val="24"/>
              </w:rPr>
              <w:t xml:space="preserve"> </w:t>
            </w:r>
          </w:p>
          <w:p w14:paraId="062CEC82" w14:textId="14A29B88" w:rsidR="0021239A" w:rsidRDefault="00000000">
            <w:pPr>
              <w:shd w:val="clear" w:color="auto" w:fill="FFFFFF"/>
              <w:jc w:val="both"/>
              <w:rPr>
                <w:rFonts w:ascii="Times New Roman" w:eastAsia="Times New Roman" w:hAnsi="Times New Roman" w:cs="Times New Roman"/>
                <w:b/>
                <w:bCs/>
                <w:sz w:val="24"/>
                <w:szCs w:val="24"/>
                <w:highlight w:val="white"/>
              </w:rPr>
            </w:pPr>
            <w:r w:rsidRPr="00A62E1D">
              <w:rPr>
                <w:rFonts w:ascii="Times New Roman" w:eastAsia="Times New Roman" w:hAnsi="Times New Roman" w:cs="Times New Roman"/>
                <w:sz w:val="24"/>
                <w:szCs w:val="24"/>
                <w:highlight w:val="white"/>
              </w:rPr>
              <w:t>Art. 158 nu face obiectul proiectului</w:t>
            </w:r>
            <w:r w:rsidR="00A62E1D" w:rsidRPr="00A62E1D">
              <w:rPr>
                <w:rFonts w:ascii="Times New Roman" w:eastAsia="Times New Roman" w:hAnsi="Times New Roman" w:cs="Times New Roman"/>
                <w:sz w:val="24"/>
                <w:szCs w:val="24"/>
                <w:highlight w:val="white"/>
              </w:rPr>
              <w:t>.</w:t>
            </w:r>
          </w:p>
        </w:tc>
      </w:tr>
      <w:tr w:rsidR="00315874" w14:paraId="4804DB7D" w14:textId="77777777">
        <w:trPr>
          <w:trHeight w:val="1350"/>
        </w:trPr>
        <w:tc>
          <w:tcPr>
            <w:tcW w:w="735" w:type="dxa"/>
            <w:vMerge w:val="restart"/>
            <w:tcBorders>
              <w:top w:val="single" w:sz="6" w:space="0" w:color="999999"/>
              <w:left w:val="single" w:sz="6" w:space="0" w:color="999999"/>
              <w:bottom w:val="single" w:sz="6" w:space="0" w:color="999999"/>
              <w:right w:val="single" w:sz="6" w:space="0" w:color="999999"/>
            </w:tcBorders>
            <w:tcMar>
              <w:top w:w="0" w:type="dxa"/>
              <w:bottom w:w="0" w:type="dxa"/>
            </w:tcMar>
          </w:tcPr>
          <w:p w14:paraId="54618ABC" w14:textId="77777777" w:rsidR="00315874"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33.</w:t>
            </w:r>
          </w:p>
        </w:tc>
        <w:tc>
          <w:tcPr>
            <w:tcW w:w="2835" w:type="dxa"/>
            <w:vMerge w:val="restart"/>
            <w:tcBorders>
              <w:top w:val="single" w:sz="6" w:space="0" w:color="999999"/>
              <w:left w:val="single" w:sz="6" w:space="0" w:color="999999"/>
              <w:bottom w:val="single" w:sz="6" w:space="0" w:color="999999"/>
              <w:right w:val="single" w:sz="6" w:space="0" w:color="999999"/>
            </w:tcBorders>
            <w:tcMar>
              <w:top w:w="0" w:type="dxa"/>
              <w:bottom w:w="0" w:type="dxa"/>
            </w:tcMar>
          </w:tcPr>
          <w:p w14:paraId="3D142A3C" w14:textId="77777777" w:rsidR="00315874" w:rsidRDefault="00000000">
            <w:pPr>
              <w:ind w:left="14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Confederația Națională a Sindicatelor din Moldova</w:t>
            </w:r>
          </w:p>
          <w:p w14:paraId="49A514C4" w14:textId="77777777" w:rsidR="00315874" w:rsidRDefault="00000000">
            <w:pPr>
              <w:ind w:left="140"/>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Nr. 04-17/477 din 30.06.2026</w:t>
            </w: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5D1A7C4B" w14:textId="77777777" w:rsidR="00315874" w:rsidRDefault="00000000">
            <w:pPr>
              <w:jc w:val="both"/>
              <w:rPr>
                <w:rFonts w:ascii="Times New Roman" w:eastAsia="Times New Roman" w:hAnsi="Times New Roman" w:cs="Times New Roman"/>
                <w:b/>
                <w:bCs/>
                <w:sz w:val="24"/>
                <w:szCs w:val="24"/>
                <w:highlight w:val="white"/>
                <w:u w:val="single"/>
              </w:rPr>
            </w:pPr>
            <w:r>
              <w:rPr>
                <w:rFonts w:ascii="Times New Roman" w:eastAsia="Times New Roman" w:hAnsi="Times New Roman" w:cs="Times New Roman"/>
                <w:b/>
                <w:bCs/>
                <w:sz w:val="24"/>
                <w:szCs w:val="24"/>
                <w:highlight w:val="white"/>
                <w:u w:val="single"/>
              </w:rPr>
              <w:t xml:space="preserve"> Cu referire la Art. V din proiectul de lege – prin care se propune modificarea Codului muncii nr. 154/2003:</w:t>
            </w:r>
          </w:p>
          <w:p w14:paraId="5C1F21F6"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Autorul propune completarea alin. (2) al art. 14 din Codul muncii </w:t>
            </w:r>
            <w:r>
              <w:rPr>
                <w:rFonts w:ascii="Times New Roman" w:eastAsia="Times New Roman" w:hAnsi="Times New Roman" w:cs="Times New Roman"/>
                <w:i/>
                <w:iCs/>
                <w:sz w:val="24"/>
                <w:szCs w:val="24"/>
                <w:highlight w:val="white"/>
              </w:rPr>
              <w:t>(reglementează curgerea termenelor privind apariția sau încetarea raporturilor de muncă</w:t>
            </w:r>
            <w:r>
              <w:rPr>
                <w:rFonts w:ascii="Times New Roman" w:eastAsia="Times New Roman" w:hAnsi="Times New Roman" w:cs="Times New Roman"/>
                <w:sz w:val="24"/>
                <w:szCs w:val="24"/>
                <w:highlight w:val="white"/>
              </w:rPr>
              <w:t>) cu următoarea propoziție:</w:t>
            </w:r>
          </w:p>
          <w:p w14:paraId="3166B69B"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„Termenele calculate în zile lucrătoare includ doar zile lucrătoare și nu pot expira într-o zi nelucrătoare sau într-o zi de sărbătoare nelucrătoare.”.</w:t>
            </w:r>
          </w:p>
          <w:p w14:paraId="4C7822C9"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Analizând norma propusă, înțelegem că aceasta este redundantă și lipsită de utilitate practică. Sau, este evident că un termen calculat în zile lucrătoare poate include exclusiv zile lucrătoare și, prin urmare, nu poate expira într-o zi nelucrătoare sau într-o zi de sărbătoare nelucrătoare.</w:t>
            </w:r>
          </w:p>
          <w:p w14:paraId="37DB67FD" w14:textId="77777777" w:rsidR="00315874" w:rsidRDefault="00000000">
            <w:pPr>
              <w:jc w:val="both"/>
              <w:rPr>
                <w:rFonts w:ascii="Times New Roman" w:eastAsia="Times New Roman" w:hAnsi="Times New Roman" w:cs="Times New Roman"/>
                <w:i/>
                <w:iCs/>
                <w:sz w:val="24"/>
                <w:szCs w:val="24"/>
                <w:highlight w:val="white"/>
              </w:rPr>
            </w:pPr>
            <w:r>
              <w:rPr>
                <w:rFonts w:ascii="Times New Roman" w:eastAsia="Times New Roman" w:hAnsi="Times New Roman" w:cs="Times New Roman"/>
                <w:sz w:val="24"/>
                <w:szCs w:val="24"/>
                <w:highlight w:val="white"/>
              </w:rPr>
              <w:t xml:space="preserve">  Mai mult, finalitatea urmărită de autor este asigurată deja, prin prevederile alin. (4) din același articol, potrivit cărora, „</w:t>
            </w:r>
            <w:r>
              <w:rPr>
                <w:rFonts w:ascii="Times New Roman" w:eastAsia="Times New Roman" w:hAnsi="Times New Roman" w:cs="Times New Roman"/>
                <w:i/>
                <w:iCs/>
                <w:sz w:val="24"/>
                <w:szCs w:val="24"/>
                <w:highlight w:val="white"/>
              </w:rPr>
              <w:t>dacă ultima zi a termenului este o zi</w:t>
            </w:r>
          </w:p>
          <w:p w14:paraId="77312F1F"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i/>
                <w:iCs/>
                <w:sz w:val="24"/>
                <w:szCs w:val="24"/>
                <w:highlight w:val="white"/>
              </w:rPr>
              <w:lastRenderedPageBreak/>
              <w:t>nelucrătoare, atunci ziua expirării termenului se consideră prima zi lucrătoare imediat următoare</w:t>
            </w:r>
            <w:r>
              <w:rPr>
                <w:rFonts w:ascii="Times New Roman" w:eastAsia="Times New Roman" w:hAnsi="Times New Roman" w:cs="Times New Roman"/>
                <w:sz w:val="24"/>
                <w:szCs w:val="24"/>
                <w:highlight w:val="white"/>
              </w:rPr>
              <w:t>”.</w:t>
            </w:r>
          </w:p>
          <w:p w14:paraId="34E9ACC7"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În acest context, completarea propusă nu aduce clarificări suplimentare și nu generează efecte juridice noi, fiind de natură să afecteze coerența reglementărilor existente.</w:t>
            </w:r>
          </w:p>
          <w:p w14:paraId="03961328"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Prin urmare, modificarea propusă la alin. (2) al art. 14 din Codul muncii nu poate fi susținută și propunem excluderea acesteia.</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2F69963C" w14:textId="16E90629"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Se acceptă</w:t>
            </w:r>
            <w:r w:rsidR="00A62E1D">
              <w:rPr>
                <w:rFonts w:ascii="Times New Roman" w:eastAsia="Times New Roman" w:hAnsi="Times New Roman" w:cs="Times New Roman"/>
                <w:b/>
                <w:bCs/>
                <w:sz w:val="24"/>
                <w:szCs w:val="24"/>
                <w:highlight w:val="white"/>
              </w:rPr>
              <w:t>.</w:t>
            </w:r>
          </w:p>
          <w:p w14:paraId="00B55830" w14:textId="5F318D43" w:rsidR="0021239A" w:rsidRDefault="00000000">
            <w:pPr>
              <w:shd w:val="clear" w:color="auto" w:fill="FFFFFF"/>
              <w:jc w:val="both"/>
              <w:rPr>
                <w:rFonts w:ascii="Times New Roman" w:eastAsia="Times New Roman" w:hAnsi="Times New Roman" w:cs="Times New Roman"/>
                <w:b/>
                <w:bCs/>
                <w:sz w:val="24"/>
                <w:szCs w:val="24"/>
                <w:highlight w:val="white"/>
              </w:rPr>
            </w:pPr>
            <w:r w:rsidRPr="00A62E1D">
              <w:rPr>
                <w:rFonts w:ascii="Times New Roman" w:eastAsia="Times New Roman" w:hAnsi="Times New Roman" w:cs="Times New Roman"/>
                <w:sz w:val="24"/>
                <w:szCs w:val="24"/>
                <w:highlight w:val="white"/>
              </w:rPr>
              <w:t>Completarea art. 14 a fost exclusă din proiect</w:t>
            </w:r>
            <w:r w:rsidR="00A62E1D" w:rsidRPr="00A62E1D">
              <w:rPr>
                <w:rFonts w:ascii="Times New Roman" w:eastAsia="Times New Roman" w:hAnsi="Times New Roman" w:cs="Times New Roman"/>
                <w:sz w:val="24"/>
                <w:szCs w:val="24"/>
                <w:highlight w:val="white"/>
              </w:rPr>
              <w:t>.</w:t>
            </w:r>
          </w:p>
        </w:tc>
      </w:tr>
      <w:tr w:rsidR="00315874" w14:paraId="42B7A90C" w14:textId="77777777">
        <w:trPr>
          <w:trHeight w:val="1350"/>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7D653122"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2E1AF225" w14:textId="77777777" w:rsidR="00315874" w:rsidRDefault="00315874">
            <w:pPr>
              <w:spacing w:line="240" w:lineRule="auto"/>
              <w:jc w:val="center"/>
              <w:rPr>
                <w:rFonts w:ascii="Times New Roman" w:eastAsia="Times New Roman" w:hAnsi="Times New Roman" w:cs="Times New Roman"/>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5AC8349B"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Privitor la propunerile privind completarea alin. (1) al art. 32 (</w:t>
            </w:r>
            <w:r>
              <w:rPr>
                <w:rFonts w:ascii="Times New Roman" w:eastAsia="Times New Roman" w:hAnsi="Times New Roman" w:cs="Times New Roman"/>
                <w:i/>
                <w:iCs/>
                <w:sz w:val="24"/>
                <w:szCs w:val="24"/>
                <w:highlight w:val="white"/>
              </w:rPr>
              <w:t>reglementează elaborarea și încheierea contractului colectiv de muncă</w:t>
            </w:r>
            <w:r>
              <w:rPr>
                <w:rFonts w:ascii="Times New Roman" w:eastAsia="Times New Roman" w:hAnsi="Times New Roman" w:cs="Times New Roman"/>
                <w:sz w:val="24"/>
                <w:szCs w:val="24"/>
                <w:highlight w:val="white"/>
              </w:rPr>
              <w:t>) și a alin. (2) al art. 37 din Codului muncii (reglementează elaborarea şi încheierea convenției colective).</w:t>
            </w:r>
          </w:p>
          <w:p w14:paraId="4D96FCDE"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Analizând completările propuse, constatăm următoarele aspecte. În cazul contractelor colective de muncă și al convențiilor colective din sectorul bugetar, autorul proiectului de lege, propune stabilirea obligativității părților de a solicita, până la inițierea negocierilor colective, opinia consultativă a 2 Ministerului Finanțelor, cu privire la cadrul bugetar disponibil în acest scop, precum și al impactului financiar și încadrării în limitele bugetare aprobate sau estimate. </w:t>
            </w:r>
          </w:p>
          <w:p w14:paraId="346FB354"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Altfel spus, prin completările propuse, se urmărește de fapt, </w:t>
            </w:r>
            <w:r>
              <w:rPr>
                <w:rFonts w:ascii="Times New Roman" w:eastAsia="Times New Roman" w:hAnsi="Times New Roman" w:cs="Times New Roman"/>
                <w:b/>
                <w:bCs/>
                <w:sz w:val="24"/>
                <w:szCs w:val="24"/>
                <w:highlight w:val="white"/>
              </w:rPr>
              <w:t>implicarea unui actor terț,</w:t>
            </w:r>
            <w:r>
              <w:rPr>
                <w:rFonts w:ascii="Times New Roman" w:eastAsia="Times New Roman" w:hAnsi="Times New Roman" w:cs="Times New Roman"/>
                <w:sz w:val="24"/>
                <w:szCs w:val="24"/>
                <w:highlight w:val="white"/>
              </w:rPr>
              <w:t xml:space="preserve"> în procesul de negocieri </w:t>
            </w:r>
            <w:r>
              <w:rPr>
                <w:rFonts w:ascii="Times New Roman" w:eastAsia="Times New Roman" w:hAnsi="Times New Roman" w:cs="Times New Roman"/>
                <w:sz w:val="24"/>
                <w:szCs w:val="24"/>
                <w:highlight w:val="white"/>
              </w:rPr>
              <w:lastRenderedPageBreak/>
              <w:t xml:space="preserve">colective, atât la nivel de unitate din sectorul bugetar, cât și la nivel național, ramural și teritorial și, condiționează inițierea negocierilor colective de solicitarea unei opinii consultative din partea Ministerului Finanțelor privind disponibilitatea resurselor financiare. Asemenea abordare este incompatibilă cu mecanismul dialogului social consacrat de Codul muncii, care este fundamentat pe standardele internaționale în materie de dialog social și negociere colectivă asumate de Republica Moldova, și care presupune negocierea directă între partenerii sociali. </w:t>
            </w:r>
          </w:p>
          <w:p w14:paraId="3C3F7FD2"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Suplimentar, este de remarcat că aceste completări sunt în totală contradicție cu principiile și reglementările care guvernează parteneriatul social la nivel de unitate, la nivel național, ramural și teritorial. Sau, potrivit art. 16, alin. (1) și (2) din Codul muncii, părțile parteneriatului social la nivel de unitate sunt salariații și angajatorii, în persoana reprezentanților împuterniciți în modul stabilit, iar la nivel național, ramural şi teritorial sunt sindicatele, patronatele şi autoritățile publice respective, în persoana reprezentanților împuterniciți în modul stabilit. </w:t>
            </w:r>
          </w:p>
          <w:p w14:paraId="6B17811D"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Așadar, atribuirea unui asemenea rol Ministerului Finanțelor (de actor terț) nu rezultă din competențele funcționale ale acestei autorități. Mai mult, implicarea Ministerului Finanțelor în procesul negocierilor colective, </w:t>
            </w:r>
            <w:r>
              <w:rPr>
                <w:rFonts w:ascii="Times New Roman" w:eastAsia="Times New Roman" w:hAnsi="Times New Roman" w:cs="Times New Roman"/>
                <w:sz w:val="24"/>
                <w:szCs w:val="24"/>
                <w:highlight w:val="white"/>
              </w:rPr>
              <w:lastRenderedPageBreak/>
              <w:t xml:space="preserve">din start, presupune o intimidare și ingerință nejustificată în procesul de negocieri colective. </w:t>
            </w:r>
          </w:p>
          <w:p w14:paraId="7FC12FF7"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Atragem atenția, că riscul de a ajunge ca părțile să negocieze clauze neacoperite de cadrul bugetar, este deja prevăzut (atenționat) de cadrul normativ existent, inclusiv prin: </w:t>
            </w:r>
          </w:p>
          <w:p w14:paraId="315A0F71"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 prevederile art. 17 din Codul muncii, potrivit cărora, printre principiile de bază ale parteneriatului social se regăsesc legalitatea, respectarea de către părți a normelor legislației în vigoare și evaluarea posibilităților reale de îndeplinire a angajamentelor asumate de părți; </w:t>
            </w:r>
          </w:p>
          <w:p w14:paraId="670F2D80"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 prevederile art. 31, alin. (3) din Codul muncii, potrivit cărora, în contractul colectiv de muncă pot fi prevăzute, în funcție de situația economicofinanciară a angajatorului, înlesniri şi avantaje pentru salariați, precum şi condiții de muncă mai favorabile în raport cu cele prevăzute de legislația în vigoare şi de convențiile colective; </w:t>
            </w:r>
          </w:p>
          <w:p w14:paraId="4C518455"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 prevederile art. 37, alin. (2) din Codul muncii, potrivit cărora, negocierea, încheierea şi modificarea clauzelor convenției colective la nivelul respectiv, clauze care prevăd alocarea unor mijloace bugetare, se efectuează, de regulă, de către părți înainte de elaborarea proiectului bugetului respectiv pentru anul financiar corespunzător termenului de acțiune a convenției. </w:t>
            </w:r>
          </w:p>
          <w:p w14:paraId="6E4E7BE1"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 xml:space="preserve">  În consecință, modificările propuse la alin. (1) al art. 32 și la alin. (2) al art. 37 din Codului muncii afectează autonomia partenerilor sociali și subminează dreptul la negociere colectivă, garantate de legislația națională și de standardele 3 internaționale aplicabile, motiv pentru care acestea nu pot fi susținute și se propune excluderea acestora. </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53F3601F"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Propunerile urmăresc asigurarea unei abordări responsabile și echitabile în utilizarea resurselor financiare publice, prin corelarea beneficiilor acordate salariaților cu posibilitățile bugetare și principiile sustenabilității financiare. Prin urmare, obținerea unei opinii consultative a Ministerului Finanțelor până la încheierea contractelor colective sau convențiilor colective în domeniul bugetar reprezintă o măsură care ar ajuta angajatorii din sectorul bugetar să-și evalueze corect resursele financiare în cazul negocierilor.  Totodată, acestea contribuie la crearea unui cadru unitar și predictibil de acordare a drepturilor de personal, evitând apariția unor obligații financiare suplimentare care nu sunt fundamentate de resursele aprobate. Astfel, se asigură un echilibru între protecția drepturilor salariaților și necesitatea utilizării eficiente și prudente a banului public.</w:t>
            </w:r>
          </w:p>
          <w:p w14:paraId="3ABB68FE" w14:textId="77777777" w:rsidR="00315874" w:rsidRDefault="00315874">
            <w:pPr>
              <w:shd w:val="clear" w:color="auto" w:fill="FFFFFF"/>
              <w:jc w:val="both"/>
              <w:rPr>
                <w:rFonts w:ascii="Times New Roman" w:eastAsia="Times New Roman" w:hAnsi="Times New Roman" w:cs="Times New Roman"/>
                <w:b/>
                <w:bCs/>
                <w:sz w:val="24"/>
                <w:szCs w:val="24"/>
                <w:highlight w:val="white"/>
              </w:rPr>
            </w:pPr>
          </w:p>
        </w:tc>
      </w:tr>
      <w:tr w:rsidR="00315874" w14:paraId="4D06A320" w14:textId="77777777">
        <w:trPr>
          <w:trHeight w:val="1350"/>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1ADD03DC"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2BE9C1E0" w14:textId="77777777" w:rsidR="00315874" w:rsidRDefault="00315874">
            <w:pPr>
              <w:spacing w:line="240" w:lineRule="auto"/>
              <w:jc w:val="center"/>
              <w:rPr>
                <w:rFonts w:ascii="Times New Roman" w:eastAsia="Times New Roman" w:hAnsi="Times New Roman" w:cs="Times New Roman"/>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41BF75A2"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Privitor la modificările propuse la art. 113 din Codul muncii </w:t>
            </w:r>
            <w:r>
              <w:rPr>
                <w:rFonts w:ascii="Times New Roman" w:eastAsia="Times New Roman" w:hAnsi="Times New Roman" w:cs="Times New Roman"/>
                <w:i/>
                <w:iCs/>
                <w:sz w:val="24"/>
                <w:szCs w:val="24"/>
                <w:highlight w:val="white"/>
              </w:rPr>
              <w:t>(reglementează durata concediului de odihnă anual</w:t>
            </w:r>
            <w:r>
              <w:rPr>
                <w:rFonts w:ascii="Times New Roman" w:eastAsia="Times New Roman" w:hAnsi="Times New Roman" w:cs="Times New Roman"/>
                <w:sz w:val="24"/>
                <w:szCs w:val="24"/>
                <w:highlight w:val="white"/>
              </w:rPr>
              <w:t xml:space="preserve">). </w:t>
            </w:r>
          </w:p>
          <w:p w14:paraId="691097B9"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Autorul propune modificarea alin. (1) al art. 113 al Codului muncii în scopul exprimării concediului de odihnă anual în zile lucrătoare. Astfel, propune înlocuirea numărului de 28 de zile calendaristice stabilite pentru concediul de odihnă anual, cu 22 de zile lucrătoare, cu excepția zilelor de sărbătoare nelucrătoare, luându-se drept bază durata normală a timpului de muncă. </w:t>
            </w:r>
          </w:p>
          <w:p w14:paraId="3C99862C"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În primul rând, este de accentuat neclaritatea mecanismului de calcul utilizat de autorul proiectului de lege, în special modalitatea prin care durata minimă actuală a concediului de odihnă anual, de 28 de zile calendaristice, a fost echivalată cu 22 de zile lucrătoare. Nota de fundamentare la proiectul de lege nu conține argumente pertinente și convingătoare în acest sens, care </w:t>
            </w:r>
            <w:r>
              <w:rPr>
                <w:rFonts w:ascii="Times New Roman" w:eastAsia="Times New Roman" w:hAnsi="Times New Roman" w:cs="Times New Roman"/>
                <w:sz w:val="24"/>
                <w:szCs w:val="24"/>
                <w:highlight w:val="white"/>
              </w:rPr>
              <w:lastRenderedPageBreak/>
              <w:t xml:space="preserve">să demonstreze corectitudinea și echivalența acestei conversii. </w:t>
            </w:r>
          </w:p>
          <w:p w14:paraId="68BD2A63"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În al doilea rând, vom remarca faptul că deși, autorul proiectului invocă tratamentul diferențiat și practici neechitabile generate de reglementările în vigoare, care determină necesitatea intervenției în prevederile care reglementează durata concediului de odihnă anual, în nota de fundamentare, nu prezintă nici o analiză bazată pe sesizări, plângeri, adresări concrete ale salariaților discriminați sau dezavantajați. Sau, aceasta demonstrează că motivul real al intervenției respective, nu se bazează pe dorința/necesitatea de a asigura uniformitatea și respectarea principiului egalității și nediscriminării, ci are drept scop satisfacerea cerințelor unor angajatori, inclusiv a autorităților publice centrale de a diminua numărul de zile de concediu de odihnă anual atât pentru salariații din sectorul real, cât și pentru angajații/funcționarii din sectorul bugetar. </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3C100117"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lastRenderedPageBreak/>
              <w:t>Se acceptă parțial,</w:t>
            </w:r>
            <w:r>
              <w:rPr>
                <w:rFonts w:ascii="Times New Roman" w:eastAsia="Times New Roman" w:hAnsi="Times New Roman" w:cs="Times New Roman"/>
                <w:sz w:val="24"/>
                <w:szCs w:val="24"/>
                <w:highlight w:val="white"/>
              </w:rPr>
              <w:t xml:space="preserve"> completarea Notei de fundamentare cu explicarea metodologiei de conversie. A se vedea răspunsul consolidat de la pct. 13 (avizul Ministerului Afacerilor Interne) din prezenta Sinteză.</w:t>
            </w:r>
          </w:p>
        </w:tc>
      </w:tr>
      <w:tr w:rsidR="00315874" w14:paraId="32EEEF95" w14:textId="77777777">
        <w:trPr>
          <w:trHeight w:val="1350"/>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12ACDF50"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0CFFCDFE" w14:textId="77777777" w:rsidR="00315874" w:rsidRDefault="00315874">
            <w:pPr>
              <w:spacing w:line="240" w:lineRule="auto"/>
              <w:jc w:val="center"/>
              <w:rPr>
                <w:rFonts w:ascii="Times New Roman" w:eastAsia="Times New Roman" w:hAnsi="Times New Roman" w:cs="Times New Roman"/>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4C8E3927" w14:textId="77777777" w:rsidR="00315874" w:rsidRDefault="00000000">
            <w:pPr>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sz w:val="24"/>
                <w:szCs w:val="24"/>
                <w:highlight w:val="white"/>
              </w:rPr>
              <w:t xml:space="preserve">   Or, în pofida faptului că autorul proiectului de lege, își argumentează propunerea de a interveni în reglementările legale legate de concediu, pentru asigurarea principiului echității, nediscriminării, uniformizării regimului concediului de odihnă, din conținutul proiectului de lege </w:t>
            </w:r>
            <w:r>
              <w:rPr>
                <w:rFonts w:ascii="Times New Roman" w:eastAsia="Times New Roman" w:hAnsi="Times New Roman" w:cs="Times New Roman"/>
                <w:b/>
                <w:bCs/>
                <w:sz w:val="24"/>
                <w:szCs w:val="24"/>
                <w:highlight w:val="white"/>
              </w:rPr>
              <w:t xml:space="preserve">constatăm opusul acestuia. </w:t>
            </w:r>
          </w:p>
          <w:p w14:paraId="073369A2"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 xml:space="preserve">  Spre exemplu, analizând cu atenție conversia propusă în proiectul de lege, constatăm că în cazul unor categorii de salariați/funcționari din sectorul bugetar, concediul de</w:t>
            </w:r>
            <w:r>
              <w:rPr>
                <w:rFonts w:ascii="Times New Roman" w:eastAsia="Times New Roman" w:hAnsi="Times New Roman" w:cs="Times New Roman"/>
                <w:b/>
                <w:bCs/>
                <w:sz w:val="24"/>
                <w:szCs w:val="24"/>
                <w:highlight w:val="white"/>
              </w:rPr>
              <w:t xml:space="preserve"> 42 </w:t>
            </w:r>
            <w:r>
              <w:rPr>
                <w:rFonts w:ascii="Times New Roman" w:eastAsia="Times New Roman" w:hAnsi="Times New Roman" w:cs="Times New Roman"/>
                <w:sz w:val="24"/>
                <w:szCs w:val="24"/>
                <w:highlight w:val="white"/>
              </w:rPr>
              <w:t xml:space="preserve">de zile calendaristice se transformă în </w:t>
            </w:r>
            <w:r>
              <w:rPr>
                <w:rFonts w:ascii="Times New Roman" w:eastAsia="Times New Roman" w:hAnsi="Times New Roman" w:cs="Times New Roman"/>
                <w:b/>
                <w:bCs/>
                <w:sz w:val="24"/>
                <w:szCs w:val="24"/>
                <w:highlight w:val="white"/>
              </w:rPr>
              <w:t>28</w:t>
            </w:r>
            <w:r>
              <w:rPr>
                <w:rFonts w:ascii="Times New Roman" w:eastAsia="Times New Roman" w:hAnsi="Times New Roman" w:cs="Times New Roman"/>
                <w:sz w:val="24"/>
                <w:szCs w:val="24"/>
                <w:highlight w:val="white"/>
              </w:rPr>
              <w:t xml:space="preserve"> de zile lucrătoare, în timp ce, pentru altă categorie de salariați/funcționari, tot din sectorul bugetar, concediul de </w:t>
            </w:r>
            <w:r>
              <w:rPr>
                <w:rFonts w:ascii="Times New Roman" w:eastAsia="Times New Roman" w:hAnsi="Times New Roman" w:cs="Times New Roman"/>
                <w:b/>
                <w:bCs/>
                <w:sz w:val="24"/>
                <w:szCs w:val="24"/>
                <w:highlight w:val="white"/>
              </w:rPr>
              <w:t>42</w:t>
            </w:r>
            <w:r>
              <w:rPr>
                <w:rFonts w:ascii="Times New Roman" w:eastAsia="Times New Roman" w:hAnsi="Times New Roman" w:cs="Times New Roman"/>
                <w:sz w:val="24"/>
                <w:szCs w:val="24"/>
                <w:highlight w:val="white"/>
              </w:rPr>
              <w:t xml:space="preserve"> de zile calendaristice se propune a fi înlocuit cu </w:t>
            </w:r>
            <w:r>
              <w:rPr>
                <w:rFonts w:ascii="Times New Roman" w:eastAsia="Times New Roman" w:hAnsi="Times New Roman" w:cs="Times New Roman"/>
                <w:b/>
                <w:bCs/>
                <w:sz w:val="24"/>
                <w:szCs w:val="24"/>
                <w:highlight w:val="white"/>
              </w:rPr>
              <w:t>34</w:t>
            </w:r>
            <w:r>
              <w:rPr>
                <w:rFonts w:ascii="Times New Roman" w:eastAsia="Times New Roman" w:hAnsi="Times New Roman" w:cs="Times New Roman"/>
                <w:sz w:val="24"/>
                <w:szCs w:val="24"/>
                <w:highlight w:val="white"/>
              </w:rPr>
              <w:t xml:space="preserve"> de zile lucrătoare. La o altă categorie de salariați, concediul de </w:t>
            </w:r>
            <w:r>
              <w:rPr>
                <w:rFonts w:ascii="Times New Roman" w:eastAsia="Times New Roman" w:hAnsi="Times New Roman" w:cs="Times New Roman"/>
                <w:b/>
                <w:bCs/>
                <w:sz w:val="24"/>
                <w:szCs w:val="24"/>
                <w:highlight w:val="white"/>
              </w:rPr>
              <w:t>42</w:t>
            </w:r>
            <w:r>
              <w:rPr>
                <w:rFonts w:ascii="Times New Roman" w:eastAsia="Times New Roman" w:hAnsi="Times New Roman" w:cs="Times New Roman"/>
                <w:sz w:val="24"/>
                <w:szCs w:val="24"/>
                <w:highlight w:val="white"/>
              </w:rPr>
              <w:t xml:space="preserve"> de zile calendaristice se transformă în </w:t>
            </w:r>
            <w:r>
              <w:rPr>
                <w:rFonts w:ascii="Times New Roman" w:eastAsia="Times New Roman" w:hAnsi="Times New Roman" w:cs="Times New Roman"/>
                <w:b/>
                <w:bCs/>
                <w:sz w:val="24"/>
                <w:szCs w:val="24"/>
                <w:highlight w:val="white"/>
              </w:rPr>
              <w:t>33</w:t>
            </w:r>
            <w:r>
              <w:rPr>
                <w:rFonts w:ascii="Times New Roman" w:eastAsia="Times New Roman" w:hAnsi="Times New Roman" w:cs="Times New Roman"/>
                <w:sz w:val="24"/>
                <w:szCs w:val="24"/>
                <w:highlight w:val="white"/>
              </w:rPr>
              <w:t xml:space="preserve"> de zile lucrătoare, iar în cazul unei categorii de angajați, de asemenea, din sectorul bugetar, concediul de </w:t>
            </w:r>
            <w:r>
              <w:rPr>
                <w:rFonts w:ascii="Times New Roman" w:eastAsia="Times New Roman" w:hAnsi="Times New Roman" w:cs="Times New Roman"/>
                <w:b/>
                <w:bCs/>
                <w:sz w:val="24"/>
                <w:szCs w:val="24"/>
                <w:highlight w:val="white"/>
              </w:rPr>
              <w:t>46</w:t>
            </w:r>
            <w:r>
              <w:rPr>
                <w:rFonts w:ascii="Times New Roman" w:eastAsia="Times New Roman" w:hAnsi="Times New Roman" w:cs="Times New Roman"/>
                <w:sz w:val="24"/>
                <w:szCs w:val="24"/>
                <w:highlight w:val="white"/>
              </w:rPr>
              <w:t xml:space="preserve"> de zile calendaristice se transformă în </w:t>
            </w:r>
            <w:r>
              <w:rPr>
                <w:rFonts w:ascii="Times New Roman" w:eastAsia="Times New Roman" w:hAnsi="Times New Roman" w:cs="Times New Roman"/>
                <w:b/>
                <w:bCs/>
                <w:sz w:val="24"/>
                <w:szCs w:val="24"/>
                <w:highlight w:val="white"/>
              </w:rPr>
              <w:t xml:space="preserve">32 </w:t>
            </w:r>
            <w:r>
              <w:rPr>
                <w:rFonts w:ascii="Times New Roman" w:eastAsia="Times New Roman" w:hAnsi="Times New Roman" w:cs="Times New Roman"/>
                <w:sz w:val="24"/>
                <w:szCs w:val="24"/>
                <w:highlight w:val="white"/>
              </w:rPr>
              <w:t>de zile lucrătoare (</w:t>
            </w:r>
            <w:r>
              <w:rPr>
                <w:rFonts w:ascii="Times New Roman" w:eastAsia="Times New Roman" w:hAnsi="Times New Roman" w:cs="Times New Roman"/>
                <w:i/>
                <w:iCs/>
                <w:highlight w:val="white"/>
              </w:rPr>
              <w:t>a se vedea: Art. II, Art. V, pct. 11, Art. IX, Art. XIX și altele din proiectul de lege</w:t>
            </w:r>
            <w:r>
              <w:rPr>
                <w:rFonts w:ascii="Times New Roman" w:eastAsia="Times New Roman" w:hAnsi="Times New Roman" w:cs="Times New Roman"/>
                <w:sz w:val="24"/>
                <w:szCs w:val="24"/>
                <w:highlight w:val="white"/>
              </w:rPr>
              <w:t xml:space="preserve">). </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5A6824DF"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lastRenderedPageBreak/>
              <w:t>Nu se acceptă</w:t>
            </w:r>
            <w:r>
              <w:rPr>
                <w:rFonts w:ascii="Times New Roman" w:eastAsia="Times New Roman" w:hAnsi="Times New Roman" w:cs="Times New Roman"/>
                <w:sz w:val="24"/>
                <w:szCs w:val="24"/>
                <w:highlight w:val="white"/>
              </w:rPr>
              <w:t xml:space="preserve"> modificarea metodologiei de conversie pe baza exemplelor semnalate.</w:t>
            </w:r>
          </w:p>
          <w:p w14:paraId="685B619D"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Diferențele semnalate (42 de zile calendaristice convertite, după caz, în 28, 33 sau 34 de zile lucrătoare, în funcție de categorie) rezultă din aplicarea unor soluții normative distincte pentru fiecare categorie de personal, iar nu dintr-o eroare de conversie: la art. II sunt vizate durate stabilite direct de legiuitor </w:t>
            </w:r>
            <w:r>
              <w:rPr>
                <w:rFonts w:ascii="Times New Roman" w:eastAsia="Times New Roman" w:hAnsi="Times New Roman" w:cs="Times New Roman"/>
                <w:sz w:val="24"/>
                <w:szCs w:val="24"/>
                <w:highlight w:val="white"/>
              </w:rPr>
              <w:lastRenderedPageBreak/>
              <w:t>pentru judecători (a se vedea pct. 8 și pct. 26 din prezenta Sinteză, referitor la judecători și procurori), iar nu rezultatul aplicării mecanice a unei formule aritmetice unice tuturor categoriilor. Poziția Ministerului privind criteriile de diferențiere este cea expusă la pct. 2 (avizul Secretariatului Parlamentului) din prezenta Sinteză.</w:t>
            </w:r>
          </w:p>
          <w:p w14:paraId="14BCC5BD"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28FAA73F" w14:textId="77777777" w:rsidR="00315874" w:rsidRDefault="00315874">
            <w:pPr>
              <w:shd w:val="clear" w:color="auto" w:fill="FFFFFF"/>
              <w:jc w:val="both"/>
              <w:rPr>
                <w:rFonts w:ascii="Times New Roman" w:eastAsia="Times New Roman" w:hAnsi="Times New Roman" w:cs="Times New Roman"/>
                <w:sz w:val="24"/>
                <w:szCs w:val="24"/>
                <w:highlight w:val="white"/>
              </w:rPr>
            </w:pPr>
          </w:p>
        </w:tc>
      </w:tr>
      <w:tr w:rsidR="00315874" w14:paraId="61E31F9F" w14:textId="77777777">
        <w:trPr>
          <w:trHeight w:val="1350"/>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1369FCDA"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6415E2E0" w14:textId="77777777" w:rsidR="00315874" w:rsidRDefault="00315874">
            <w:pPr>
              <w:spacing w:line="240" w:lineRule="auto"/>
              <w:jc w:val="center"/>
              <w:rPr>
                <w:rFonts w:ascii="Times New Roman" w:eastAsia="Times New Roman" w:hAnsi="Times New Roman" w:cs="Times New Roman"/>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36ADA79B"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În altă ordine de idei, se impune a fi subliniat faptul că, stabilirea unei durate a concediului de odihnă anual mai mică de 24 de zile lucrătoare ar constitui o încălcare a angajamentelor asumate de către Republica Moldova prin ratificarea Convenției Organizației Internaționale a Muncii (OIM) nr. 132 cu privire la concediile plătite (ratificată prin Hotărârea Parlamentului nr. 1330/1997). Sau, însăși autorul proiectului de lege, recunoaște, în nota de fundamentare, că Republica Moldova prin ratificarea Convenției OIM nr. 132, a declarat către OIM o perioadă de concediu de 24 de zile lucrătoare. În acest sens, </w:t>
            </w:r>
            <w:r>
              <w:rPr>
                <w:rFonts w:ascii="Times New Roman" w:eastAsia="Times New Roman" w:hAnsi="Times New Roman" w:cs="Times New Roman"/>
                <w:sz w:val="24"/>
                <w:szCs w:val="24"/>
                <w:highlight w:val="white"/>
              </w:rPr>
              <w:lastRenderedPageBreak/>
              <w:t xml:space="preserve">accentuăm că potrivit prevederilor acestei Convenții, statul poate informa OIM, doar în sensul majorării numărului zilelor de concediu și nicidecum invers. Sau, propunerea de a înlocui numărul de 28 de zile calendaristice stabilite pentru concediul de odihnă anual, cu 22 de zile lucrătoare este în totală neconcordanță cu acest angajament. </w:t>
            </w:r>
          </w:p>
          <w:p w14:paraId="3F03C54B"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Or, în conformitate cu art. 3 paragraful 4) din Convenția menționată, fiecare stat-membru, care a ratificat respectiva Convenție, va notifica suplimentar, printr-o declarație ulterioară adresată Directorului general al Biroului International al Muncii, </w:t>
            </w:r>
            <w:r>
              <w:rPr>
                <w:rFonts w:ascii="Times New Roman" w:eastAsia="Times New Roman" w:hAnsi="Times New Roman" w:cs="Times New Roman"/>
                <w:b/>
                <w:bCs/>
                <w:sz w:val="24"/>
                <w:szCs w:val="24"/>
                <w:highlight w:val="white"/>
                <w:u w:val="single"/>
              </w:rPr>
              <w:t>despre stabilirea unui concediu mai îndelungat decât cel specificat la momentul ratificării.</w:t>
            </w:r>
            <w:r>
              <w:rPr>
                <w:rFonts w:ascii="Times New Roman" w:eastAsia="Times New Roman" w:hAnsi="Times New Roman" w:cs="Times New Roman"/>
                <w:sz w:val="24"/>
                <w:szCs w:val="24"/>
                <w:highlight w:val="white"/>
              </w:rPr>
              <w:t xml:space="preserve"> Cu alte cuvinte, Convenția permite doar majorarea duratei concediului de odihnă, specificate la momentul ratificării, nu și diminuarea acesteia. </w:t>
            </w:r>
          </w:p>
          <w:p w14:paraId="0EB49BE0" w14:textId="77777777" w:rsidR="00315874" w:rsidRDefault="00000000">
            <w:pPr>
              <w:jc w:val="both"/>
              <w:rPr>
                <w:rFonts w:ascii="Times New Roman" w:eastAsia="Times New Roman" w:hAnsi="Times New Roman" w:cs="Times New Roman"/>
                <w:sz w:val="24"/>
                <w:szCs w:val="24"/>
                <w:highlight w:val="white"/>
                <w:u w:val="single"/>
              </w:rPr>
            </w:pPr>
            <w:r>
              <w:rPr>
                <w:rFonts w:ascii="Times New Roman" w:eastAsia="Times New Roman" w:hAnsi="Times New Roman" w:cs="Times New Roman"/>
                <w:sz w:val="24"/>
                <w:szCs w:val="24"/>
                <w:highlight w:val="white"/>
              </w:rPr>
              <w:t xml:space="preserve">  Prin urmare, </w:t>
            </w:r>
            <w:r>
              <w:rPr>
                <w:rFonts w:ascii="Times New Roman" w:eastAsia="Times New Roman" w:hAnsi="Times New Roman" w:cs="Times New Roman"/>
                <w:sz w:val="24"/>
                <w:szCs w:val="24"/>
                <w:highlight w:val="white"/>
                <w:u w:val="single"/>
              </w:rPr>
              <w:t xml:space="preserve">stabilirea unei durate a concediului de odihnă anual mai mică de 24 de zile lucrătoare </w:t>
            </w:r>
            <w:r>
              <w:rPr>
                <w:rFonts w:ascii="Times New Roman" w:eastAsia="Times New Roman" w:hAnsi="Times New Roman" w:cs="Times New Roman"/>
                <w:b/>
                <w:bCs/>
                <w:sz w:val="24"/>
                <w:szCs w:val="24"/>
                <w:highlight w:val="white"/>
                <w:u w:val="single"/>
              </w:rPr>
              <w:t>este contrară</w:t>
            </w:r>
            <w:r>
              <w:rPr>
                <w:rFonts w:ascii="Times New Roman" w:eastAsia="Times New Roman" w:hAnsi="Times New Roman" w:cs="Times New Roman"/>
                <w:sz w:val="24"/>
                <w:szCs w:val="24"/>
                <w:highlight w:val="white"/>
                <w:u w:val="single"/>
              </w:rPr>
              <w:t xml:space="preserve"> prevederilor Convenției OIM nr. 132 cu privire la concediile plătite și va afecta imaginea Republicii Moldova pe plan internațional. </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41CC9ABF"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Nu se acceptă.</w:t>
            </w:r>
          </w:p>
          <w:p w14:paraId="615957F8"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Proiectul stabilește durata minimă a concediului de odihnă anual la 22 de zile lucrătoare, calculată la săptămâna de muncă de 5 zile echivalentul a 4 săptămâni și 2 zile lucrătoare de concediu efectiv standard care, raportat la aceeași unitate de referință (săptămâna de muncă), este egal sau superior celui declarat inițial la OIM, și nu inferior acestuia. Prin urmare, nu este necesară modificarea duratei minime propuse la art. 113 alin. (1) din Codul muncii, iar declarația Republicii Moldova la OIM nu este afectată de proiect.</w:t>
            </w:r>
          </w:p>
          <w:p w14:paraId="3B90A2FB"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36C94183" w14:textId="77777777" w:rsidR="00315874" w:rsidRDefault="00315874">
            <w:pPr>
              <w:shd w:val="clear" w:color="auto" w:fill="FFFFFF"/>
              <w:jc w:val="both"/>
              <w:rPr>
                <w:rFonts w:ascii="Times New Roman" w:eastAsia="Times New Roman" w:hAnsi="Times New Roman" w:cs="Times New Roman"/>
                <w:sz w:val="24"/>
                <w:szCs w:val="24"/>
                <w:highlight w:val="white"/>
              </w:rPr>
            </w:pPr>
          </w:p>
        </w:tc>
      </w:tr>
      <w:tr w:rsidR="00315874" w14:paraId="6F2A537A" w14:textId="77777777">
        <w:trPr>
          <w:trHeight w:val="1350"/>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6140F937"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14A5A6BF" w14:textId="77777777" w:rsidR="00315874" w:rsidRDefault="00315874">
            <w:pPr>
              <w:spacing w:line="240" w:lineRule="auto"/>
              <w:jc w:val="center"/>
              <w:rPr>
                <w:rFonts w:ascii="Times New Roman" w:eastAsia="Times New Roman" w:hAnsi="Times New Roman" w:cs="Times New Roman"/>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31FAB937"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Tot în nota de fundamentare, autorul proiectului de lege, scoate în evidență, zilele de sărbătoare nelucrătoare plătite din Republica Moldova, pentru a demonstra că acestea, împreună cu cele 22 de zile lucrătoare propuse pentru concediul de odihnă anual, ar însemna o aliniere la media zilelor de concediu anual la nivelul țărilor din Uniunea Europeană. Pentru a demonta, însă, acest argument, inclusiv afirmațiile vehiculate tot mai des în spațiul public, precum că, salariații din Republica Moldova beneficiază de prea multe zile de sărbătoare nelucrătoare plătite, vom specifica următoarele. </w:t>
            </w:r>
          </w:p>
          <w:p w14:paraId="7AA045EC"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Conform Codului muncii, salariații din Republica Moldova beneficiază de 14 zile de sărbătoare nelucrătoare plătite. Analizând, însă, calendarul pentru cel puțin următorii 10 ani (2027 – 2036), constatăm următorul fapt. În fiecare an, salariații nu vor beneficia de </w:t>
            </w:r>
            <w:r>
              <w:rPr>
                <w:rFonts w:ascii="Times New Roman" w:eastAsia="Times New Roman" w:hAnsi="Times New Roman" w:cs="Times New Roman"/>
                <w:b/>
                <w:bCs/>
                <w:sz w:val="24"/>
                <w:szCs w:val="24"/>
                <w:highlight w:val="white"/>
              </w:rPr>
              <w:t>cel puțin 3 zile</w:t>
            </w:r>
            <w:r>
              <w:rPr>
                <w:rFonts w:ascii="Times New Roman" w:eastAsia="Times New Roman" w:hAnsi="Times New Roman" w:cs="Times New Roman"/>
                <w:sz w:val="24"/>
                <w:szCs w:val="24"/>
                <w:highlight w:val="white"/>
              </w:rPr>
              <w:t xml:space="preserve"> de sărbătoare nelucrătoare plătite. </w:t>
            </w:r>
          </w:p>
          <w:p w14:paraId="71A771DB"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Mai mult, sunt ani când nu vor beneficia de 5 sau chiar de 6 zile din cele 14, deoarece coincid cu zilele de weekend (</w:t>
            </w:r>
            <w:r>
              <w:rPr>
                <w:rFonts w:ascii="Times New Roman" w:eastAsia="Times New Roman" w:hAnsi="Times New Roman" w:cs="Times New Roman"/>
                <w:i/>
                <w:iCs/>
                <w:highlight w:val="white"/>
              </w:rPr>
              <w:t>a se vedea tabelul de mai jos</w:t>
            </w:r>
            <w:r>
              <w:rPr>
                <w:rFonts w:ascii="Times New Roman" w:eastAsia="Times New Roman" w:hAnsi="Times New Roman" w:cs="Times New Roman"/>
                <w:sz w:val="24"/>
                <w:szCs w:val="24"/>
                <w:highlight w:val="white"/>
              </w:rPr>
              <w:t xml:space="preserve">). </w:t>
            </w:r>
          </w:p>
          <w:p w14:paraId="3FC7D9F7" w14:textId="77777777" w:rsidR="00315874" w:rsidRDefault="00315874">
            <w:pPr>
              <w:jc w:val="both"/>
              <w:rPr>
                <w:rFonts w:ascii="Times New Roman" w:eastAsia="Times New Roman" w:hAnsi="Times New Roman" w:cs="Times New Roman"/>
                <w:sz w:val="24"/>
                <w:szCs w:val="24"/>
                <w:highlight w:val="white"/>
              </w:rPr>
            </w:pPr>
          </w:p>
          <w:tbl>
            <w:tblPr>
              <w:tblStyle w:val="a0"/>
              <w:tblW w:w="531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80"/>
              <w:gridCol w:w="660"/>
              <w:gridCol w:w="3645"/>
              <w:gridCol w:w="525"/>
            </w:tblGrid>
            <w:tr w:rsidR="00315874" w14:paraId="662354AB" w14:textId="77777777">
              <w:trPr>
                <w:trHeight w:val="810"/>
              </w:trPr>
              <w:tc>
                <w:tcPr>
                  <w:tcW w:w="480" w:type="dxa"/>
                  <w:tcMar>
                    <w:top w:w="100" w:type="dxa"/>
                    <w:left w:w="100" w:type="dxa"/>
                    <w:bottom w:w="100" w:type="dxa"/>
                    <w:right w:w="100" w:type="dxa"/>
                  </w:tcMar>
                </w:tcPr>
                <w:p w14:paraId="7101B8DC" w14:textId="77777777" w:rsidR="00315874"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1.</w:t>
                  </w:r>
                </w:p>
              </w:tc>
              <w:tc>
                <w:tcPr>
                  <w:tcW w:w="660" w:type="dxa"/>
                  <w:tcMar>
                    <w:top w:w="100" w:type="dxa"/>
                    <w:left w:w="100" w:type="dxa"/>
                    <w:bottom w:w="100" w:type="dxa"/>
                    <w:right w:w="100" w:type="dxa"/>
                  </w:tcMar>
                </w:tcPr>
                <w:p w14:paraId="6A1DD1D8" w14:textId="77777777" w:rsidR="00315874"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2027</w:t>
                  </w:r>
                </w:p>
              </w:tc>
              <w:tc>
                <w:tcPr>
                  <w:tcW w:w="3645" w:type="dxa"/>
                  <w:tcMar>
                    <w:top w:w="100" w:type="dxa"/>
                    <w:left w:w="100" w:type="dxa"/>
                    <w:bottom w:w="100" w:type="dxa"/>
                    <w:right w:w="100" w:type="dxa"/>
                  </w:tcMar>
                </w:tcPr>
                <w:p w14:paraId="15084A7A" w14:textId="77777777" w:rsidR="00315874"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 xml:space="preserve">1 mai (sâmbătă);  2 mai prima zi de Paști (duminică); 9 mai (duminică); 25  decembrie (sâmbătă) </w:t>
                  </w:r>
                </w:p>
              </w:tc>
              <w:tc>
                <w:tcPr>
                  <w:tcW w:w="525" w:type="dxa"/>
                  <w:tcMar>
                    <w:top w:w="100" w:type="dxa"/>
                    <w:left w:w="100" w:type="dxa"/>
                    <w:bottom w:w="100" w:type="dxa"/>
                    <w:right w:w="100" w:type="dxa"/>
                  </w:tcMar>
                </w:tcPr>
                <w:p w14:paraId="7A1DD939" w14:textId="77777777" w:rsidR="00315874" w:rsidRDefault="00000000">
                  <w:pPr>
                    <w:widowControl w:val="0"/>
                    <w:pBdr>
                      <w:top w:val="nil"/>
                      <w:left w:val="nil"/>
                      <w:bottom w:val="nil"/>
                      <w:right w:val="nil"/>
                      <w:between w:val="nil"/>
                    </w:pBdr>
                    <w:spacing w:line="240" w:lineRule="auto"/>
                    <w:rPr>
                      <w:rFonts w:ascii="Times New Roman" w:eastAsia="Times New Roman" w:hAnsi="Times New Roman" w:cs="Times New Roman"/>
                      <w:b/>
                      <w:bCs/>
                      <w:highlight w:val="white"/>
                    </w:rPr>
                  </w:pPr>
                  <w:r>
                    <w:rPr>
                      <w:rFonts w:ascii="Times New Roman" w:eastAsia="Times New Roman" w:hAnsi="Times New Roman" w:cs="Times New Roman"/>
                      <w:b/>
                      <w:bCs/>
                      <w:sz w:val="20"/>
                      <w:szCs w:val="20"/>
                      <w:highlight w:val="white"/>
                    </w:rPr>
                    <w:t>- 4 zile</w:t>
                  </w:r>
                  <w:r>
                    <w:rPr>
                      <w:rFonts w:ascii="Times New Roman" w:eastAsia="Times New Roman" w:hAnsi="Times New Roman" w:cs="Times New Roman"/>
                      <w:b/>
                      <w:bCs/>
                      <w:highlight w:val="white"/>
                    </w:rPr>
                    <w:t xml:space="preserve"> </w:t>
                  </w:r>
                </w:p>
              </w:tc>
            </w:tr>
            <w:tr w:rsidR="00315874" w14:paraId="5A9E7F43" w14:textId="77777777">
              <w:trPr>
                <w:trHeight w:val="750"/>
              </w:trPr>
              <w:tc>
                <w:tcPr>
                  <w:tcW w:w="480" w:type="dxa"/>
                  <w:tcMar>
                    <w:top w:w="100" w:type="dxa"/>
                    <w:left w:w="100" w:type="dxa"/>
                    <w:bottom w:w="100" w:type="dxa"/>
                    <w:right w:w="100" w:type="dxa"/>
                  </w:tcMar>
                </w:tcPr>
                <w:p w14:paraId="747412CA" w14:textId="77777777" w:rsidR="00315874"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lastRenderedPageBreak/>
                    <w:t>2.</w:t>
                  </w:r>
                </w:p>
              </w:tc>
              <w:tc>
                <w:tcPr>
                  <w:tcW w:w="660" w:type="dxa"/>
                  <w:tcMar>
                    <w:top w:w="100" w:type="dxa"/>
                    <w:left w:w="100" w:type="dxa"/>
                    <w:bottom w:w="100" w:type="dxa"/>
                    <w:right w:w="100" w:type="dxa"/>
                  </w:tcMar>
                </w:tcPr>
                <w:p w14:paraId="2401B417" w14:textId="77777777" w:rsidR="00315874"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2028</w:t>
                  </w:r>
                </w:p>
              </w:tc>
              <w:tc>
                <w:tcPr>
                  <w:tcW w:w="3645" w:type="dxa"/>
                  <w:tcMar>
                    <w:top w:w="100" w:type="dxa"/>
                    <w:left w:w="100" w:type="dxa"/>
                    <w:bottom w:w="100" w:type="dxa"/>
                    <w:right w:w="100" w:type="dxa"/>
                  </w:tcMar>
                </w:tcPr>
                <w:p w14:paraId="70668EA0" w14:textId="77777777" w:rsidR="00315874"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 xml:space="preserve">1 ianuarie (sâmbătă); 8 ianuarie (sâmbătă); 16 aprilie prima zi de Paști (duminică); 27 august (duminică); 14 octombrie (sâmbătă) </w:t>
                  </w:r>
                </w:p>
              </w:tc>
              <w:tc>
                <w:tcPr>
                  <w:tcW w:w="525" w:type="dxa"/>
                  <w:tcMar>
                    <w:top w:w="100" w:type="dxa"/>
                    <w:left w:w="100" w:type="dxa"/>
                    <w:bottom w:w="100" w:type="dxa"/>
                    <w:right w:w="100" w:type="dxa"/>
                  </w:tcMar>
                </w:tcPr>
                <w:p w14:paraId="297A79C7" w14:textId="77777777" w:rsidR="00315874"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b/>
                      <w:bCs/>
                      <w:sz w:val="20"/>
                      <w:szCs w:val="20"/>
                      <w:highlight w:val="white"/>
                    </w:rPr>
                    <w:t>- 5 zile</w:t>
                  </w:r>
                  <w:r>
                    <w:rPr>
                      <w:rFonts w:ascii="Times New Roman" w:eastAsia="Times New Roman" w:hAnsi="Times New Roman" w:cs="Times New Roman"/>
                      <w:sz w:val="24"/>
                      <w:szCs w:val="24"/>
                      <w:highlight w:val="white"/>
                    </w:rPr>
                    <w:t xml:space="preserve"> </w:t>
                  </w:r>
                </w:p>
              </w:tc>
            </w:tr>
            <w:tr w:rsidR="00315874" w14:paraId="1319F7C6" w14:textId="77777777">
              <w:trPr>
                <w:trHeight w:val="250"/>
              </w:trPr>
              <w:tc>
                <w:tcPr>
                  <w:tcW w:w="480" w:type="dxa"/>
                  <w:tcMar>
                    <w:top w:w="100" w:type="dxa"/>
                    <w:left w:w="100" w:type="dxa"/>
                    <w:bottom w:w="100" w:type="dxa"/>
                    <w:right w:w="100" w:type="dxa"/>
                  </w:tcMar>
                </w:tcPr>
                <w:p w14:paraId="0D85217B" w14:textId="77777777" w:rsidR="00315874"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3.</w:t>
                  </w:r>
                </w:p>
              </w:tc>
              <w:tc>
                <w:tcPr>
                  <w:tcW w:w="660" w:type="dxa"/>
                  <w:tcMar>
                    <w:top w:w="100" w:type="dxa"/>
                    <w:left w:w="100" w:type="dxa"/>
                    <w:bottom w:w="100" w:type="dxa"/>
                    <w:right w:w="100" w:type="dxa"/>
                  </w:tcMar>
                </w:tcPr>
                <w:p w14:paraId="476233FD" w14:textId="77777777" w:rsidR="00315874"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2029</w:t>
                  </w:r>
                </w:p>
              </w:tc>
              <w:tc>
                <w:tcPr>
                  <w:tcW w:w="3645" w:type="dxa"/>
                  <w:tcMar>
                    <w:top w:w="100" w:type="dxa"/>
                    <w:left w:w="100" w:type="dxa"/>
                    <w:bottom w:w="100" w:type="dxa"/>
                    <w:right w:w="100" w:type="dxa"/>
                  </w:tcMar>
                </w:tcPr>
                <w:p w14:paraId="1D71559E" w14:textId="77777777" w:rsidR="00315874"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 xml:space="preserve">7 ianuarie (duminică); 8 aprilie prima zi de Paști (duminică); 14  octombrie (duminică) </w:t>
                  </w:r>
                </w:p>
              </w:tc>
              <w:tc>
                <w:tcPr>
                  <w:tcW w:w="525" w:type="dxa"/>
                  <w:tcMar>
                    <w:top w:w="100" w:type="dxa"/>
                    <w:left w:w="100" w:type="dxa"/>
                    <w:bottom w:w="100" w:type="dxa"/>
                    <w:right w:w="100" w:type="dxa"/>
                  </w:tcMar>
                </w:tcPr>
                <w:p w14:paraId="1FEE46AC" w14:textId="77777777" w:rsidR="00315874"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b/>
                      <w:bCs/>
                      <w:sz w:val="20"/>
                      <w:szCs w:val="20"/>
                      <w:highlight w:val="white"/>
                    </w:rPr>
                    <w:t>- 3 zile</w:t>
                  </w:r>
                  <w:r>
                    <w:rPr>
                      <w:rFonts w:ascii="Times New Roman" w:eastAsia="Times New Roman" w:hAnsi="Times New Roman" w:cs="Times New Roman"/>
                      <w:sz w:val="24"/>
                      <w:szCs w:val="24"/>
                      <w:highlight w:val="white"/>
                    </w:rPr>
                    <w:t xml:space="preserve"> </w:t>
                  </w:r>
                </w:p>
              </w:tc>
            </w:tr>
            <w:tr w:rsidR="00315874" w14:paraId="5E2D8101" w14:textId="77777777">
              <w:trPr>
                <w:trHeight w:val="595"/>
              </w:trPr>
              <w:tc>
                <w:tcPr>
                  <w:tcW w:w="480" w:type="dxa"/>
                  <w:tcMar>
                    <w:top w:w="100" w:type="dxa"/>
                    <w:left w:w="100" w:type="dxa"/>
                    <w:bottom w:w="100" w:type="dxa"/>
                    <w:right w:w="100" w:type="dxa"/>
                  </w:tcMar>
                </w:tcPr>
                <w:p w14:paraId="66431EC0" w14:textId="77777777" w:rsidR="00315874"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4.</w:t>
                  </w:r>
                </w:p>
              </w:tc>
              <w:tc>
                <w:tcPr>
                  <w:tcW w:w="660" w:type="dxa"/>
                  <w:tcMar>
                    <w:top w:w="100" w:type="dxa"/>
                    <w:left w:w="100" w:type="dxa"/>
                    <w:bottom w:w="100" w:type="dxa"/>
                    <w:right w:w="100" w:type="dxa"/>
                  </w:tcMar>
                </w:tcPr>
                <w:p w14:paraId="37FF91F4" w14:textId="77777777" w:rsidR="00315874"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2030</w:t>
                  </w:r>
                </w:p>
              </w:tc>
              <w:tc>
                <w:tcPr>
                  <w:tcW w:w="3645" w:type="dxa"/>
                  <w:tcMar>
                    <w:top w:w="100" w:type="dxa"/>
                    <w:left w:w="100" w:type="dxa"/>
                    <w:bottom w:w="100" w:type="dxa"/>
                    <w:right w:w="100" w:type="dxa"/>
                  </w:tcMar>
                </w:tcPr>
                <w:p w14:paraId="628F0E30" w14:textId="77777777" w:rsidR="00315874"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 xml:space="preserve">28 aprilie (duminică); 1 iunie (sâmbătă); 31 august (sâmbătă) </w:t>
                  </w:r>
                </w:p>
              </w:tc>
              <w:tc>
                <w:tcPr>
                  <w:tcW w:w="525" w:type="dxa"/>
                  <w:tcMar>
                    <w:top w:w="100" w:type="dxa"/>
                    <w:left w:w="100" w:type="dxa"/>
                    <w:bottom w:w="100" w:type="dxa"/>
                    <w:right w:w="100" w:type="dxa"/>
                  </w:tcMar>
                </w:tcPr>
                <w:p w14:paraId="25202B65" w14:textId="77777777" w:rsidR="00315874" w:rsidRDefault="00000000">
                  <w:pPr>
                    <w:widowControl w:val="0"/>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b/>
                      <w:bCs/>
                      <w:sz w:val="20"/>
                      <w:szCs w:val="20"/>
                      <w:highlight w:val="white"/>
                    </w:rPr>
                    <w:t>- 3 zile</w:t>
                  </w:r>
                  <w:r>
                    <w:rPr>
                      <w:rFonts w:ascii="Times New Roman" w:eastAsia="Times New Roman" w:hAnsi="Times New Roman" w:cs="Times New Roman"/>
                      <w:sz w:val="24"/>
                      <w:szCs w:val="24"/>
                      <w:highlight w:val="white"/>
                    </w:rPr>
                    <w:t xml:space="preserve"> </w:t>
                  </w:r>
                </w:p>
              </w:tc>
            </w:tr>
            <w:tr w:rsidR="00315874" w14:paraId="2CD44D08" w14:textId="77777777">
              <w:trPr>
                <w:trHeight w:val="825"/>
              </w:trPr>
              <w:tc>
                <w:tcPr>
                  <w:tcW w:w="480" w:type="dxa"/>
                  <w:tcMar>
                    <w:top w:w="100" w:type="dxa"/>
                    <w:left w:w="100" w:type="dxa"/>
                    <w:bottom w:w="100" w:type="dxa"/>
                    <w:right w:w="100" w:type="dxa"/>
                  </w:tcMar>
                </w:tcPr>
                <w:p w14:paraId="12BAEFDD" w14:textId="77777777" w:rsidR="00315874"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5.</w:t>
                  </w:r>
                </w:p>
              </w:tc>
              <w:tc>
                <w:tcPr>
                  <w:tcW w:w="660" w:type="dxa"/>
                  <w:tcMar>
                    <w:top w:w="100" w:type="dxa"/>
                    <w:left w:w="100" w:type="dxa"/>
                    <w:bottom w:w="100" w:type="dxa"/>
                    <w:right w:w="100" w:type="dxa"/>
                  </w:tcMar>
                </w:tcPr>
                <w:p w14:paraId="2890A55D" w14:textId="77777777" w:rsidR="00315874"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2031</w:t>
                  </w:r>
                </w:p>
              </w:tc>
              <w:tc>
                <w:tcPr>
                  <w:tcW w:w="3645" w:type="dxa"/>
                  <w:tcMar>
                    <w:top w:w="100" w:type="dxa"/>
                    <w:left w:w="100" w:type="dxa"/>
                    <w:bottom w:w="100" w:type="dxa"/>
                    <w:right w:w="100" w:type="dxa"/>
                  </w:tcMar>
                </w:tcPr>
                <w:p w14:paraId="50249D7A" w14:textId="77777777" w:rsidR="00315874"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 xml:space="preserve">8 martie (sâmbătă); 13 aprilie prima zi de Paști (duminică);  1 iunie (duminică); 31 august (duminică) </w:t>
                  </w:r>
                </w:p>
              </w:tc>
              <w:tc>
                <w:tcPr>
                  <w:tcW w:w="525" w:type="dxa"/>
                  <w:tcMar>
                    <w:top w:w="100" w:type="dxa"/>
                    <w:left w:w="100" w:type="dxa"/>
                    <w:bottom w:w="100" w:type="dxa"/>
                    <w:right w:w="100" w:type="dxa"/>
                  </w:tcMar>
                </w:tcPr>
                <w:p w14:paraId="27BA301B" w14:textId="77777777" w:rsidR="00315874" w:rsidRDefault="00000000">
                  <w:pPr>
                    <w:widowControl w:val="0"/>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b/>
                      <w:bCs/>
                      <w:sz w:val="20"/>
                      <w:szCs w:val="20"/>
                      <w:highlight w:val="white"/>
                    </w:rPr>
                    <w:t>- 4 zile</w:t>
                  </w:r>
                </w:p>
              </w:tc>
            </w:tr>
            <w:tr w:rsidR="00315874" w14:paraId="23B91972" w14:textId="77777777">
              <w:trPr>
                <w:trHeight w:val="840"/>
              </w:trPr>
              <w:tc>
                <w:tcPr>
                  <w:tcW w:w="480" w:type="dxa"/>
                  <w:tcMar>
                    <w:top w:w="100" w:type="dxa"/>
                    <w:left w:w="100" w:type="dxa"/>
                    <w:bottom w:w="100" w:type="dxa"/>
                    <w:right w:w="100" w:type="dxa"/>
                  </w:tcMar>
                </w:tcPr>
                <w:p w14:paraId="679C01D9" w14:textId="77777777" w:rsidR="00315874"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6.</w:t>
                  </w:r>
                </w:p>
              </w:tc>
              <w:tc>
                <w:tcPr>
                  <w:tcW w:w="660" w:type="dxa"/>
                  <w:tcMar>
                    <w:top w:w="100" w:type="dxa"/>
                    <w:left w:w="100" w:type="dxa"/>
                    <w:bottom w:w="100" w:type="dxa"/>
                    <w:right w:w="100" w:type="dxa"/>
                  </w:tcMar>
                </w:tcPr>
                <w:p w14:paraId="66FFC8C8" w14:textId="77777777" w:rsidR="00315874"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2032</w:t>
                  </w:r>
                </w:p>
              </w:tc>
              <w:tc>
                <w:tcPr>
                  <w:tcW w:w="3645" w:type="dxa"/>
                  <w:tcMar>
                    <w:top w:w="100" w:type="dxa"/>
                    <w:left w:w="100" w:type="dxa"/>
                    <w:bottom w:w="100" w:type="dxa"/>
                    <w:right w:w="100" w:type="dxa"/>
                  </w:tcMar>
                </w:tcPr>
                <w:p w14:paraId="7DC69085" w14:textId="77777777" w:rsidR="00315874"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 xml:space="preserve">1 mai (sâmbătă); 2 mai prima zi de Paști (duminică); 9 mai (duminică); 25 decembrie (sâmbătă) </w:t>
                  </w:r>
                </w:p>
              </w:tc>
              <w:tc>
                <w:tcPr>
                  <w:tcW w:w="525" w:type="dxa"/>
                  <w:tcMar>
                    <w:top w:w="100" w:type="dxa"/>
                    <w:left w:w="100" w:type="dxa"/>
                    <w:bottom w:w="100" w:type="dxa"/>
                    <w:right w:w="100" w:type="dxa"/>
                  </w:tcMar>
                </w:tcPr>
                <w:p w14:paraId="45A345C9" w14:textId="77777777" w:rsidR="00315874" w:rsidRDefault="00000000">
                  <w:pPr>
                    <w:widowControl w:val="0"/>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b/>
                      <w:bCs/>
                      <w:sz w:val="20"/>
                      <w:szCs w:val="20"/>
                      <w:highlight w:val="white"/>
                    </w:rPr>
                    <w:t>- 4 zile</w:t>
                  </w:r>
                </w:p>
              </w:tc>
            </w:tr>
            <w:tr w:rsidR="00315874" w14:paraId="35860238" w14:textId="77777777">
              <w:trPr>
                <w:trHeight w:val="1100"/>
              </w:trPr>
              <w:tc>
                <w:tcPr>
                  <w:tcW w:w="480" w:type="dxa"/>
                  <w:tcMar>
                    <w:top w:w="100" w:type="dxa"/>
                    <w:left w:w="100" w:type="dxa"/>
                    <w:bottom w:w="100" w:type="dxa"/>
                    <w:right w:w="100" w:type="dxa"/>
                  </w:tcMar>
                </w:tcPr>
                <w:p w14:paraId="0F11F3B2" w14:textId="77777777" w:rsidR="00315874"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7.</w:t>
                  </w:r>
                </w:p>
              </w:tc>
              <w:tc>
                <w:tcPr>
                  <w:tcW w:w="660" w:type="dxa"/>
                  <w:tcMar>
                    <w:top w:w="100" w:type="dxa"/>
                    <w:left w:w="100" w:type="dxa"/>
                    <w:bottom w:w="100" w:type="dxa"/>
                    <w:right w:w="100" w:type="dxa"/>
                  </w:tcMar>
                </w:tcPr>
                <w:p w14:paraId="3EBEBFDE" w14:textId="77777777" w:rsidR="00315874"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2033</w:t>
                  </w:r>
                </w:p>
              </w:tc>
              <w:tc>
                <w:tcPr>
                  <w:tcW w:w="3645" w:type="dxa"/>
                  <w:tcMar>
                    <w:top w:w="100" w:type="dxa"/>
                    <w:left w:w="100" w:type="dxa"/>
                    <w:bottom w:w="100" w:type="dxa"/>
                    <w:right w:w="100" w:type="dxa"/>
                  </w:tcMar>
                </w:tcPr>
                <w:p w14:paraId="36D37713" w14:textId="77777777" w:rsidR="00315874"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 xml:space="preserve">1 ianuarie (sâmbătă); 8 ianuarie (sâmbătă); 24 aprilie prima zi de Paști (duminică); 1 mai (duminică); 27 august (sâmbătă); 25 decembrie (duminică) </w:t>
                  </w:r>
                </w:p>
              </w:tc>
              <w:tc>
                <w:tcPr>
                  <w:tcW w:w="525" w:type="dxa"/>
                  <w:tcMar>
                    <w:top w:w="100" w:type="dxa"/>
                    <w:left w:w="100" w:type="dxa"/>
                    <w:bottom w:w="100" w:type="dxa"/>
                    <w:right w:w="100" w:type="dxa"/>
                  </w:tcMar>
                </w:tcPr>
                <w:p w14:paraId="698BDC0E" w14:textId="77777777" w:rsidR="00315874" w:rsidRDefault="00000000">
                  <w:pPr>
                    <w:widowControl w:val="0"/>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b/>
                      <w:bCs/>
                      <w:sz w:val="20"/>
                      <w:szCs w:val="20"/>
                      <w:highlight w:val="white"/>
                    </w:rPr>
                    <w:t>- 6 zile</w:t>
                  </w:r>
                </w:p>
              </w:tc>
            </w:tr>
            <w:tr w:rsidR="00315874" w14:paraId="203C7B5A" w14:textId="77777777">
              <w:tc>
                <w:tcPr>
                  <w:tcW w:w="480" w:type="dxa"/>
                  <w:tcMar>
                    <w:top w:w="100" w:type="dxa"/>
                    <w:left w:w="100" w:type="dxa"/>
                    <w:bottom w:w="100" w:type="dxa"/>
                    <w:right w:w="100" w:type="dxa"/>
                  </w:tcMar>
                </w:tcPr>
                <w:p w14:paraId="710FDEDB" w14:textId="77777777" w:rsidR="00315874"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8.</w:t>
                  </w:r>
                </w:p>
              </w:tc>
              <w:tc>
                <w:tcPr>
                  <w:tcW w:w="660" w:type="dxa"/>
                  <w:tcMar>
                    <w:top w:w="100" w:type="dxa"/>
                    <w:left w:w="100" w:type="dxa"/>
                    <w:bottom w:w="100" w:type="dxa"/>
                    <w:right w:w="100" w:type="dxa"/>
                  </w:tcMar>
                </w:tcPr>
                <w:p w14:paraId="08E56076" w14:textId="77777777" w:rsidR="00315874"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2034</w:t>
                  </w:r>
                </w:p>
              </w:tc>
              <w:tc>
                <w:tcPr>
                  <w:tcW w:w="3645" w:type="dxa"/>
                  <w:tcMar>
                    <w:top w:w="100" w:type="dxa"/>
                    <w:left w:w="100" w:type="dxa"/>
                    <w:bottom w:w="100" w:type="dxa"/>
                    <w:right w:w="100" w:type="dxa"/>
                  </w:tcMar>
                </w:tcPr>
                <w:p w14:paraId="62B24DBB" w14:textId="77777777" w:rsidR="00315874"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 xml:space="preserve">1 ianuarie (duminică); 8 ianuarie (duminică); 9 aprilie prima zi de Paști (duminică); 27 august (duminică); 14 octombrie (sâmbătă) </w:t>
                  </w:r>
                </w:p>
              </w:tc>
              <w:tc>
                <w:tcPr>
                  <w:tcW w:w="525" w:type="dxa"/>
                  <w:tcMar>
                    <w:top w:w="100" w:type="dxa"/>
                    <w:left w:w="100" w:type="dxa"/>
                    <w:bottom w:w="100" w:type="dxa"/>
                    <w:right w:w="100" w:type="dxa"/>
                  </w:tcMar>
                </w:tcPr>
                <w:p w14:paraId="6D5CE7FB" w14:textId="77777777" w:rsidR="00315874" w:rsidRDefault="00000000">
                  <w:pPr>
                    <w:widowControl w:val="0"/>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b/>
                      <w:bCs/>
                      <w:sz w:val="20"/>
                      <w:szCs w:val="20"/>
                      <w:highlight w:val="white"/>
                    </w:rPr>
                    <w:t>- 5 zile</w:t>
                  </w:r>
                </w:p>
              </w:tc>
            </w:tr>
            <w:tr w:rsidR="00315874" w14:paraId="50F84A74" w14:textId="77777777">
              <w:tc>
                <w:tcPr>
                  <w:tcW w:w="480" w:type="dxa"/>
                  <w:tcMar>
                    <w:top w:w="100" w:type="dxa"/>
                    <w:left w:w="100" w:type="dxa"/>
                    <w:bottom w:w="100" w:type="dxa"/>
                    <w:right w:w="100" w:type="dxa"/>
                  </w:tcMar>
                </w:tcPr>
                <w:p w14:paraId="4B54E637" w14:textId="77777777" w:rsidR="00315874"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9.</w:t>
                  </w:r>
                </w:p>
              </w:tc>
              <w:tc>
                <w:tcPr>
                  <w:tcW w:w="660" w:type="dxa"/>
                  <w:tcMar>
                    <w:top w:w="100" w:type="dxa"/>
                    <w:left w:w="100" w:type="dxa"/>
                    <w:bottom w:w="100" w:type="dxa"/>
                    <w:right w:w="100" w:type="dxa"/>
                  </w:tcMar>
                </w:tcPr>
                <w:p w14:paraId="1310A081" w14:textId="77777777" w:rsidR="00315874"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2035</w:t>
                  </w:r>
                </w:p>
              </w:tc>
              <w:tc>
                <w:tcPr>
                  <w:tcW w:w="3645" w:type="dxa"/>
                  <w:tcMar>
                    <w:top w:w="100" w:type="dxa"/>
                    <w:left w:w="100" w:type="dxa"/>
                    <w:bottom w:w="100" w:type="dxa"/>
                    <w:right w:w="100" w:type="dxa"/>
                  </w:tcMar>
                </w:tcPr>
                <w:p w14:paraId="7FEA2424" w14:textId="77777777" w:rsidR="00315874"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 xml:space="preserve">7 ianuarie (duminică); 29 aprilie prima zi </w:t>
                  </w:r>
                  <w:r>
                    <w:rPr>
                      <w:rFonts w:ascii="Times New Roman" w:eastAsia="Times New Roman" w:hAnsi="Times New Roman" w:cs="Times New Roman"/>
                      <w:sz w:val="20"/>
                      <w:szCs w:val="20"/>
                      <w:highlight w:val="white"/>
                    </w:rPr>
                    <w:lastRenderedPageBreak/>
                    <w:t xml:space="preserve">de Paști (duminică); 14 octombrie (duminică) </w:t>
                  </w:r>
                </w:p>
              </w:tc>
              <w:tc>
                <w:tcPr>
                  <w:tcW w:w="525" w:type="dxa"/>
                  <w:tcMar>
                    <w:top w:w="100" w:type="dxa"/>
                    <w:left w:w="100" w:type="dxa"/>
                    <w:bottom w:w="100" w:type="dxa"/>
                    <w:right w:w="100" w:type="dxa"/>
                  </w:tcMar>
                </w:tcPr>
                <w:p w14:paraId="54796A85" w14:textId="77777777" w:rsidR="00315874" w:rsidRDefault="00000000">
                  <w:pPr>
                    <w:widowControl w:val="0"/>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b/>
                      <w:bCs/>
                      <w:sz w:val="20"/>
                      <w:szCs w:val="20"/>
                      <w:highlight w:val="white"/>
                    </w:rPr>
                    <w:lastRenderedPageBreak/>
                    <w:t xml:space="preserve">- 3 </w:t>
                  </w:r>
                  <w:r>
                    <w:rPr>
                      <w:rFonts w:ascii="Times New Roman" w:eastAsia="Times New Roman" w:hAnsi="Times New Roman" w:cs="Times New Roman"/>
                      <w:b/>
                      <w:bCs/>
                      <w:sz w:val="20"/>
                      <w:szCs w:val="20"/>
                      <w:highlight w:val="white"/>
                    </w:rPr>
                    <w:lastRenderedPageBreak/>
                    <w:t>zile</w:t>
                  </w:r>
                </w:p>
              </w:tc>
            </w:tr>
            <w:tr w:rsidR="00315874" w14:paraId="5A7707BC" w14:textId="77777777">
              <w:trPr>
                <w:trHeight w:val="779"/>
              </w:trPr>
              <w:tc>
                <w:tcPr>
                  <w:tcW w:w="480" w:type="dxa"/>
                  <w:tcMar>
                    <w:top w:w="100" w:type="dxa"/>
                    <w:left w:w="100" w:type="dxa"/>
                    <w:bottom w:w="100" w:type="dxa"/>
                    <w:right w:w="100" w:type="dxa"/>
                  </w:tcMar>
                </w:tcPr>
                <w:p w14:paraId="604D31AF" w14:textId="77777777" w:rsidR="00315874"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lastRenderedPageBreak/>
                    <w:t>10.</w:t>
                  </w:r>
                </w:p>
              </w:tc>
              <w:tc>
                <w:tcPr>
                  <w:tcW w:w="660" w:type="dxa"/>
                  <w:tcMar>
                    <w:top w:w="100" w:type="dxa"/>
                    <w:left w:w="100" w:type="dxa"/>
                    <w:bottom w:w="100" w:type="dxa"/>
                    <w:right w:w="100" w:type="dxa"/>
                  </w:tcMar>
                </w:tcPr>
                <w:p w14:paraId="0C77F5D9" w14:textId="77777777" w:rsidR="00315874"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b/>
                      <w:bCs/>
                      <w:highlight w:val="white"/>
                    </w:rPr>
                  </w:pPr>
                  <w:r>
                    <w:rPr>
                      <w:rFonts w:ascii="Times New Roman" w:eastAsia="Times New Roman" w:hAnsi="Times New Roman" w:cs="Times New Roman"/>
                      <w:b/>
                      <w:bCs/>
                      <w:highlight w:val="white"/>
                    </w:rPr>
                    <w:t>2036</w:t>
                  </w:r>
                </w:p>
              </w:tc>
              <w:tc>
                <w:tcPr>
                  <w:tcW w:w="3645" w:type="dxa"/>
                  <w:tcMar>
                    <w:top w:w="100" w:type="dxa"/>
                    <w:left w:w="100" w:type="dxa"/>
                    <w:bottom w:w="100" w:type="dxa"/>
                    <w:right w:w="100" w:type="dxa"/>
                  </w:tcMar>
                </w:tcPr>
                <w:p w14:paraId="711F2F31" w14:textId="77777777" w:rsidR="00315874"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8 martie (sâmbătă); 20 aprilie prima zi de Paști (duminică); 1 iunie (duminică); 31 august (duminică)</w:t>
                  </w:r>
                </w:p>
              </w:tc>
              <w:tc>
                <w:tcPr>
                  <w:tcW w:w="525" w:type="dxa"/>
                  <w:tcMar>
                    <w:top w:w="100" w:type="dxa"/>
                    <w:left w:w="100" w:type="dxa"/>
                    <w:bottom w:w="100" w:type="dxa"/>
                    <w:right w:w="100" w:type="dxa"/>
                  </w:tcMar>
                </w:tcPr>
                <w:p w14:paraId="54624ED4" w14:textId="77777777" w:rsidR="00315874" w:rsidRDefault="00000000">
                  <w:pPr>
                    <w:widowControl w:val="0"/>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b/>
                      <w:bCs/>
                      <w:sz w:val="20"/>
                      <w:szCs w:val="20"/>
                      <w:highlight w:val="white"/>
                    </w:rPr>
                    <w:t>- 4 zile</w:t>
                  </w:r>
                </w:p>
              </w:tc>
            </w:tr>
          </w:tbl>
          <w:p w14:paraId="2370A6A4" w14:textId="77777777" w:rsidR="00315874" w:rsidRDefault="00315874">
            <w:pPr>
              <w:jc w:val="both"/>
              <w:rPr>
                <w:rFonts w:ascii="Times New Roman" w:eastAsia="Times New Roman" w:hAnsi="Times New Roman" w:cs="Times New Roman"/>
                <w:sz w:val="24"/>
                <w:szCs w:val="24"/>
                <w:highlight w:val="white"/>
              </w:rPr>
            </w:pP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33B5B845"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Se acceptă</w:t>
            </w:r>
          </w:p>
          <w:p w14:paraId="5D6B0EF9"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Nota de fundamentare a fost revizuită </w:t>
            </w:r>
          </w:p>
        </w:tc>
      </w:tr>
      <w:tr w:rsidR="00315874" w14:paraId="66226D27" w14:textId="77777777">
        <w:trPr>
          <w:trHeight w:val="1350"/>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45D1542C"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0A9708B5" w14:textId="77777777" w:rsidR="00315874" w:rsidRDefault="00315874">
            <w:pPr>
              <w:spacing w:line="240" w:lineRule="auto"/>
              <w:jc w:val="center"/>
              <w:rPr>
                <w:rFonts w:ascii="Times New Roman" w:eastAsia="Times New Roman" w:hAnsi="Times New Roman" w:cs="Times New Roman"/>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5F35D0BC" w14:textId="77777777" w:rsidR="00315874" w:rsidRDefault="00000000">
            <w:pPr>
              <w:jc w:val="both"/>
              <w:rPr>
                <w:rFonts w:ascii="Times New Roman" w:eastAsia="Times New Roman" w:hAnsi="Times New Roman" w:cs="Times New Roman"/>
                <w:sz w:val="24"/>
                <w:szCs w:val="24"/>
                <w:highlight w:val="white"/>
                <w:u w:val="single"/>
              </w:rPr>
            </w:pPr>
            <w:r>
              <w:rPr>
                <w:rFonts w:ascii="Times New Roman" w:eastAsia="Times New Roman" w:hAnsi="Times New Roman" w:cs="Times New Roman"/>
                <w:sz w:val="24"/>
                <w:szCs w:val="24"/>
                <w:highlight w:val="white"/>
              </w:rPr>
              <w:t xml:space="preserve">  Un alt aspect important de remarcat, este faptul că nici o organizație – membră a CNSM, nu susține propunerea privind conversia concediului de odihnă anual de la 28 de zile calendaristice în 22 de zile lucrătoare. Drept argument, se menționează că reglementările actuale ale Codului muncii, permit părților contractului individual de muncă, să divizeze cele 28 de zile calendaristice de concediu, în mai multe părți. Cu condiția ca una din acestea să constituie cel puțin 14 zile calendaristice consecutive. Astfel, conform practicii bine cunoscute, de majoritatea salariaților, utilizarea fracționată a concediului de odihnă anual, are avantajul de a obține un concediu total de 24 de zile lucrătoare. Sau, conform proiectului de lege, salariații respectivi, au observat imediat diminuarea avantajului actual. </w:t>
            </w:r>
            <w:r>
              <w:rPr>
                <w:rFonts w:ascii="Times New Roman" w:eastAsia="Times New Roman" w:hAnsi="Times New Roman" w:cs="Times New Roman"/>
                <w:sz w:val="24"/>
                <w:szCs w:val="24"/>
                <w:highlight w:val="white"/>
                <w:u w:val="single"/>
              </w:rPr>
              <w:t xml:space="preserve">Așadar, este evident, pentru a nu admite diminuarea acestui avantaj, perfect legal, cele 28 de zile calendaristice de concediu de odihnă anual, ar trebui să se transforme în 24 de zile lucrătoare. </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2E9592FE"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Nu se acceptă.</w:t>
            </w:r>
          </w:p>
          <w:p w14:paraId="3B34D3D2"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74AEE5F2"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Argumentul confirmă, de fapt, raționamentul expus la punctul anterior din prezentul aviz (referitor la Convenția OIM nr. 132/1970) și la pct. 12 (avizul Asociației Businessului European): durata de 22 de zile lucrătoare a fost stabilită ca un compromis între pragul minim de 20 de zile lucrătoare (echivalentul strict a 4 săptămâni la programul de 5 zile) și beneficiul practic de până la 24 de zile lucrătoare obținut în prezent prin fracționare. Propunerea de a stabili direct 24 de zile lucrătoare nu se acceptă, pentru considerentele expuse la pct. 12 (avizul ABE).</w:t>
            </w:r>
          </w:p>
          <w:p w14:paraId="74B859C4"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5F58A0EC" w14:textId="77777777" w:rsidR="00315874" w:rsidRDefault="00315874">
            <w:pPr>
              <w:shd w:val="clear" w:color="auto" w:fill="FFFFFF"/>
              <w:jc w:val="both"/>
              <w:rPr>
                <w:rFonts w:ascii="Times New Roman" w:eastAsia="Times New Roman" w:hAnsi="Times New Roman" w:cs="Times New Roman"/>
                <w:sz w:val="24"/>
                <w:szCs w:val="24"/>
                <w:highlight w:val="white"/>
              </w:rPr>
            </w:pPr>
          </w:p>
        </w:tc>
      </w:tr>
      <w:tr w:rsidR="00315874" w14:paraId="6D22EDBE" w14:textId="77777777">
        <w:trPr>
          <w:trHeight w:val="1350"/>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51C24ED4"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2656F6CE" w14:textId="77777777" w:rsidR="00315874" w:rsidRDefault="00315874">
            <w:pPr>
              <w:spacing w:line="240" w:lineRule="auto"/>
              <w:jc w:val="center"/>
              <w:rPr>
                <w:rFonts w:ascii="Times New Roman" w:eastAsia="Times New Roman" w:hAnsi="Times New Roman" w:cs="Times New Roman"/>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714703DE"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Suplimentar, atragem atenția în ceea ce privește sintagma „luându-se drept bază durata normală a timpului de muncă”, propusă în noua redacție a alin. (1) din art. 113 al Codului muncii.</w:t>
            </w:r>
          </w:p>
          <w:p w14:paraId="4C6C3CFB"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Aceasta nu clarifică tipul săptămânii de lucru care urmează a fi luat drept bază pentru calcularea concediului de odihnă anual. Potrivit prevederilor Codului muncii, noțiunea de „durată normală a timpului de muncă” se referă la durata normală săptămânală sau zilnică a timpului de muncă și nu la tipul săptămânii de lucru. </w:t>
            </w:r>
          </w:p>
          <w:p w14:paraId="6F6C4139"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În consecință, utilizarea acestei sintagme va genera dificultăți de interpretare și aplicare practică a normei. </w:t>
            </w:r>
          </w:p>
          <w:p w14:paraId="270F11F5"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Pornind de la cele enumerate supra, propunem ca alin. (1) al art. 113 din Codului muncii, să fie expus în următoarea redacție:</w:t>
            </w:r>
          </w:p>
          <w:p w14:paraId="0830AD5D"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„(1) Tuturor salariaților li se acordă anual un concediu de odihnă plătit, cu o durată minimă de 24 de zile lucrătoare (luându-se drept bază săptămâna de lucru de 5 zile), cu excepția zilelor de sărbătoare nelucrătoare.”. </w:t>
            </w:r>
          </w:p>
          <w:p w14:paraId="4E777597" w14:textId="77777777" w:rsidR="00315874" w:rsidRDefault="00315874">
            <w:pPr>
              <w:jc w:val="both"/>
              <w:rPr>
                <w:rFonts w:ascii="Times New Roman" w:eastAsia="Times New Roman" w:hAnsi="Times New Roman" w:cs="Times New Roman"/>
                <w:sz w:val="24"/>
                <w:szCs w:val="24"/>
                <w:highlight w:val="white"/>
              </w:rPr>
            </w:pPr>
          </w:p>
          <w:p w14:paraId="57E71385"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Acceptarea acesteia ar asigura: </w:t>
            </w:r>
          </w:p>
          <w:p w14:paraId="56E4C436"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 respectarea angajamentelor asumate de Republica Moldova prin ratificarea Convenției OIM nr. 132 cu privire la concediile plătite; </w:t>
            </w:r>
          </w:p>
          <w:p w14:paraId="21481EDD"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 xml:space="preserve"> - respectarea drepturilor și intereselor legale ale salariaților, fără reducerea nivelului de protecție, situație care ar veni în contradicție cu angajamentele asumate de Republica Moldova prin art. 371 din Acordul de Asociere RM-UE (ratificat prin Legea nr. 112 din 2 iulie 2014), care nu admite încurajarea comerțului sau a investițiilor prin reducerea nivelului de protecție prevăzut în legislația națională în materie de muncă; </w:t>
            </w:r>
          </w:p>
          <w:p w14:paraId="66D4D68E"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 aplicarea uniformă a legislației și excluderea eventualelor tratamente diferențiate între salariați. </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0E37F05D"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Se acceptă</w:t>
            </w:r>
          </w:p>
          <w:p w14:paraId="130CCD0B"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 xml:space="preserve">Proiectul a fost modificat </w:t>
            </w:r>
          </w:p>
        </w:tc>
      </w:tr>
      <w:tr w:rsidR="00315874" w14:paraId="02B4CE07" w14:textId="77777777">
        <w:trPr>
          <w:trHeight w:val="1350"/>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70078E8D"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6CF4B33A" w14:textId="77777777" w:rsidR="00315874" w:rsidRDefault="00315874">
            <w:pPr>
              <w:spacing w:line="240" w:lineRule="auto"/>
              <w:jc w:val="center"/>
              <w:rPr>
                <w:rFonts w:ascii="Times New Roman" w:eastAsia="Times New Roman" w:hAnsi="Times New Roman" w:cs="Times New Roman"/>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028CA997"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Autorul propune completarea art. 113 al Codului muncii cu alin. (1</w:t>
            </w:r>
            <w:r>
              <w:rPr>
                <w:rFonts w:ascii="Times New Roman" w:eastAsia="Times New Roman" w:hAnsi="Times New Roman" w:cs="Times New Roman"/>
                <w:sz w:val="24"/>
                <w:szCs w:val="24"/>
                <w:highlight w:val="white"/>
                <w:vertAlign w:val="superscript"/>
              </w:rPr>
              <w:t xml:space="preserve">1 </w:t>
            </w:r>
            <w:r>
              <w:rPr>
                <w:rFonts w:ascii="Times New Roman" w:eastAsia="Times New Roman" w:hAnsi="Times New Roman" w:cs="Times New Roman"/>
                <w:sz w:val="24"/>
                <w:szCs w:val="24"/>
                <w:highlight w:val="white"/>
              </w:rPr>
              <w:t>) cu următorul cuprins:</w:t>
            </w:r>
          </w:p>
          <w:p w14:paraId="6952C086"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„(1</w:t>
            </w:r>
            <w:r>
              <w:rPr>
                <w:rFonts w:ascii="Times New Roman" w:eastAsia="Times New Roman" w:hAnsi="Times New Roman" w:cs="Times New Roman"/>
                <w:sz w:val="24"/>
                <w:szCs w:val="24"/>
                <w:highlight w:val="white"/>
                <w:vertAlign w:val="superscript"/>
              </w:rPr>
              <w:t>1</w:t>
            </w:r>
            <w:r>
              <w:rPr>
                <w:rFonts w:ascii="Times New Roman" w:eastAsia="Times New Roman" w:hAnsi="Times New Roman" w:cs="Times New Roman"/>
                <w:sz w:val="24"/>
                <w:szCs w:val="24"/>
                <w:highlight w:val="white"/>
              </w:rPr>
              <w:t xml:space="preserve"> ) Durata efectivă a concediului de odihnă anual se stabilește în contractul individual de muncă conform art. 49, alin. (1), lit. n), cu respectarea alin. (1), precum și a regulamentului intern, dacă acesta a fost elaborat și aprobat de angajator și a contractului colectiv de muncă.”. </w:t>
            </w:r>
          </w:p>
          <w:p w14:paraId="26B0B724"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Urmare a analizei acestei norme juridice, propunem substituirea cuvintelor „contractului colectiv de muncă” cu textul „convenției colective și/sau a contractului colectiv de muncă”. Sau, durata minimă a concediului de odihnă anual prevăzută de lege poate fi majorată nu doar prin contractul colectiv de muncă la nivel de unitate, ci și prin convenții colective la nivel național, ramural sau teritorial. </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646E9E1E"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Se acceptă</w:t>
            </w:r>
          </w:p>
        </w:tc>
      </w:tr>
      <w:tr w:rsidR="00315874" w14:paraId="53880F5D" w14:textId="77777777">
        <w:trPr>
          <w:trHeight w:val="1350"/>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6D508FF2"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46AF39F7" w14:textId="77777777" w:rsidR="00315874" w:rsidRDefault="00315874">
            <w:pPr>
              <w:spacing w:line="240" w:lineRule="auto"/>
              <w:jc w:val="center"/>
              <w:rPr>
                <w:rFonts w:ascii="Times New Roman" w:eastAsia="Times New Roman" w:hAnsi="Times New Roman" w:cs="Times New Roman"/>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4B4F9DA9"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Privitor la modificările propuse la </w:t>
            </w:r>
            <w:r>
              <w:rPr>
                <w:rFonts w:ascii="Times New Roman" w:eastAsia="Times New Roman" w:hAnsi="Times New Roman" w:cs="Times New Roman"/>
                <w:b/>
                <w:bCs/>
                <w:sz w:val="24"/>
                <w:szCs w:val="24"/>
                <w:highlight w:val="white"/>
              </w:rPr>
              <w:t xml:space="preserve">art. 115 </w:t>
            </w:r>
            <w:r>
              <w:rPr>
                <w:rFonts w:ascii="Times New Roman" w:eastAsia="Times New Roman" w:hAnsi="Times New Roman" w:cs="Times New Roman"/>
                <w:sz w:val="24"/>
                <w:szCs w:val="24"/>
                <w:highlight w:val="white"/>
              </w:rPr>
              <w:t>(</w:t>
            </w:r>
            <w:r>
              <w:rPr>
                <w:rFonts w:ascii="Times New Roman" w:eastAsia="Times New Roman" w:hAnsi="Times New Roman" w:cs="Times New Roman"/>
                <w:i/>
                <w:iCs/>
                <w:sz w:val="24"/>
                <w:szCs w:val="24"/>
                <w:highlight w:val="white"/>
              </w:rPr>
              <w:t>reglementează modul de acordare a concediului de odihnă anual)</w:t>
            </w:r>
            <w:r>
              <w:rPr>
                <w:rFonts w:ascii="Times New Roman" w:eastAsia="Times New Roman" w:hAnsi="Times New Roman" w:cs="Times New Roman"/>
                <w:sz w:val="24"/>
                <w:szCs w:val="24"/>
                <w:highlight w:val="white"/>
              </w:rPr>
              <w:t xml:space="preserve"> și </w:t>
            </w:r>
            <w:r>
              <w:rPr>
                <w:rFonts w:ascii="Times New Roman" w:eastAsia="Times New Roman" w:hAnsi="Times New Roman" w:cs="Times New Roman"/>
                <w:b/>
                <w:bCs/>
                <w:sz w:val="24"/>
                <w:szCs w:val="24"/>
                <w:highlight w:val="white"/>
              </w:rPr>
              <w:t>art. 118</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i/>
                <w:iCs/>
                <w:sz w:val="24"/>
                <w:szCs w:val="24"/>
                <w:highlight w:val="white"/>
              </w:rPr>
              <w:t>reglementează acordarea anuală a concediului de odihnă și cazurile excepționale de amânare a acestuia)</w:t>
            </w:r>
            <w:r>
              <w:rPr>
                <w:rFonts w:ascii="Times New Roman" w:eastAsia="Times New Roman" w:hAnsi="Times New Roman" w:cs="Times New Roman"/>
                <w:sz w:val="24"/>
                <w:szCs w:val="24"/>
                <w:highlight w:val="white"/>
              </w:rPr>
              <w:t xml:space="preserve"> din Codul muncii.</w:t>
            </w:r>
          </w:p>
          <w:p w14:paraId="48602992"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Subliniem faptul că normele juridice respective sunt conforme prevederilor art. 8 și art. 9 din Convenția OIM nr. 132 cu privire la concediile plătite și chiar 7 depășesc standardele minime stabilite de acestea, fiind clare și ușor de înțeles, pentru orice subiect interesat, neavând nevoie de perfecționare. </w:t>
            </w:r>
          </w:p>
          <w:p w14:paraId="2C27A354"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Autorul proiectului de lege, propune însă, ca la alin. (5) al art. 115 și respectiv la alin. (3) al art. 118 din Codul muncii, textul „14 zile calendaristice” să fie substituit cu textul „două săptămâni lucrătoare de concediu neîntrerupt.”. </w:t>
            </w:r>
          </w:p>
          <w:p w14:paraId="07B18677"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În acest context, menționăm că, în eventualitatea adoptării modificării respective, aceasta va avea ca efect iminent aplicarea neuniformă a legislației, precum și discriminarea și tratamente diferențiate între salariați, întrucât Codul muncii prevede mai multe tipuri de săptămână de lucru: de 5 zile, de 6 zile, de 4 zile sau 4 zile și jumătate (</w:t>
            </w:r>
            <w:r>
              <w:rPr>
                <w:rFonts w:ascii="Times New Roman" w:eastAsia="Times New Roman" w:hAnsi="Times New Roman" w:cs="Times New Roman"/>
                <w:i/>
                <w:iCs/>
                <w:sz w:val="20"/>
                <w:szCs w:val="20"/>
                <w:highlight w:val="white"/>
              </w:rPr>
              <w:t>a se vedea art. 98 din Codul muncii</w:t>
            </w:r>
            <w:r>
              <w:rPr>
                <w:rFonts w:ascii="Times New Roman" w:eastAsia="Times New Roman" w:hAnsi="Times New Roman" w:cs="Times New Roman"/>
                <w:sz w:val="24"/>
                <w:szCs w:val="24"/>
                <w:highlight w:val="white"/>
              </w:rPr>
              <w:t xml:space="preserve">). </w:t>
            </w:r>
          </w:p>
          <w:p w14:paraId="40803881"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Pornind de la cele expuse, modificările propuse la alin. (5) al art. 115 și la alin. (3) al art. 118 din Codul muncii </w:t>
            </w:r>
            <w:r>
              <w:rPr>
                <w:rFonts w:ascii="Times New Roman" w:eastAsia="Times New Roman" w:hAnsi="Times New Roman" w:cs="Times New Roman"/>
                <w:sz w:val="24"/>
                <w:szCs w:val="24"/>
                <w:highlight w:val="white"/>
              </w:rPr>
              <w:lastRenderedPageBreak/>
              <w:t xml:space="preserve">nu pot fi susținute și se propune excluderea acestora sau revizuirea. </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12048C53"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Se acceptă, textul „2 săptămâni de concediu neîntrerupt” se substituie cu „10 zile lucrătoare”</w:t>
            </w:r>
          </w:p>
        </w:tc>
      </w:tr>
      <w:tr w:rsidR="00315874" w14:paraId="106FE23A" w14:textId="77777777">
        <w:trPr>
          <w:trHeight w:val="1350"/>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25C23A01"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2737FC53" w14:textId="77777777" w:rsidR="00315874" w:rsidRDefault="00315874">
            <w:pPr>
              <w:spacing w:line="240" w:lineRule="auto"/>
              <w:jc w:val="center"/>
              <w:rPr>
                <w:rFonts w:ascii="Times New Roman" w:eastAsia="Times New Roman" w:hAnsi="Times New Roman" w:cs="Times New Roman"/>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29D7CC54"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Afirmația din nota de fundamentare referitoare la „</w:t>
            </w:r>
            <w:r>
              <w:rPr>
                <w:rFonts w:ascii="Times New Roman" w:eastAsia="Times New Roman" w:hAnsi="Times New Roman" w:cs="Times New Roman"/>
                <w:i/>
                <w:iCs/>
                <w:sz w:val="24"/>
                <w:szCs w:val="24"/>
                <w:highlight w:val="white"/>
              </w:rPr>
              <w:t>acumularea unor solduri semnificative de concedii neutilizate</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b/>
                <w:bCs/>
                <w:sz w:val="24"/>
                <w:szCs w:val="24"/>
                <w:highlight w:val="white"/>
                <w:u w:val="single"/>
              </w:rPr>
              <w:t>demonstrează un deficit sistemic de personal operațional și o suprasolicitare a efectivului existent, nicidecum o rea-intenție sau un refuz al angajaților de a se odihni.</w:t>
            </w:r>
            <w:r>
              <w:rPr>
                <w:rFonts w:ascii="Times New Roman" w:eastAsia="Times New Roman" w:hAnsi="Times New Roman" w:cs="Times New Roman"/>
                <w:sz w:val="24"/>
                <w:szCs w:val="24"/>
                <w:highlight w:val="white"/>
              </w:rPr>
              <w:t xml:space="preserve"> Penalizarea acestora prin anularea dreptului la concediu pentru vechime în muncă este o măsură disproporționată, inechitabilă și de natură să accentueze problema funcțiilor vacante persistente. </w:t>
            </w:r>
          </w:p>
          <w:p w14:paraId="56C673A1"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Mai mult, deși proiectul majorează durata concediului de bază cu doar 4 zile, stabilind-o la 28 de zile lucrătoare, acesta conduce, concomitent, la eliminarea mecanismului actual de acordare a concediului suplimentar în funcție de vechimea în muncă. În consecință, se reduce diferențierea între personalul nouangajat și personalul care a acumulat o experiență profesională îndelungată în cadrul instituției, fiind afectat unul dintre instrumentele de stimulare și motivare a personalului. </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164EBB69"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 xml:space="preserve">Nu se acceptă. </w:t>
            </w:r>
          </w:p>
          <w:p w14:paraId="65786F67"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5856AE77"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Argumentele reiau, în esență, cele formulate de Centrul Național Anticorupție; poziția Ministerului este cea expusă la pct. 30 din prezenta Sinteză, aplicabilă mutatis mutandis.</w:t>
            </w:r>
          </w:p>
        </w:tc>
      </w:tr>
      <w:tr w:rsidR="00315874" w14:paraId="017ADACF" w14:textId="77777777">
        <w:trPr>
          <w:trHeight w:val="1350"/>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2F467A20"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3DC7FA29" w14:textId="77777777" w:rsidR="00315874" w:rsidRDefault="00315874">
            <w:pPr>
              <w:spacing w:line="240" w:lineRule="auto"/>
              <w:jc w:val="center"/>
              <w:rPr>
                <w:rFonts w:ascii="Times New Roman" w:eastAsia="Times New Roman" w:hAnsi="Times New Roman" w:cs="Times New Roman"/>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3BD4DD3F"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Activitatea de combatere a corupției este asociată în mod constant cu stres profesional ridicat, presiune operațională, termene procesuale restrictive și o responsabilitate sporită pentru rezultatele activității. În ultimii ani, conceptul de sănătate ocupațională și prevenire a sindromului de ardere profesională a devenit un element important al politicilor de resurse umane în instituțiile de aplicare a legii. Prin urmare, durata concediului anual trebuie analizată nu doar ca o garanție socială, ci și ca un instrument de menținere a capacității profesionale a personalului. </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7038985E"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 xml:space="preserve">Nu se acceptă. </w:t>
            </w:r>
          </w:p>
          <w:p w14:paraId="463A5039"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46248122"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Poziția Ministerului este cea expusă la pct. 30 (avizul Centrului Național Anticorupție) din prezenta Sinteză.</w:t>
            </w:r>
          </w:p>
        </w:tc>
      </w:tr>
      <w:tr w:rsidR="00315874" w14:paraId="77816975" w14:textId="77777777">
        <w:trPr>
          <w:trHeight w:val="1350"/>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6128E86D"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79698466" w14:textId="77777777" w:rsidR="00315874" w:rsidRDefault="00315874">
            <w:pPr>
              <w:spacing w:line="240" w:lineRule="auto"/>
              <w:jc w:val="center"/>
              <w:rPr>
                <w:rFonts w:ascii="Times New Roman" w:eastAsia="Times New Roman" w:hAnsi="Times New Roman" w:cs="Times New Roman"/>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60092A73"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Nota de fundamentare argumentează necesitatea uniformizării regimului concediilor pentru diferite categorii de personal, însă, nu conține o analiză  distinctă privind impactul eliminării concediilor suplimentare acordate pentru vechime în muncă funcționarilor publici cu statut special din cadrul MAI, ANP MJ, ofițerilor anticorupție din CNA, și nici o evaluare a efectelor asupra retenției personalului și continuității instituționale. </w:t>
            </w:r>
          </w:p>
          <w:p w14:paraId="5AAE5F1C"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În contextul renunțării la concediile suplimentare și având în vedere caracterul complex al atribuțiilor exercitate de categoriile enunțate de personal, gradul sporit de responsabilitate, nivelul ridicat de solicitare psihică și emoțională, precum și necesitatea menținerii unui corp profesional stabil și calificat, considerăm </w:t>
            </w:r>
            <w:r>
              <w:rPr>
                <w:rFonts w:ascii="Times New Roman" w:eastAsia="Times New Roman" w:hAnsi="Times New Roman" w:cs="Times New Roman"/>
                <w:sz w:val="24"/>
                <w:szCs w:val="24"/>
                <w:highlight w:val="white"/>
              </w:rPr>
              <w:lastRenderedPageBreak/>
              <w:t xml:space="preserve">imperioasă reexaminarea duratei concediului de odihnă anual prevăzute în proiectul de lege, prin majorarea acesteia pentru funcționarii publici cu statut special din cadrul MAI (art. 40 din Legea nr. 288 /2016); din cadrul ANP MJ ( art. 59 din Legea nr. 300/2017), ofițerii anticorupție din cadrul CNA (art. 43 din Legea nr. 1104/2002) de la 28 la 35 de zile lucrătoare. </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6E838D23"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 xml:space="preserve">Nu se acceptă. </w:t>
            </w:r>
          </w:p>
          <w:p w14:paraId="47CA5AFF"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3911B60A"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 se vedea răspunsul consolidat de la pct. 30 (Centrul Național Anticorupție) și de la punctul precedent din prezentul aviz.</w:t>
            </w:r>
          </w:p>
        </w:tc>
      </w:tr>
      <w:tr w:rsidR="00315874" w14:paraId="5FBC28FC" w14:textId="77777777">
        <w:trPr>
          <w:trHeight w:val="1350"/>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3AB7A6D0"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32875666" w14:textId="77777777" w:rsidR="00315874" w:rsidRDefault="00315874">
            <w:pPr>
              <w:spacing w:line="240" w:lineRule="auto"/>
              <w:jc w:val="center"/>
              <w:rPr>
                <w:rFonts w:ascii="Times New Roman" w:eastAsia="Times New Roman" w:hAnsi="Times New Roman" w:cs="Times New Roman"/>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0D0A62EC" w14:textId="77777777" w:rsidR="00315874" w:rsidRDefault="00000000">
            <w:pPr>
              <w:spacing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i/>
                <w:iCs/>
                <w:sz w:val="24"/>
                <w:szCs w:val="24"/>
                <w:highlight w:val="white"/>
              </w:rPr>
              <w:t xml:space="preserve">  Cu referire la aspectele de ordin general asupra propunerilor din proiectul de Lege</w:t>
            </w:r>
            <w:r>
              <w:rPr>
                <w:rFonts w:ascii="Times New Roman" w:eastAsia="Times New Roman" w:hAnsi="Times New Roman" w:cs="Times New Roman"/>
                <w:sz w:val="24"/>
                <w:szCs w:val="24"/>
                <w:highlight w:val="white"/>
              </w:rPr>
              <w:t>:</w:t>
            </w:r>
          </w:p>
          <w:p w14:paraId="62819F5F"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Obiecțiile enumerate supra, referitoare la neclaritatea mecanismului de calcul utilizat de autorii proiectului, în special, în ceea ce privește modalitatea de conversie a duratei concediului de odihnă din zile calendaristice în zile lucrătoare, sunt pe deplin valabile și modificărilor propuse în celelalte acte normative incluse în proiectul de lege supus avizării. </w:t>
            </w:r>
          </w:p>
          <w:p w14:paraId="21CBDCBA"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În special, atragem atenția asupra modificării propuse la alin. (1) al art. 29 din Legea nr. 544/1995 cu privire la statutul judecătorului (a se vedea Art. II) și anume, asupra faptului că 30 de zile calendaristice nu pot fi convertite, în niciun caz, în 32 de zile lucrătoare. </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24DF7D8D"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Nu se acceptă.</w:t>
            </w:r>
          </w:p>
          <w:p w14:paraId="2CE0439F"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328EE37C"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Durata de 32 de zile lucrătoare pentru judecători (art. II) nu este rezultatul aplicării unui coeficient proporțional de conversie, ci o durată stabilită direct de legiuitor, superioară duratei generale, în considerarea statutului constituțional al judecătorului (a se vedea pct. 8 din prezenta Sinteză). Nu orice durată din proiect rezultă dintr-o conversie matematică a duratei anterioare; unele durate au fost stabilite direct, ca opțiune de politică legislativă.</w:t>
            </w:r>
          </w:p>
          <w:p w14:paraId="2EB9D2C8"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29D8081E" w14:textId="77777777" w:rsidR="00315874" w:rsidRDefault="00315874">
            <w:pPr>
              <w:shd w:val="clear" w:color="auto" w:fill="FFFFFF"/>
              <w:jc w:val="both"/>
              <w:rPr>
                <w:rFonts w:ascii="Times New Roman" w:eastAsia="Times New Roman" w:hAnsi="Times New Roman" w:cs="Times New Roman"/>
                <w:sz w:val="24"/>
                <w:szCs w:val="24"/>
                <w:highlight w:val="white"/>
              </w:rPr>
            </w:pPr>
          </w:p>
        </w:tc>
      </w:tr>
      <w:tr w:rsidR="00315874" w14:paraId="2B875283" w14:textId="77777777">
        <w:trPr>
          <w:trHeight w:val="1350"/>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507D2D54"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6D40CAED" w14:textId="77777777" w:rsidR="00315874" w:rsidRDefault="00315874">
            <w:pPr>
              <w:spacing w:line="240" w:lineRule="auto"/>
              <w:jc w:val="center"/>
              <w:rPr>
                <w:rFonts w:ascii="Times New Roman" w:eastAsia="Times New Roman" w:hAnsi="Times New Roman" w:cs="Times New Roman"/>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69B5D703"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Reiterăm că, în eventualitatea adoptării proiectului de lege sus-menționat în varianta înaintată spre examinare, vor apărea dificultăți în procesul de aplicare și asigurare a respectării legislației muncii, în special, cum se va </w:t>
            </w:r>
            <w:r>
              <w:rPr>
                <w:rFonts w:ascii="Times New Roman" w:eastAsia="Times New Roman" w:hAnsi="Times New Roman" w:cs="Times New Roman"/>
                <w:sz w:val="24"/>
                <w:szCs w:val="24"/>
                <w:highlight w:val="white"/>
              </w:rPr>
              <w:lastRenderedPageBreak/>
              <w:t xml:space="preserve">proceda cu concediile de odihnă acumulate și neutilizate până la intrarea în vigoare a noilor prevederi legale. </w:t>
            </w:r>
          </w:p>
          <w:p w14:paraId="0006841B"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Potrivit alin. (2) al art. XX din proiectul de lege, zilele de concediu de odihnă anual acumulate/nefolosite de salariați, până la intrarea în vigoare a prezentei legi, vor fi acordate și calculate în zile calendaristice, în baza unei programări elaborate anual de angajator de comun acord cu salariații în condițiile Codului muncii, până la epuizarea soldului acestora. </w:t>
            </w:r>
          </w:p>
          <w:p w14:paraId="1506B682"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Pe lângă faptul că soluția respectivă, nu este susținută de argumente judicioase, este dificilă din punct de vedere practic (presupune aplicarea concomitentă a două metode distincte de calculare a concediului de odihnă anual) și o să genereze dificultăți semnificative pentru specialiștii din domeniul resurselor umane. În consecință, există riscul apariției aplicării neuniforme a legislației, ceea ce va afecta securitatea raporturilor juridice de muncă și va genera litigii individuale de muncă între salariați și angajatori. </w:t>
            </w:r>
          </w:p>
          <w:p w14:paraId="3D9463A2"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Devine necesară adaptarea sistemelor interne de administrare a resurselor umane și de salarizare, atât în unitățile din sectorul real, cât și în cele din sectorul bugetar, ceea ce va implica eforturi administrative suplimentare, costuri financiare adiționale și necesitatea instruirii personalului responsabil. </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00BF0D26"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 xml:space="preserve">Se acceptă, parțial. </w:t>
            </w:r>
          </w:p>
          <w:p w14:paraId="3C681D28"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013363C6"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 se vedea răspunsul consolidat de la pct. 3 (avizul Cancelariei de Stat), care reglementează expres regimul tranzitoriu, precum </w:t>
            </w:r>
            <w:r>
              <w:rPr>
                <w:rFonts w:ascii="Times New Roman" w:eastAsia="Times New Roman" w:hAnsi="Times New Roman" w:cs="Times New Roman"/>
                <w:sz w:val="24"/>
                <w:szCs w:val="24"/>
                <w:highlight w:val="white"/>
              </w:rPr>
              <w:lastRenderedPageBreak/>
              <w:t>și de la pct. 12 (avizul Asociației Businessului European), referitor la ordinea de utilizare a soldurilor.</w:t>
            </w:r>
          </w:p>
        </w:tc>
      </w:tr>
      <w:tr w:rsidR="00315874" w14:paraId="69499D21" w14:textId="77777777">
        <w:trPr>
          <w:trHeight w:val="1350"/>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70187132"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74BB8931" w14:textId="77777777" w:rsidR="00315874" w:rsidRDefault="00315874">
            <w:pPr>
              <w:spacing w:line="240" w:lineRule="auto"/>
              <w:jc w:val="center"/>
              <w:rPr>
                <w:rFonts w:ascii="Times New Roman" w:eastAsia="Times New Roman" w:hAnsi="Times New Roman" w:cs="Times New Roman"/>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598B0AB8"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Adițional, modificările propuse impun revizuirea unui număr semnificativ de acte normative interne, inclusiv regulamente interne, contracte colective de muncă, politici și proceduri de resurse umane, precum și adaptarea soluțiilor informatice utilizate pentru evidența timpului de muncă și a concediilor. Aceste măsuri vor genera eforturi administrative suplimentare, costuri financiare adiționale și impun instruirea personalului responsabil. </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462720AA"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Se acceptă, parțial.</w:t>
            </w:r>
          </w:p>
          <w:p w14:paraId="661D0235"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Costurile administrative de adaptare (regulamente interne, contracte colective, sisteme informatice) constituie un efect obișnuit, tranzitoriu, al oricărei modificări a regimului de calcul al concediilor și nu justifică, prin ele însele, renunțarea la reformă. </w:t>
            </w:r>
          </w:p>
          <w:p w14:paraId="01EA8D0A"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1E316DAF" w14:textId="77777777" w:rsidR="00315874" w:rsidRDefault="00315874">
            <w:pPr>
              <w:shd w:val="clear" w:color="auto" w:fill="FFFFFF"/>
              <w:jc w:val="both"/>
              <w:rPr>
                <w:rFonts w:ascii="Times New Roman" w:eastAsia="Times New Roman" w:hAnsi="Times New Roman" w:cs="Times New Roman"/>
                <w:sz w:val="24"/>
                <w:szCs w:val="24"/>
                <w:highlight w:val="white"/>
              </w:rPr>
            </w:pPr>
          </w:p>
        </w:tc>
      </w:tr>
      <w:tr w:rsidR="00315874" w14:paraId="3194AB35" w14:textId="77777777">
        <w:trPr>
          <w:trHeight w:val="1350"/>
        </w:trPr>
        <w:tc>
          <w:tcPr>
            <w:tcW w:w="735" w:type="dxa"/>
            <w:vMerge w:val="restart"/>
            <w:tcBorders>
              <w:top w:val="single" w:sz="6" w:space="0" w:color="999999"/>
              <w:left w:val="single" w:sz="6" w:space="0" w:color="999999"/>
              <w:bottom w:val="single" w:sz="6" w:space="0" w:color="999999"/>
              <w:right w:val="single" w:sz="6" w:space="0" w:color="999999"/>
            </w:tcBorders>
            <w:tcMar>
              <w:top w:w="0" w:type="dxa"/>
              <w:bottom w:w="0" w:type="dxa"/>
            </w:tcMar>
          </w:tcPr>
          <w:p w14:paraId="481DE191"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val="restart"/>
            <w:tcBorders>
              <w:top w:val="single" w:sz="6" w:space="0" w:color="999999"/>
              <w:left w:val="single" w:sz="6" w:space="0" w:color="999999"/>
              <w:bottom w:val="single" w:sz="6" w:space="0" w:color="999999"/>
              <w:right w:val="single" w:sz="6" w:space="0" w:color="999999"/>
            </w:tcBorders>
            <w:tcMar>
              <w:top w:w="0" w:type="dxa"/>
              <w:bottom w:w="0" w:type="dxa"/>
            </w:tcMar>
          </w:tcPr>
          <w:p w14:paraId="3D6344B4" w14:textId="77777777" w:rsidR="00315874" w:rsidRDefault="00315874">
            <w:pPr>
              <w:spacing w:line="240" w:lineRule="auto"/>
              <w:rPr>
                <w:rFonts w:ascii="Times New Roman" w:eastAsia="Times New Roman" w:hAnsi="Times New Roman" w:cs="Times New Roman"/>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244F7CBE"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Nu în ultimul rând, există riscul apariției unor interpretări divergente a noilor reglementări legale din partea angajatorilor, salariaților și autorităților de control, ceea ce va conduce la creșterea numărului de litigii individuale de muncă și a sarcinii administrative aferente soluționării acestora </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18714637"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Se acceptă, parțial.</w:t>
            </w:r>
          </w:p>
          <w:p w14:paraId="4C9F6081" w14:textId="77777777" w:rsidR="00315874" w:rsidRDefault="00315874">
            <w:pPr>
              <w:shd w:val="clear" w:color="auto" w:fill="FFFFFF"/>
              <w:jc w:val="both"/>
              <w:rPr>
                <w:rFonts w:ascii="Times New Roman" w:eastAsia="Times New Roman" w:hAnsi="Times New Roman" w:cs="Times New Roman"/>
                <w:b/>
                <w:bCs/>
                <w:sz w:val="24"/>
                <w:szCs w:val="24"/>
                <w:highlight w:val="white"/>
              </w:rPr>
            </w:pPr>
          </w:p>
          <w:p w14:paraId="19461B5E"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MMPS va acorda sprijin pentru angajatorii care au nevoie de suport în aplicarea noilor prevederi legale.</w:t>
            </w:r>
          </w:p>
        </w:tc>
      </w:tr>
      <w:tr w:rsidR="00315874" w14:paraId="3836DDDB" w14:textId="77777777">
        <w:trPr>
          <w:trHeight w:val="1350"/>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2F78E3BA"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4BC51762" w14:textId="77777777" w:rsidR="00315874" w:rsidRDefault="00315874">
            <w:pPr>
              <w:spacing w:line="240" w:lineRule="auto"/>
              <w:jc w:val="center"/>
              <w:rPr>
                <w:rFonts w:ascii="Times New Roman" w:eastAsia="Times New Roman" w:hAnsi="Times New Roman" w:cs="Times New Roman"/>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631EE902" w14:textId="77777777" w:rsidR="00315874" w:rsidRDefault="00000000">
            <w:pPr>
              <w:jc w:val="both"/>
              <w:rPr>
                <w:rFonts w:ascii="Times New Roman" w:eastAsia="Times New Roman" w:hAnsi="Times New Roman" w:cs="Times New Roman"/>
                <w:b/>
                <w:bCs/>
                <w:sz w:val="24"/>
                <w:szCs w:val="24"/>
                <w:highlight w:val="white"/>
                <w:u w:val="single"/>
              </w:rPr>
            </w:pPr>
            <w:r>
              <w:rPr>
                <w:rFonts w:ascii="Times New Roman" w:eastAsia="Times New Roman" w:hAnsi="Times New Roman" w:cs="Times New Roman"/>
                <w:sz w:val="24"/>
                <w:szCs w:val="24"/>
                <w:highlight w:val="white"/>
                <w:u w:val="single"/>
              </w:rPr>
              <w:t xml:space="preserve">  Proiectul de lege, care implică măsuri considerabile asupra dreptului la concediu de odihnă anual pentru întreaga forță de muncă din Republica Moldova, </w:t>
            </w:r>
            <w:r>
              <w:rPr>
                <w:rFonts w:ascii="Times New Roman" w:eastAsia="Times New Roman" w:hAnsi="Times New Roman" w:cs="Times New Roman"/>
                <w:b/>
                <w:bCs/>
                <w:sz w:val="24"/>
                <w:szCs w:val="24"/>
                <w:highlight w:val="white"/>
                <w:u w:val="single"/>
              </w:rPr>
              <w:t xml:space="preserve">nu constituie un compromis al partenerilor sociali (Guvern, Patronate Sindicate), nu are la bază o argumentare judicioasă bazată pe o analiză amplă, multiaspectuală și, mai cu seamă, nu are o expertiză a organismelor internaționale în domeniul muncii. </w:t>
            </w:r>
          </w:p>
          <w:p w14:paraId="33DDECD6" w14:textId="77777777" w:rsidR="00315874" w:rsidRDefault="00315874">
            <w:pPr>
              <w:jc w:val="both"/>
              <w:rPr>
                <w:rFonts w:ascii="Times New Roman" w:eastAsia="Times New Roman" w:hAnsi="Times New Roman" w:cs="Times New Roman"/>
                <w:b/>
                <w:bCs/>
                <w:sz w:val="24"/>
                <w:szCs w:val="24"/>
                <w:highlight w:val="white"/>
                <w:u w:val="single"/>
              </w:rPr>
            </w:pPr>
          </w:p>
          <w:p w14:paraId="63D391ED"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 xml:space="preserve">  Având în vedere, multitudinea considerentelor enumerate, sindicatele se pronunță împotriva proiectului de lege, în varianta propusă spre examinare și propun, </w:t>
            </w:r>
            <w:r>
              <w:rPr>
                <w:rFonts w:ascii="Times New Roman" w:eastAsia="Times New Roman" w:hAnsi="Times New Roman" w:cs="Times New Roman"/>
                <w:b/>
                <w:bCs/>
                <w:sz w:val="24"/>
                <w:szCs w:val="24"/>
                <w:highlight w:val="white"/>
                <w:u w:val="single"/>
              </w:rPr>
              <w:t>revizuirea acestuia, în cadrul grupului de lucru tripartit sub egida Ministerului Muncii și Protecției Sociale, pentru identificarea unor soluții normative reciproc acceptabile, prin prisma normelor internaționale și a intereselor tuturor părţilor raporturilor de muncă, bazate pe opinia expertizei OIM, în scopul asigurării unui echilibru al intereselor partenerilor sociali.</w:t>
            </w:r>
            <w:r>
              <w:rPr>
                <w:rFonts w:ascii="Times New Roman" w:eastAsia="Times New Roman" w:hAnsi="Times New Roman" w:cs="Times New Roman"/>
                <w:sz w:val="24"/>
                <w:szCs w:val="24"/>
                <w:highlight w:val="white"/>
              </w:rPr>
              <w:t xml:space="preserve"> </w:t>
            </w:r>
          </w:p>
          <w:p w14:paraId="4692162D"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În cazul ignorării propunerii sindicatelor, ne rezervăm dreptul de a sesiza Organizația Internațională a Muncii, precum și alte organisme internaționale, pentru a raporta contradicțiile dintre cadrul legal național cu normele dreptului internațional la care Republica Moldova este parte, în vederea asigurării respectării drepturilor și intereselor de muncă ale salariaților. </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6D699775"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Nu se acceptă.</w:t>
            </w:r>
          </w:p>
          <w:p w14:paraId="06E45EEA"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Proiectul a fost transmis spre avizare tuturor autorităților și partenerilor sociali relevanți, iar prezenta Sinteză reflectă examinarea punctuală a tuturor observațiilor și obiecțiilor formulate, inclusiv de partenerii sociali. Ministerul rămâne deschis dialogului tripartit pe parcursul procesului legislativ ulterior, însă consideră că obiectivele reformei — uniformizarea regimului concediilor și asigurarea sustenabilității bugetare — rămân necesare și fundamentate, pentru considerentele expuse punctual la fiecare dintre </w:t>
            </w:r>
            <w:r>
              <w:rPr>
                <w:rFonts w:ascii="Times New Roman" w:eastAsia="Times New Roman" w:hAnsi="Times New Roman" w:cs="Times New Roman"/>
                <w:sz w:val="24"/>
                <w:szCs w:val="24"/>
                <w:highlight w:val="white"/>
              </w:rPr>
              <w:lastRenderedPageBreak/>
              <w:t xml:space="preserve">observațiile CNSM din prezenta Sinteză (pct. 33). Dreptul sindicatelor de a se adresa Organizației Internaționale a Muncii este un drept legitim, pe care Ministerul nu îl contestă; </w:t>
            </w:r>
          </w:p>
          <w:p w14:paraId="0219F0C8" w14:textId="77777777" w:rsidR="00315874" w:rsidRDefault="00315874">
            <w:pPr>
              <w:shd w:val="clear" w:color="auto" w:fill="FFFFFF"/>
              <w:jc w:val="both"/>
              <w:rPr>
                <w:rFonts w:ascii="Times New Roman" w:eastAsia="Times New Roman" w:hAnsi="Times New Roman" w:cs="Times New Roman"/>
                <w:sz w:val="24"/>
                <w:szCs w:val="24"/>
                <w:highlight w:val="white"/>
              </w:rPr>
            </w:pPr>
          </w:p>
        </w:tc>
      </w:tr>
      <w:tr w:rsidR="00315874" w14:paraId="67EB8A09" w14:textId="77777777">
        <w:trPr>
          <w:trHeight w:val="1215"/>
        </w:trPr>
        <w:tc>
          <w:tcPr>
            <w:tcW w:w="735" w:type="dxa"/>
            <w:vMerge w:val="restart"/>
            <w:tcBorders>
              <w:top w:val="single" w:sz="6" w:space="0" w:color="999999"/>
              <w:left w:val="single" w:sz="6" w:space="0" w:color="999999"/>
              <w:bottom w:val="single" w:sz="6" w:space="0" w:color="999999"/>
              <w:right w:val="single" w:sz="6" w:space="0" w:color="999999"/>
            </w:tcBorders>
            <w:tcMar>
              <w:top w:w="0" w:type="dxa"/>
              <w:bottom w:w="0" w:type="dxa"/>
            </w:tcMar>
          </w:tcPr>
          <w:p w14:paraId="2BE9F30E" w14:textId="77777777" w:rsidR="00315874"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34.</w:t>
            </w:r>
          </w:p>
        </w:tc>
        <w:tc>
          <w:tcPr>
            <w:tcW w:w="2835" w:type="dxa"/>
            <w:vMerge w:val="restart"/>
            <w:tcBorders>
              <w:top w:val="single" w:sz="6" w:space="0" w:color="999999"/>
              <w:left w:val="single" w:sz="6" w:space="0" w:color="999999"/>
              <w:bottom w:val="single" w:sz="6" w:space="0" w:color="999999"/>
              <w:right w:val="single" w:sz="6" w:space="0" w:color="999999"/>
            </w:tcBorders>
            <w:tcMar>
              <w:top w:w="0" w:type="dxa"/>
              <w:bottom w:w="0" w:type="dxa"/>
            </w:tcMar>
          </w:tcPr>
          <w:p w14:paraId="491E180F" w14:textId="77777777" w:rsidR="00315874" w:rsidRDefault="00000000">
            <w:pPr>
              <w:ind w:left="14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Confederația Națională a Patronatului din Republica Moldova</w:t>
            </w:r>
          </w:p>
          <w:p w14:paraId="228DC53A" w14:textId="77777777" w:rsidR="00315874" w:rsidRDefault="00000000">
            <w:pPr>
              <w:ind w:left="140"/>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Nr. 05/1-60 din 03.07.2026</w:t>
            </w: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33D40A61"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 examinat proiectul de lege pentru modificarea unoer acte normative (consolidarea cadrului normativ privind garanțiile sociale) și comunică următoarele:</w:t>
            </w:r>
          </w:p>
          <w:p w14:paraId="689EE994"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Acest pachet legislativ, care urmează să intre în vigoare la 1 ianuarie 2027, constituie o armonizare majoră a reglementărilor privind concediul anual și garanțiile sociale în toate sectoarele din Republica Moldova.</w:t>
            </w:r>
          </w:p>
          <w:p w14:paraId="3373B167"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 xml:space="preserve"> Acesta înlocuiește practica actuală de numărare a concediului în zile calendaristice cu un nou regim bazat pe zile lucrătoare, aliniază Republica Moldova la standardele UE și OIM (în special Directiva 2003/88/CE și Convenția OIM nr. 132) și impune reguli mai stricte și disciplină bugetară atât angajatorilor din sectorul public, cât și celor din sectorul privat.</w:t>
            </w:r>
          </w:p>
          <w:p w14:paraId="78697FB3"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În opinia CNPM, care reprezintă aproape toate industriile, aceste revizuiri afectează atât politica internă a angajatorilor, cât și practicile de negociere colectivă la nivel de sector. Legea oficializează, de asemenea avize consultative ale la Ministerului Finanțelor înainte de inițierea negocierilor colective în sectorul public, având un impact direct asupra modalităților de susținere, reprezentare și negociere. Vor exista consecințe financiare, administrative și de gestionare a resurselor umane măsurabile - în principal, creșterea răspunderii salariale legate de concedii și o rigiditate mai mare în practicile de conformitate și salarizare. </w:t>
            </w:r>
          </w:p>
          <w:p w14:paraId="0254FA94"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 </w:t>
            </w:r>
            <w:r>
              <w:rPr>
                <w:rFonts w:ascii="Times New Roman" w:eastAsia="Times New Roman" w:hAnsi="Times New Roman" w:cs="Times New Roman"/>
                <w:b/>
                <w:bCs/>
                <w:sz w:val="24"/>
                <w:szCs w:val="24"/>
                <w:highlight w:val="white"/>
              </w:rPr>
              <w:t>Ce se schimbă:</w:t>
            </w:r>
            <w:r>
              <w:rPr>
                <w:rFonts w:ascii="Times New Roman" w:eastAsia="Times New Roman" w:hAnsi="Times New Roman" w:cs="Times New Roman"/>
                <w:sz w:val="24"/>
                <w:szCs w:val="24"/>
                <w:highlight w:val="white"/>
              </w:rPr>
              <w:t xml:space="preserve"> Codul Muncii și o serie de legi speciale pentru a:</w:t>
            </w:r>
          </w:p>
          <w:p w14:paraId="111DBFAF"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o Redefini toate tipurile de drepturi la concediu anual (și suplimentar) de la </w:t>
            </w:r>
            <w:r>
              <w:rPr>
                <w:rFonts w:ascii="Times New Roman" w:eastAsia="Times New Roman" w:hAnsi="Times New Roman" w:cs="Times New Roman"/>
                <w:i/>
                <w:iCs/>
                <w:sz w:val="24"/>
                <w:szCs w:val="24"/>
                <w:highlight w:val="white"/>
              </w:rPr>
              <w:t>„zile calendaristice”</w:t>
            </w:r>
            <w:r>
              <w:rPr>
                <w:rFonts w:ascii="Times New Roman" w:eastAsia="Times New Roman" w:hAnsi="Times New Roman" w:cs="Times New Roman"/>
                <w:sz w:val="24"/>
                <w:szCs w:val="24"/>
                <w:highlight w:val="white"/>
              </w:rPr>
              <w:t xml:space="preserve"> la </w:t>
            </w:r>
            <w:r>
              <w:rPr>
                <w:rFonts w:ascii="Times New Roman" w:eastAsia="Times New Roman" w:hAnsi="Times New Roman" w:cs="Times New Roman"/>
                <w:i/>
                <w:iCs/>
                <w:sz w:val="24"/>
                <w:szCs w:val="24"/>
                <w:highlight w:val="white"/>
              </w:rPr>
              <w:t>„zile lucrătoare”</w:t>
            </w:r>
            <w:r>
              <w:rPr>
                <w:rFonts w:ascii="Times New Roman" w:eastAsia="Times New Roman" w:hAnsi="Times New Roman" w:cs="Times New Roman"/>
                <w:sz w:val="24"/>
                <w:szCs w:val="24"/>
                <w:highlight w:val="white"/>
              </w:rPr>
              <w:t>.</w:t>
            </w:r>
          </w:p>
          <w:p w14:paraId="3D4F4DBB"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 xml:space="preserve"> o Standardiza concediului anual plătit minim în sectorul privat la 22 de zile lucrătoare (anterior 28 de zile calendaristice).</w:t>
            </w:r>
          </w:p>
          <w:p w14:paraId="2665CF69"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o Insera categoriile speciale (funcționari publici, profesori etc.), concediile sunt, de asemenea, recalculate, de obicei reduse atunci când sunt convertite în zile lucrătoare, iar zilele de concediu </w:t>
            </w:r>
            <w:r>
              <w:rPr>
                <w:rFonts w:ascii="Times New Roman" w:eastAsia="Times New Roman" w:hAnsi="Times New Roman" w:cs="Times New Roman"/>
                <w:i/>
                <w:iCs/>
                <w:sz w:val="24"/>
                <w:szCs w:val="24"/>
                <w:highlight w:val="white"/>
              </w:rPr>
              <w:t>„aferente bonusului de vechime”</w:t>
            </w:r>
            <w:r>
              <w:rPr>
                <w:rFonts w:ascii="Times New Roman" w:eastAsia="Times New Roman" w:hAnsi="Times New Roman" w:cs="Times New Roman"/>
                <w:sz w:val="24"/>
                <w:szCs w:val="24"/>
                <w:highlight w:val="white"/>
              </w:rPr>
              <w:t xml:space="preserve"> sunt eliminate pentru majoritatea grupurilor.</w:t>
            </w:r>
          </w:p>
          <w:p w14:paraId="2AD2A5C5"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o Concediul plătit poate fi împărțit, cu o porțiune de cel puțin două săptămâni de lucru neîntrerupte.</w:t>
            </w:r>
          </w:p>
          <w:p w14:paraId="6E2E3A00"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o Toate contractele colective din sectorul public necesită consultări prenegociere cu Ministerul Finanțelor privind resursele bugetare disponibile și sustenabile.</w:t>
            </w:r>
          </w:p>
          <w:p w14:paraId="7E73FE1E" w14:textId="77777777" w:rsidR="00315874" w:rsidRDefault="00000000">
            <w:pPr>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sz w:val="24"/>
                <w:szCs w:val="24"/>
                <w:highlight w:val="white"/>
              </w:rPr>
              <w:t xml:space="preserve">  • </w:t>
            </w:r>
            <w:r>
              <w:rPr>
                <w:rFonts w:ascii="Times New Roman" w:eastAsia="Times New Roman" w:hAnsi="Times New Roman" w:cs="Times New Roman"/>
                <w:b/>
                <w:bCs/>
                <w:sz w:val="24"/>
                <w:szCs w:val="24"/>
                <w:highlight w:val="white"/>
              </w:rPr>
              <w:t>Ce legislație este modificată:</w:t>
            </w:r>
          </w:p>
          <w:p w14:paraId="42E8C94C"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 </w:t>
            </w:r>
            <w:r>
              <w:rPr>
                <w:rFonts w:ascii="Times New Roman" w:eastAsia="Times New Roman" w:hAnsi="Times New Roman" w:cs="Times New Roman"/>
                <w:sz w:val="24"/>
                <w:szCs w:val="24"/>
                <w:highlight w:val="white"/>
              </w:rPr>
              <w:t>o Codul Muncii nr. 154/2003, și peste 15 legi sectoriale specifice care acoperă funcționarii publici, sistemul judiciar, vama, poliția, armata, educația, anticorupția și multe altele.</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777F40F2"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Se ia act.</w:t>
            </w:r>
          </w:p>
        </w:tc>
      </w:tr>
      <w:tr w:rsidR="00315874" w14:paraId="230D4198" w14:textId="77777777">
        <w:trPr>
          <w:trHeight w:val="1215"/>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521B5A81"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7E6BDB87" w14:textId="77777777" w:rsidR="00315874" w:rsidRDefault="00315874">
            <w:pPr>
              <w:spacing w:line="240" w:lineRule="auto"/>
              <w:rPr>
                <w:rFonts w:ascii="Times New Roman" w:eastAsia="Times New Roman" w:hAnsi="Times New Roman" w:cs="Times New Roman"/>
                <w:b/>
                <w:bCs/>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0AD1D3FD" w14:textId="77777777" w:rsidR="00315874" w:rsidRDefault="00000000">
            <w:pPr>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 xml:space="preserve">   Oportunități pentru CNPM și companiile membre</w:t>
            </w:r>
          </w:p>
          <w:p w14:paraId="2EBE53D3" w14:textId="77777777" w:rsidR="00315874" w:rsidRDefault="00000000">
            <w:pPr>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 xml:space="preserve">   Oportunitate</w:t>
            </w:r>
          </w:p>
          <w:p w14:paraId="56A280FF"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b/>
                <w:bCs/>
                <w:sz w:val="24"/>
                <w:szCs w:val="24"/>
                <w:highlight w:val="white"/>
              </w:rPr>
              <w:t>Claritate și predictibilitate:</w:t>
            </w:r>
            <w:r>
              <w:rPr>
                <w:rFonts w:ascii="Times New Roman" w:eastAsia="Times New Roman" w:hAnsi="Times New Roman" w:cs="Times New Roman"/>
                <w:sz w:val="24"/>
                <w:szCs w:val="24"/>
                <w:highlight w:val="white"/>
              </w:rPr>
              <w:t xml:space="preserve"> Calculul standard în zile lucrătoare elimină ambiguitatea la planificarea concediilor și calcularea salarizării în diverse industrii.</w:t>
            </w:r>
          </w:p>
          <w:p w14:paraId="333B8B15"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b/>
                <w:bCs/>
                <w:sz w:val="24"/>
                <w:szCs w:val="24"/>
                <w:highlight w:val="white"/>
              </w:rPr>
              <w:t>Analiză comparativă și aliniere</w:t>
            </w:r>
            <w:r>
              <w:rPr>
                <w:rFonts w:ascii="Times New Roman" w:eastAsia="Times New Roman" w:hAnsi="Times New Roman" w:cs="Times New Roman"/>
                <w:sz w:val="24"/>
                <w:szCs w:val="24"/>
                <w:highlight w:val="white"/>
              </w:rPr>
              <w:t xml:space="preserve">: Alinierea strictă la normele UE sporește credibilitatea internațională a </w:t>
            </w:r>
            <w:r>
              <w:rPr>
                <w:rFonts w:ascii="Times New Roman" w:eastAsia="Times New Roman" w:hAnsi="Times New Roman" w:cs="Times New Roman"/>
                <w:sz w:val="24"/>
                <w:szCs w:val="24"/>
                <w:highlight w:val="white"/>
              </w:rPr>
              <w:lastRenderedPageBreak/>
              <w:t>Republicii Moldova și ajută companiile multinaționale să își alinieze standardele de resurse umane, facilitând activitatea transfrontalieră.</w:t>
            </w:r>
          </w:p>
          <w:p w14:paraId="0E53734F"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b/>
                <w:bCs/>
                <w:sz w:val="24"/>
                <w:szCs w:val="24"/>
                <w:highlight w:val="white"/>
              </w:rPr>
              <w:t>Reducerea litigiilor administrative</w:t>
            </w:r>
            <w:r>
              <w:rPr>
                <w:rFonts w:ascii="Times New Roman" w:eastAsia="Times New Roman" w:hAnsi="Times New Roman" w:cs="Times New Roman"/>
                <w:sz w:val="24"/>
                <w:szCs w:val="24"/>
                <w:highlight w:val="white"/>
              </w:rPr>
              <w:t>: Noul regim minimizează riscurile de litigii privind calcularea concediilor, sprijinind standardizarea resurselor umane în cadrul companiilor membre.</w:t>
            </w:r>
          </w:p>
          <w:p w14:paraId="327B4689"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b/>
                <w:bCs/>
                <w:sz w:val="24"/>
                <w:szCs w:val="24"/>
                <w:highlight w:val="white"/>
              </w:rPr>
              <w:t>Flexibilitate în gestionarea concediilor:</w:t>
            </w:r>
            <w:r>
              <w:rPr>
                <w:rFonts w:ascii="Times New Roman" w:eastAsia="Times New Roman" w:hAnsi="Times New Roman" w:cs="Times New Roman"/>
                <w:sz w:val="24"/>
                <w:szCs w:val="24"/>
                <w:highlight w:val="white"/>
              </w:rPr>
              <w:t xml:space="preserve"> Companiile pot beneficia de o programare mai stabilă, deoarece împărțirea concediilor trebuie să includă cel puțin o perioadă de lucru neîntreruptă de două săptămâni, facilitând planificarea forței de muncă.</w:t>
            </w:r>
          </w:p>
          <w:p w14:paraId="3E4DCF62"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b/>
                <w:bCs/>
                <w:sz w:val="24"/>
                <w:szCs w:val="24"/>
                <w:highlight w:val="white"/>
              </w:rPr>
              <w:t>Gestionare mai simplă a contractelor</w:t>
            </w:r>
            <w:r>
              <w:rPr>
                <w:rFonts w:ascii="Times New Roman" w:eastAsia="Times New Roman" w:hAnsi="Times New Roman" w:cs="Times New Roman"/>
                <w:sz w:val="24"/>
                <w:szCs w:val="24"/>
                <w:highlight w:val="white"/>
              </w:rPr>
              <w:t>: Standardele minime uniforme reduc necesitatea personalizării politicilor de resurse umane ale companiei, indiferent de sector.</w:t>
            </w:r>
          </w:p>
          <w:p w14:paraId="4A19C5BB" w14:textId="77777777" w:rsidR="00315874" w:rsidRDefault="00000000">
            <w:pPr>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b/>
                <w:bCs/>
                <w:sz w:val="24"/>
                <w:szCs w:val="24"/>
                <w:highlight w:val="white"/>
              </w:rPr>
              <w:t>Riscuri sau amenințări pentru EMBO și companiile membre</w:t>
            </w:r>
          </w:p>
          <w:p w14:paraId="59C37CAF" w14:textId="77777777" w:rsidR="00315874" w:rsidRDefault="00000000">
            <w:pPr>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 xml:space="preserve">  Risc/Amenințare:</w:t>
            </w:r>
          </w:p>
          <w:p w14:paraId="3B93390A"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b/>
                <w:bCs/>
                <w:sz w:val="24"/>
                <w:szCs w:val="24"/>
                <w:highlight w:val="white"/>
              </w:rPr>
              <w:t>Creșterea datoriilor salariale:</w:t>
            </w:r>
            <w:r>
              <w:rPr>
                <w:rFonts w:ascii="Times New Roman" w:eastAsia="Times New Roman" w:hAnsi="Times New Roman" w:cs="Times New Roman"/>
                <w:sz w:val="24"/>
                <w:szCs w:val="24"/>
                <w:highlight w:val="white"/>
              </w:rPr>
              <w:t xml:space="preserve"> Întrucât concediul este acum luat în considerare doar în zilele lucrătoare (cu excepția weekendurilor/sărbătorilor legale), angajații vor lipsi efectiv de la muncă mai multe zile reale pe an, ceea ce va duce la creșterea costurilor salariale directe aferente </w:t>
            </w:r>
            <w:r>
              <w:rPr>
                <w:rFonts w:ascii="Times New Roman" w:eastAsia="Times New Roman" w:hAnsi="Times New Roman" w:cs="Times New Roman"/>
                <w:sz w:val="24"/>
                <w:szCs w:val="24"/>
                <w:highlight w:val="white"/>
              </w:rPr>
              <w:lastRenderedPageBreak/>
              <w:t>concediului plătit (o creștere de până la ~11% în funcție de modelul de programare).</w:t>
            </w:r>
          </w:p>
          <w:p w14:paraId="1A000AF4"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b/>
                <w:bCs/>
                <w:sz w:val="24"/>
                <w:szCs w:val="24"/>
                <w:highlight w:val="white"/>
              </w:rPr>
              <w:t>Gestionarea complexă a retroactivității:</w:t>
            </w:r>
            <w:r>
              <w:rPr>
                <w:rFonts w:ascii="Times New Roman" w:eastAsia="Times New Roman" w:hAnsi="Times New Roman" w:cs="Times New Roman"/>
                <w:sz w:val="24"/>
                <w:szCs w:val="24"/>
                <w:highlight w:val="white"/>
              </w:rPr>
              <w:t xml:space="preserve"> Angajatorii trebuie să mențină două sisteme paralele de urmărire a concediilor („zile calendaristice” pentru soldurile acumulate înainte de 2027, „zile lucrătoare” după 2027) până la epuizarea tuturor soldurilor acumulate.</w:t>
            </w:r>
          </w:p>
          <w:p w14:paraId="0EB0EFB6"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b/>
                <w:bCs/>
                <w:sz w:val="24"/>
                <w:szCs w:val="24"/>
                <w:highlight w:val="white"/>
              </w:rPr>
              <w:t>Costuri de adaptare a resurselor umane și a salarizării</w:t>
            </w:r>
            <w:r>
              <w:rPr>
                <w:rFonts w:ascii="Times New Roman" w:eastAsia="Times New Roman" w:hAnsi="Times New Roman" w:cs="Times New Roman"/>
                <w:sz w:val="24"/>
                <w:szCs w:val="24"/>
                <w:highlight w:val="white"/>
              </w:rPr>
              <w:t>: Toate platformele de salarizare/calcul trebuie actualizate pentru noua metodă de calcul, ceea ce necesită investiții din partea întregii baze de membri (cu impact deosebit asupra IMM-urilor).</w:t>
            </w:r>
          </w:p>
          <w:p w14:paraId="34E8CE04"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b/>
                <w:bCs/>
                <w:sz w:val="24"/>
                <w:szCs w:val="24"/>
                <w:highlight w:val="white"/>
              </w:rPr>
              <w:t>Manevre reduse de negociere în contractele colective de muncă din sectorul public:</w:t>
            </w:r>
            <w:r>
              <w:rPr>
                <w:rFonts w:ascii="Times New Roman" w:eastAsia="Times New Roman" w:hAnsi="Times New Roman" w:cs="Times New Roman"/>
                <w:sz w:val="24"/>
                <w:szCs w:val="24"/>
                <w:highlight w:val="white"/>
              </w:rPr>
              <w:t xml:space="preserve"> Toate negocierile colective la nivel sectorial/teritorial din sectorul public sunt acum supuse verificării prealabile a Ministerului Finanțelor, erodând flexibilitatea de negociere și subminând potențial efectul de levier al dialogului, în special pentru subiecte legate de salarii și beneficii.</w:t>
            </w:r>
          </w:p>
          <w:p w14:paraId="6234526E"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b/>
                <w:bCs/>
                <w:sz w:val="24"/>
                <w:szCs w:val="24"/>
                <w:highlight w:val="white"/>
              </w:rPr>
              <w:t xml:space="preserve"> Potențial de nemulțumire internă</w:t>
            </w:r>
            <w:r>
              <w:rPr>
                <w:rFonts w:ascii="Times New Roman" w:eastAsia="Times New Roman" w:hAnsi="Times New Roman" w:cs="Times New Roman"/>
                <w:sz w:val="24"/>
                <w:szCs w:val="24"/>
                <w:highlight w:val="white"/>
              </w:rPr>
              <w:t>: Unii angajați pot percepe schimbarea ca reducând beneficiile, în special în cazul în care drepturile la concediu specifice sectorului sunt simplificate sau reduse, punând presiune asupra comunicării.</w:t>
            </w:r>
          </w:p>
          <w:p w14:paraId="0C4B4425"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 xml:space="preserve">  </w:t>
            </w:r>
            <w:r>
              <w:rPr>
                <w:rFonts w:ascii="Times New Roman" w:eastAsia="Times New Roman" w:hAnsi="Times New Roman" w:cs="Times New Roman"/>
                <w:b/>
                <w:bCs/>
                <w:sz w:val="24"/>
                <w:szCs w:val="24"/>
                <w:highlight w:val="white"/>
              </w:rPr>
              <w:t>Confuzie administrativă în timpul tranziției:</w:t>
            </w:r>
            <w:r>
              <w:rPr>
                <w:rFonts w:ascii="Times New Roman" w:eastAsia="Times New Roman" w:hAnsi="Times New Roman" w:cs="Times New Roman"/>
                <w:sz w:val="24"/>
                <w:szCs w:val="24"/>
                <w:highlight w:val="white"/>
              </w:rPr>
              <w:t xml:space="preserve"> Faza de tranziție (2027–2029) poate cauza confuzie/fricțiuni între departamentele de resurse umane și angajați în ceea ce privește calcularea diferitelor tipuri de concediu (vechea „zi calendaristică” și noua „zi lucrătoare”). </w:t>
            </w:r>
          </w:p>
          <w:p w14:paraId="3E81EE6C" w14:textId="77777777" w:rsidR="00315874" w:rsidRDefault="00000000">
            <w:pPr>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b/>
                <w:bCs/>
                <w:sz w:val="24"/>
                <w:szCs w:val="24"/>
                <w:highlight w:val="white"/>
              </w:rPr>
              <w:t>Impact direct și instituțional asupra companiilor membre</w:t>
            </w:r>
          </w:p>
          <w:p w14:paraId="19A47ACE"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b/>
                <w:bCs/>
                <w:sz w:val="24"/>
                <w:szCs w:val="24"/>
                <w:highlight w:val="white"/>
              </w:rPr>
              <w:t>Pentru companii (toate sectoarele, toate dimensiunile):</w:t>
            </w:r>
            <w:r>
              <w:rPr>
                <w:rFonts w:ascii="Times New Roman" w:eastAsia="Times New Roman" w:hAnsi="Times New Roman" w:cs="Times New Roman"/>
                <w:sz w:val="24"/>
                <w:szCs w:val="24"/>
                <w:highlight w:val="white"/>
              </w:rPr>
              <w:t xml:space="preserve"> </w:t>
            </w:r>
          </w:p>
          <w:p w14:paraId="5607F4F2"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b/>
                <w:bCs/>
                <w:sz w:val="24"/>
                <w:szCs w:val="24"/>
                <w:highlight w:val="white"/>
              </w:rPr>
              <w:t xml:space="preserve"> Salarizare și resurse umane:</w:t>
            </w:r>
            <w:r>
              <w:rPr>
                <w:rFonts w:ascii="Times New Roman" w:eastAsia="Times New Roman" w:hAnsi="Times New Roman" w:cs="Times New Roman"/>
                <w:sz w:val="24"/>
                <w:szCs w:val="24"/>
                <w:highlight w:val="white"/>
              </w:rPr>
              <w:t xml:space="preserve"> Absențele plătite din concediul anual vor însemna acum un număr mai mare de zile nelucrătoare efective per angajat pe an (deoarece weekendurile nu se iau în considerare la calcularea dreptului la concediu), crescând costurile și cerințele de realocare a sarcinilor de muncă.</w:t>
            </w:r>
          </w:p>
          <w:p w14:paraId="0A4CC607"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 </w:t>
            </w:r>
            <w:r>
              <w:rPr>
                <w:rFonts w:ascii="Times New Roman" w:eastAsia="Times New Roman" w:hAnsi="Times New Roman" w:cs="Times New Roman"/>
                <w:b/>
                <w:bCs/>
                <w:sz w:val="24"/>
                <w:szCs w:val="24"/>
                <w:highlight w:val="white"/>
              </w:rPr>
              <w:t xml:space="preserve">Software și procese: </w:t>
            </w:r>
            <w:r>
              <w:rPr>
                <w:rFonts w:ascii="Times New Roman" w:eastAsia="Times New Roman" w:hAnsi="Times New Roman" w:cs="Times New Roman"/>
                <w:sz w:val="24"/>
                <w:szCs w:val="24"/>
                <w:highlight w:val="white"/>
              </w:rPr>
              <w:t>Toate sistemele de resurse umane/salarizare (inclusiv pentru IMMuri) vor necesita reconfigurare; este necesară instruire suplimentară în domeniul resurselor umane privind politicile de concediu.</w:t>
            </w:r>
          </w:p>
          <w:p w14:paraId="3E55B36A"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 </w:t>
            </w:r>
            <w:r>
              <w:rPr>
                <w:rFonts w:ascii="Times New Roman" w:eastAsia="Times New Roman" w:hAnsi="Times New Roman" w:cs="Times New Roman"/>
                <w:b/>
                <w:bCs/>
                <w:sz w:val="24"/>
                <w:szCs w:val="24"/>
                <w:highlight w:val="white"/>
              </w:rPr>
              <w:t>Conformitate tranzitorie:</w:t>
            </w:r>
            <w:r>
              <w:rPr>
                <w:rFonts w:ascii="Times New Roman" w:eastAsia="Times New Roman" w:hAnsi="Times New Roman" w:cs="Times New Roman"/>
                <w:sz w:val="24"/>
                <w:szCs w:val="24"/>
                <w:highlight w:val="white"/>
              </w:rPr>
              <w:t xml:space="preserve"> Regulamentul intern și contractele de muncă trebuie actualizate rapid. Se anticipează că urmărirea paralelă tranzitorie a concediilor va crea povară administrativă.</w:t>
            </w:r>
          </w:p>
          <w:p w14:paraId="78D0BE2C"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 </w:t>
            </w:r>
            <w:r>
              <w:rPr>
                <w:rFonts w:ascii="Times New Roman" w:eastAsia="Times New Roman" w:hAnsi="Times New Roman" w:cs="Times New Roman"/>
                <w:b/>
                <w:bCs/>
                <w:sz w:val="24"/>
                <w:szCs w:val="24"/>
                <w:highlight w:val="white"/>
              </w:rPr>
              <w:t>Dialog și reprezentare:</w:t>
            </w:r>
            <w:r>
              <w:rPr>
                <w:rFonts w:ascii="Times New Roman" w:eastAsia="Times New Roman" w:hAnsi="Times New Roman" w:cs="Times New Roman"/>
                <w:sz w:val="24"/>
                <w:szCs w:val="24"/>
                <w:highlight w:val="white"/>
              </w:rPr>
              <w:t xml:space="preserve"> Pentru companiile care participă la contracte colective sectoriale — în special </w:t>
            </w:r>
            <w:r>
              <w:rPr>
                <w:rFonts w:ascii="Times New Roman" w:eastAsia="Times New Roman" w:hAnsi="Times New Roman" w:cs="Times New Roman"/>
                <w:sz w:val="24"/>
                <w:szCs w:val="24"/>
                <w:highlight w:val="white"/>
              </w:rPr>
              <w:lastRenderedPageBreak/>
              <w:t>industriile dependente de buget — flexibilitatea negocierilor este limitată de cerința de aprobare prealabilă a Ministerului Finanțelor, afectând capacitatea de negociere.</w:t>
            </w:r>
          </w:p>
          <w:p w14:paraId="7B1CA7ED" w14:textId="77777777" w:rsidR="00315874" w:rsidRDefault="00315874">
            <w:pPr>
              <w:jc w:val="both"/>
              <w:rPr>
                <w:rFonts w:ascii="Times New Roman" w:eastAsia="Times New Roman" w:hAnsi="Times New Roman" w:cs="Times New Roman"/>
                <w:sz w:val="24"/>
                <w:szCs w:val="24"/>
                <w:highlight w:val="white"/>
              </w:rPr>
            </w:pPr>
          </w:p>
          <w:tbl>
            <w:tblPr>
              <w:tblStyle w:val="a1"/>
              <w:tblW w:w="514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15"/>
              <w:gridCol w:w="1680"/>
              <w:gridCol w:w="1950"/>
            </w:tblGrid>
            <w:tr w:rsidR="00315874" w14:paraId="5396DBF3" w14:textId="77777777">
              <w:tc>
                <w:tcPr>
                  <w:tcW w:w="1515" w:type="dxa"/>
                  <w:tcMar>
                    <w:top w:w="100" w:type="dxa"/>
                    <w:left w:w="100" w:type="dxa"/>
                    <w:bottom w:w="100" w:type="dxa"/>
                    <w:right w:w="100" w:type="dxa"/>
                  </w:tcMar>
                </w:tcPr>
                <w:p w14:paraId="15631860" w14:textId="77777777" w:rsidR="00315874" w:rsidRDefault="00315874">
                  <w:pPr>
                    <w:widowControl w:val="0"/>
                    <w:pBdr>
                      <w:top w:val="nil"/>
                      <w:left w:val="nil"/>
                      <w:bottom w:val="nil"/>
                      <w:right w:val="nil"/>
                      <w:between w:val="nil"/>
                    </w:pBdr>
                    <w:spacing w:line="240" w:lineRule="auto"/>
                    <w:rPr>
                      <w:rFonts w:ascii="Times New Roman" w:eastAsia="Times New Roman" w:hAnsi="Times New Roman" w:cs="Times New Roman"/>
                      <w:sz w:val="20"/>
                      <w:szCs w:val="20"/>
                      <w:highlight w:val="white"/>
                    </w:rPr>
                  </w:pPr>
                </w:p>
              </w:tc>
              <w:tc>
                <w:tcPr>
                  <w:tcW w:w="1680" w:type="dxa"/>
                  <w:tcMar>
                    <w:top w:w="100" w:type="dxa"/>
                    <w:left w:w="100" w:type="dxa"/>
                    <w:bottom w:w="100" w:type="dxa"/>
                    <w:right w:w="100" w:type="dxa"/>
                  </w:tcMar>
                </w:tcPr>
                <w:p w14:paraId="15AAD64C" w14:textId="77777777" w:rsidR="00315874" w:rsidRDefault="00000000">
                  <w:pPr>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Regimul „Zilelor Calendaristice” (Până la sfârșitul anului 2026)</w:t>
                  </w:r>
                </w:p>
              </w:tc>
              <w:tc>
                <w:tcPr>
                  <w:tcW w:w="1950" w:type="dxa"/>
                  <w:tcMar>
                    <w:top w:w="100" w:type="dxa"/>
                    <w:left w:w="100" w:type="dxa"/>
                    <w:bottom w:w="100" w:type="dxa"/>
                    <w:right w:w="100" w:type="dxa"/>
                  </w:tcMar>
                </w:tcPr>
                <w:p w14:paraId="55EBD6A8" w14:textId="77777777" w:rsidR="00315874" w:rsidRDefault="00000000">
                  <w:pPr>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Regimul „Zilelor Lucrătoare” (Din 2027)</w:t>
                  </w:r>
                </w:p>
              </w:tc>
            </w:tr>
            <w:tr w:rsidR="00315874" w14:paraId="021E7AB7" w14:textId="77777777">
              <w:tc>
                <w:tcPr>
                  <w:tcW w:w="1515" w:type="dxa"/>
                  <w:tcMar>
                    <w:top w:w="100" w:type="dxa"/>
                    <w:left w:w="100" w:type="dxa"/>
                    <w:bottom w:w="100" w:type="dxa"/>
                    <w:right w:w="100" w:type="dxa"/>
                  </w:tcMar>
                </w:tcPr>
                <w:p w14:paraId="5D80C8DA" w14:textId="77777777" w:rsidR="00315874" w:rsidRDefault="00000000">
                  <w:pP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Concediu anual minim (sector privat)</w:t>
                  </w:r>
                </w:p>
              </w:tc>
              <w:tc>
                <w:tcPr>
                  <w:tcW w:w="1680" w:type="dxa"/>
                  <w:tcMar>
                    <w:top w:w="100" w:type="dxa"/>
                    <w:left w:w="100" w:type="dxa"/>
                    <w:bottom w:w="100" w:type="dxa"/>
                    <w:right w:w="100" w:type="dxa"/>
                  </w:tcMar>
                </w:tcPr>
                <w:p w14:paraId="30A6294A" w14:textId="77777777" w:rsidR="00315874" w:rsidRDefault="00000000">
                  <w:pPr>
                    <w:widowControl w:val="0"/>
                    <w:pBdr>
                      <w:top w:val="nil"/>
                      <w:left w:val="nil"/>
                      <w:bottom w:val="nil"/>
                      <w:right w:val="nil"/>
                      <w:between w:val="nil"/>
                    </w:pBdr>
                    <w:spacing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28 de zile calendaristice</w:t>
                  </w:r>
                </w:p>
              </w:tc>
              <w:tc>
                <w:tcPr>
                  <w:tcW w:w="1950" w:type="dxa"/>
                  <w:tcMar>
                    <w:top w:w="100" w:type="dxa"/>
                    <w:left w:w="100" w:type="dxa"/>
                    <w:bottom w:w="100" w:type="dxa"/>
                    <w:right w:w="100" w:type="dxa"/>
                  </w:tcMar>
                </w:tcPr>
                <w:p w14:paraId="718ACA68" w14:textId="77777777" w:rsidR="00315874" w:rsidRDefault="00000000">
                  <w:pP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22 de zile lucrătoare (excluzând sărbători/</w:t>
                  </w:r>
                </w:p>
                <w:p w14:paraId="7483DF67" w14:textId="77777777" w:rsidR="00315874" w:rsidRDefault="00000000">
                  <w:pP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weekend-uri)</w:t>
                  </w:r>
                </w:p>
              </w:tc>
            </w:tr>
            <w:tr w:rsidR="00315874" w14:paraId="79477FDB" w14:textId="77777777">
              <w:tc>
                <w:tcPr>
                  <w:tcW w:w="1515" w:type="dxa"/>
                  <w:tcMar>
                    <w:top w:w="100" w:type="dxa"/>
                    <w:left w:w="100" w:type="dxa"/>
                    <w:bottom w:w="100" w:type="dxa"/>
                    <w:right w:w="100" w:type="dxa"/>
                  </w:tcMar>
                </w:tcPr>
                <w:p w14:paraId="6656818A" w14:textId="77777777" w:rsidR="00315874" w:rsidRDefault="00000000">
                  <w:pP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Costul salarial pentru concediul anual</w:t>
                  </w:r>
                </w:p>
              </w:tc>
              <w:tc>
                <w:tcPr>
                  <w:tcW w:w="1680" w:type="dxa"/>
                  <w:tcMar>
                    <w:top w:w="100" w:type="dxa"/>
                    <w:left w:w="100" w:type="dxa"/>
                    <w:bottom w:w="100" w:type="dxa"/>
                    <w:right w:w="100" w:type="dxa"/>
                  </w:tcMar>
                </w:tcPr>
                <w:p w14:paraId="1FB47AC8" w14:textId="77777777" w:rsidR="00315874" w:rsidRDefault="00000000">
                  <w:pP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Mai mic (include weekendurile ca concediu)</w:t>
                  </w:r>
                </w:p>
              </w:tc>
              <w:tc>
                <w:tcPr>
                  <w:tcW w:w="1950" w:type="dxa"/>
                  <w:tcMar>
                    <w:top w:w="100" w:type="dxa"/>
                    <w:left w:w="100" w:type="dxa"/>
                    <w:bottom w:w="100" w:type="dxa"/>
                    <w:right w:w="100" w:type="dxa"/>
                  </w:tcMar>
                </w:tcPr>
                <w:p w14:paraId="69D7077F" w14:textId="77777777" w:rsidR="00315874" w:rsidRDefault="00000000">
                  <w:pP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Mai mare (același salariu, dar mai mult timp real liber)</w:t>
                  </w:r>
                </w:p>
              </w:tc>
            </w:tr>
            <w:tr w:rsidR="00315874" w14:paraId="4F9DB191" w14:textId="77777777">
              <w:tc>
                <w:tcPr>
                  <w:tcW w:w="1515" w:type="dxa"/>
                  <w:tcMar>
                    <w:top w:w="100" w:type="dxa"/>
                    <w:left w:w="100" w:type="dxa"/>
                    <w:bottom w:w="100" w:type="dxa"/>
                    <w:right w:w="100" w:type="dxa"/>
                  </w:tcMar>
                </w:tcPr>
                <w:p w14:paraId="4700E3E7" w14:textId="77777777" w:rsidR="00315874" w:rsidRDefault="00000000">
                  <w:pP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Contabilitatea soldului moștenit</w:t>
                  </w:r>
                </w:p>
              </w:tc>
              <w:tc>
                <w:tcPr>
                  <w:tcW w:w="1680" w:type="dxa"/>
                  <w:tcMar>
                    <w:top w:w="100" w:type="dxa"/>
                    <w:left w:w="100" w:type="dxa"/>
                    <w:bottom w:w="100" w:type="dxa"/>
                    <w:right w:w="100" w:type="dxa"/>
                  </w:tcMar>
                </w:tcPr>
                <w:p w14:paraId="0833EBC3" w14:textId="77777777" w:rsidR="00315874" w:rsidRDefault="00000000">
                  <w:pP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Unic, bazat pe calendar</w:t>
                  </w:r>
                </w:p>
              </w:tc>
              <w:tc>
                <w:tcPr>
                  <w:tcW w:w="1950" w:type="dxa"/>
                  <w:tcMar>
                    <w:top w:w="100" w:type="dxa"/>
                    <w:left w:w="100" w:type="dxa"/>
                    <w:bottom w:w="100" w:type="dxa"/>
                    <w:right w:w="100" w:type="dxa"/>
                  </w:tcMar>
                </w:tcPr>
                <w:p w14:paraId="4AE85F52" w14:textId="77777777" w:rsidR="00315874" w:rsidRDefault="00000000">
                  <w:pP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Dual (calendar pentru acumulate, zi lucrătoare pentru noi)</w:t>
                  </w:r>
                </w:p>
              </w:tc>
            </w:tr>
            <w:tr w:rsidR="00315874" w14:paraId="1C6204B9" w14:textId="77777777">
              <w:trPr>
                <w:trHeight w:val="1162"/>
              </w:trPr>
              <w:tc>
                <w:tcPr>
                  <w:tcW w:w="1515" w:type="dxa"/>
                  <w:tcMar>
                    <w:top w:w="100" w:type="dxa"/>
                    <w:left w:w="100" w:type="dxa"/>
                    <w:bottom w:w="100" w:type="dxa"/>
                    <w:right w:w="100" w:type="dxa"/>
                  </w:tcMar>
                </w:tcPr>
                <w:p w14:paraId="6FB1ED47" w14:textId="77777777" w:rsidR="00315874" w:rsidRDefault="00000000">
                  <w:pP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Negocierea colectivă în sectorul public</w:t>
                  </w:r>
                </w:p>
              </w:tc>
              <w:tc>
                <w:tcPr>
                  <w:tcW w:w="1680" w:type="dxa"/>
                  <w:tcMar>
                    <w:top w:w="100" w:type="dxa"/>
                    <w:left w:w="100" w:type="dxa"/>
                    <w:bottom w:w="100" w:type="dxa"/>
                    <w:right w:w="100" w:type="dxa"/>
                  </w:tcMar>
                </w:tcPr>
                <w:p w14:paraId="17E8A253" w14:textId="77777777" w:rsidR="00315874" w:rsidRDefault="00000000">
                  <w:pP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Dialog deschis EMBO/sindicat</w:t>
                  </w:r>
                </w:p>
                <w:p w14:paraId="52A8026C" w14:textId="77777777" w:rsidR="00315874" w:rsidRDefault="00315874">
                  <w:pPr>
                    <w:rPr>
                      <w:rFonts w:ascii="Times New Roman" w:eastAsia="Times New Roman" w:hAnsi="Times New Roman" w:cs="Times New Roman"/>
                      <w:sz w:val="20"/>
                      <w:szCs w:val="20"/>
                      <w:highlight w:val="white"/>
                    </w:rPr>
                  </w:pPr>
                </w:p>
                <w:p w14:paraId="1271D2E3" w14:textId="77777777" w:rsidR="00315874" w:rsidRDefault="00315874">
                  <w:pPr>
                    <w:widowControl w:val="0"/>
                    <w:pBdr>
                      <w:top w:val="nil"/>
                      <w:left w:val="nil"/>
                      <w:bottom w:val="nil"/>
                      <w:right w:val="nil"/>
                      <w:between w:val="nil"/>
                    </w:pBdr>
                    <w:spacing w:line="240" w:lineRule="auto"/>
                    <w:rPr>
                      <w:rFonts w:ascii="Times New Roman" w:eastAsia="Times New Roman" w:hAnsi="Times New Roman" w:cs="Times New Roman"/>
                      <w:sz w:val="20"/>
                      <w:szCs w:val="20"/>
                      <w:highlight w:val="white"/>
                    </w:rPr>
                  </w:pPr>
                </w:p>
              </w:tc>
              <w:tc>
                <w:tcPr>
                  <w:tcW w:w="1950" w:type="dxa"/>
                  <w:tcMar>
                    <w:top w:w="100" w:type="dxa"/>
                    <w:left w:w="100" w:type="dxa"/>
                    <w:bottom w:w="100" w:type="dxa"/>
                    <w:right w:w="100" w:type="dxa"/>
                  </w:tcMar>
                </w:tcPr>
                <w:p w14:paraId="33B4064A" w14:textId="77777777" w:rsidR="00315874" w:rsidRDefault="00000000">
                  <w:pP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Avizul prealabil al Ministerului Finanțelor este obligatoriu</w:t>
                  </w:r>
                </w:p>
              </w:tc>
            </w:tr>
            <w:tr w:rsidR="00315874" w14:paraId="566DA56F" w14:textId="77777777">
              <w:tc>
                <w:tcPr>
                  <w:tcW w:w="1515" w:type="dxa"/>
                  <w:tcMar>
                    <w:top w:w="100" w:type="dxa"/>
                    <w:left w:w="100" w:type="dxa"/>
                    <w:bottom w:w="100" w:type="dxa"/>
                    <w:right w:w="100" w:type="dxa"/>
                  </w:tcMar>
                </w:tcPr>
                <w:p w14:paraId="775BFDC0" w14:textId="77777777" w:rsidR="00315874" w:rsidRDefault="00000000">
                  <w:pP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lastRenderedPageBreak/>
                    <w:t>Reguli separate pentru plecări</w:t>
                  </w:r>
                </w:p>
              </w:tc>
              <w:tc>
                <w:tcPr>
                  <w:tcW w:w="1680" w:type="dxa"/>
                  <w:tcMar>
                    <w:top w:w="100" w:type="dxa"/>
                    <w:left w:w="100" w:type="dxa"/>
                    <w:bottom w:w="100" w:type="dxa"/>
                    <w:right w:w="100" w:type="dxa"/>
                  </w:tcMar>
                </w:tcPr>
                <w:p w14:paraId="1F22B912" w14:textId="77777777" w:rsidR="00315874" w:rsidRDefault="00000000">
                  <w:pP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Minim 14 zile calendaristice pentru divizare</w:t>
                  </w:r>
                </w:p>
              </w:tc>
              <w:tc>
                <w:tcPr>
                  <w:tcW w:w="1950" w:type="dxa"/>
                  <w:tcMar>
                    <w:top w:w="100" w:type="dxa"/>
                    <w:left w:w="100" w:type="dxa"/>
                    <w:bottom w:w="100" w:type="dxa"/>
                    <w:right w:w="100" w:type="dxa"/>
                  </w:tcMar>
                </w:tcPr>
                <w:p w14:paraId="1222A702" w14:textId="77777777" w:rsidR="00315874" w:rsidRDefault="00000000">
                  <w:pP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Minim 2 săptămâni de lucru neîntrerupte</w:t>
                  </w:r>
                </w:p>
              </w:tc>
            </w:tr>
            <w:tr w:rsidR="00315874" w14:paraId="31DE38BD" w14:textId="77777777">
              <w:tc>
                <w:tcPr>
                  <w:tcW w:w="1515" w:type="dxa"/>
                  <w:tcMar>
                    <w:top w:w="100" w:type="dxa"/>
                    <w:left w:w="100" w:type="dxa"/>
                    <w:bottom w:w="100" w:type="dxa"/>
                    <w:right w:w="100" w:type="dxa"/>
                  </w:tcMar>
                </w:tcPr>
                <w:p w14:paraId="47706585" w14:textId="77777777" w:rsidR="00315874" w:rsidRDefault="00000000">
                  <w:pP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Alinierea cu cele mai bune practici ale UE/OCDE</w:t>
                  </w:r>
                </w:p>
              </w:tc>
              <w:tc>
                <w:tcPr>
                  <w:tcW w:w="1680" w:type="dxa"/>
                  <w:tcMar>
                    <w:top w:w="100" w:type="dxa"/>
                    <w:left w:w="100" w:type="dxa"/>
                    <w:bottom w:w="100" w:type="dxa"/>
                    <w:right w:w="100" w:type="dxa"/>
                  </w:tcMar>
                </w:tcPr>
                <w:p w14:paraId="3DF3831F" w14:textId="77777777" w:rsidR="00315874" w:rsidRDefault="00000000">
                  <w:pP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Scăzut/Mediu</w:t>
                  </w:r>
                </w:p>
              </w:tc>
              <w:tc>
                <w:tcPr>
                  <w:tcW w:w="1950" w:type="dxa"/>
                  <w:tcMar>
                    <w:top w:w="100" w:type="dxa"/>
                    <w:left w:w="100" w:type="dxa"/>
                    <w:bottom w:w="100" w:type="dxa"/>
                    <w:right w:w="100" w:type="dxa"/>
                  </w:tcMar>
                </w:tcPr>
                <w:p w14:paraId="41FA1401" w14:textId="77777777" w:rsidR="00315874" w:rsidRDefault="00000000">
                  <w:pP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Ridicat</w:t>
                  </w:r>
                </w:p>
              </w:tc>
            </w:tr>
          </w:tbl>
          <w:p w14:paraId="3533845A" w14:textId="77777777" w:rsidR="00315874" w:rsidRDefault="00315874">
            <w:pPr>
              <w:jc w:val="both"/>
              <w:rPr>
                <w:rFonts w:ascii="Times New Roman" w:eastAsia="Times New Roman" w:hAnsi="Times New Roman" w:cs="Times New Roman"/>
                <w:sz w:val="24"/>
                <w:szCs w:val="24"/>
                <w:highlight w:val="white"/>
              </w:rPr>
            </w:pP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1469346F"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Se ia act</w:t>
            </w:r>
          </w:p>
        </w:tc>
      </w:tr>
      <w:tr w:rsidR="00315874" w14:paraId="5CE8028A" w14:textId="77777777">
        <w:trPr>
          <w:trHeight w:val="1350"/>
        </w:trPr>
        <w:tc>
          <w:tcPr>
            <w:tcW w:w="735" w:type="dxa"/>
            <w:vMerge w:val="restart"/>
            <w:tcBorders>
              <w:top w:val="single" w:sz="6" w:space="0" w:color="999999"/>
              <w:left w:val="single" w:sz="6" w:space="0" w:color="999999"/>
              <w:bottom w:val="single" w:sz="6" w:space="0" w:color="999999"/>
              <w:right w:val="single" w:sz="6" w:space="0" w:color="999999"/>
            </w:tcBorders>
            <w:tcMar>
              <w:top w:w="0" w:type="dxa"/>
              <w:bottom w:w="0" w:type="dxa"/>
            </w:tcMar>
          </w:tcPr>
          <w:p w14:paraId="4E9A31B2" w14:textId="77777777" w:rsidR="00315874"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35.</w:t>
            </w:r>
          </w:p>
        </w:tc>
        <w:tc>
          <w:tcPr>
            <w:tcW w:w="2835" w:type="dxa"/>
            <w:vMerge w:val="restart"/>
            <w:tcBorders>
              <w:top w:val="single" w:sz="6" w:space="0" w:color="999999"/>
              <w:left w:val="single" w:sz="6" w:space="0" w:color="999999"/>
              <w:bottom w:val="single" w:sz="6" w:space="0" w:color="999999"/>
              <w:right w:val="single" w:sz="6" w:space="0" w:color="999999"/>
            </w:tcBorders>
            <w:tcMar>
              <w:top w:w="0" w:type="dxa"/>
              <w:bottom w:w="0" w:type="dxa"/>
            </w:tcMar>
          </w:tcPr>
          <w:p w14:paraId="0C714C77" w14:textId="77777777" w:rsidR="00315874" w:rsidRDefault="00000000">
            <w:pPr>
              <w:ind w:left="14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Agenția Națională pentru Siguranța Alimentelor</w:t>
            </w:r>
          </w:p>
          <w:p w14:paraId="718F19B0" w14:textId="77777777" w:rsidR="00315874" w:rsidRDefault="00000000">
            <w:pPr>
              <w:ind w:left="140"/>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Nr. 15 – 3616 din 30.06.2026</w:t>
            </w: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19D97870"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Articolul </w:t>
            </w:r>
            <w:r>
              <w:rPr>
                <w:rFonts w:ascii="Times New Roman" w:eastAsia="Times New Roman" w:hAnsi="Times New Roman" w:cs="Times New Roman"/>
                <w:b/>
                <w:bCs/>
                <w:sz w:val="24"/>
                <w:szCs w:val="24"/>
                <w:highlight w:val="white"/>
              </w:rPr>
              <w:t>IX pct. 2</w:t>
            </w:r>
            <w:r>
              <w:rPr>
                <w:rFonts w:ascii="Times New Roman" w:eastAsia="Times New Roman" w:hAnsi="Times New Roman" w:cs="Times New Roman"/>
                <w:sz w:val="24"/>
                <w:szCs w:val="24"/>
                <w:highlight w:val="white"/>
              </w:rPr>
              <w:t xml:space="preserve">, proiectul propus spre avizare, prevede excluderea alineatului (2) al articolului 43 din Legea nr. 158/2008 privind funcția publică și statutul funcționarului public, care reglementează acordarea concediului de odihnă anual suplimentar în funcție de vechimea în serviciul public. </w:t>
            </w:r>
          </w:p>
          <w:p w14:paraId="46EE3222"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În acest sens, se comunică că excluderea acestei norme nu se susține, or, concediul suplimentar pentru vechime în serviciul public, constituie o garanție statutară specifică funcției publice, menită să recunoască experiența profesională acumulată, să stimuleze continuitatea raporturilor de serviciu. Experiența acumulată în serviciul public, reprezintă un element esențial pentru asigurarea eficienței și memoriei instituționale a autorităților publice. </w:t>
            </w:r>
          </w:p>
          <w:p w14:paraId="3B062D33"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Eliminarea acestui drept, ar conduce la diminuarea garanțiilor sociale ale funcționarilor publici și ar reduce </w:t>
            </w:r>
            <w:r>
              <w:rPr>
                <w:rFonts w:ascii="Times New Roman" w:eastAsia="Times New Roman" w:hAnsi="Times New Roman" w:cs="Times New Roman"/>
                <w:sz w:val="24"/>
                <w:szCs w:val="24"/>
                <w:highlight w:val="white"/>
              </w:rPr>
              <w:lastRenderedPageBreak/>
              <w:t>atractivitatea și motivația pentru menținerea în serviciul public, fără a rezulta o justificare obiectivă și proporțională pentru o asemenea intervenție legislativă. În acest sens, se propune menținerea alineatului (2) cu următorul cuprins:</w:t>
            </w:r>
            <w:r>
              <w:rPr>
                <w:rFonts w:ascii="Times New Roman" w:eastAsia="Times New Roman" w:hAnsi="Times New Roman" w:cs="Times New Roman"/>
                <w:i/>
                <w:iCs/>
                <w:sz w:val="24"/>
                <w:szCs w:val="24"/>
                <w:highlight w:val="white"/>
              </w:rPr>
              <w:t xml:space="preserve"> „(2) Funcționarul public beneficiază de concediu de odihnă anual suplimentar plătit, a cărui durată se majorează cu 1, 3 și, respectiv, 5 zile lucrătoare în cazul în care vechimea în muncă în serviciul public depășește 5, 10 și 15 ani.</w:t>
            </w:r>
            <w:r>
              <w:rPr>
                <w:rFonts w:ascii="Times New Roman" w:eastAsia="Times New Roman" w:hAnsi="Times New Roman" w:cs="Times New Roman"/>
                <w:sz w:val="24"/>
                <w:szCs w:val="24"/>
                <w:highlight w:val="white"/>
              </w:rPr>
              <w:t xml:space="preserve">” </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7700D81D"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 xml:space="preserve">Nu se acceptă. </w:t>
            </w:r>
          </w:p>
          <w:p w14:paraId="766FC186"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38602E96"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Poziția Ministerului este cea expusă la pct. 8 (avizul Ministerului Justiției) din prezenta Sinteză, aplicabilă direct prezentei obiecții, întrucât vizează același articol (art. 43 alin. (2) din Legea nr. 158/2008).</w:t>
            </w:r>
          </w:p>
        </w:tc>
      </w:tr>
      <w:tr w:rsidR="00315874" w14:paraId="5D4B0173" w14:textId="77777777">
        <w:trPr>
          <w:trHeight w:val="1350"/>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4BB63E00"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297565FC" w14:textId="77777777" w:rsidR="00315874" w:rsidRDefault="00315874">
            <w:pPr>
              <w:spacing w:line="240" w:lineRule="auto"/>
              <w:jc w:val="center"/>
              <w:rPr>
                <w:rFonts w:ascii="Times New Roman" w:eastAsia="Times New Roman" w:hAnsi="Times New Roman" w:cs="Times New Roman"/>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17D6422D"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Subsecvent, proiectul propune substituirea textului „14 zile calendaristice” cu „două săptămâni lucrătoare de concediu neîntrerupt” stabilit în Legea nr. 158/2008 cu privire la funcţia publică şi statutul funcţionarului public, precum și în Legea nr. 80/2010 cu privire la statutul personalului din cabinetul persoanelor cu funcţii de demnitate publică. </w:t>
            </w:r>
          </w:p>
          <w:p w14:paraId="11B572B8"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Având în vedere ambiguitatea noțiunii de „săptămână lucrătoare”, se propune substituirea textului propus „două săptămâni lucrătoare de concediu neîntrerupt” cu textul </w:t>
            </w:r>
            <w:r>
              <w:rPr>
                <w:rFonts w:ascii="Times New Roman" w:eastAsia="Times New Roman" w:hAnsi="Times New Roman" w:cs="Times New Roman"/>
                <w:i/>
                <w:iCs/>
                <w:sz w:val="24"/>
                <w:szCs w:val="24"/>
                <w:highlight w:val="white"/>
              </w:rPr>
              <w:t>„10 zile lucrătoare de concediu consecutiv”</w:t>
            </w:r>
            <w:r>
              <w:rPr>
                <w:rFonts w:ascii="Times New Roman" w:eastAsia="Times New Roman" w:hAnsi="Times New Roman" w:cs="Times New Roman"/>
                <w:sz w:val="24"/>
                <w:szCs w:val="24"/>
                <w:highlight w:val="white"/>
              </w:rPr>
              <w:t xml:space="preserve">, or la calculul indemnizației de concediu se utilizează termenul de „numărul mediu de zile calendaristice pe lună;” sau „numărul mediu de zile lucrătoare pe lună în dependență de săptămâna de lucru de 4, 5 sau 6 zile”. </w:t>
            </w:r>
          </w:p>
          <w:p w14:paraId="78FEC36C"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 xml:space="preserve">Având în vedere că indemnizația de concediu se calculează potrivit salariului mediu pe o zi calendaristică, se desprinde imperiozitatea utilizării terminologiei stabilite în Hotărârea Guvernului nr. 426/2004 privind aprobarea modului de calculare a salariului mediu. Astfel, întru asigurarea clarității normei și aplicării previzibile a acesteia, se necesită adaptarea cadrului normativ național. </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609C0A7B"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Se acceptă în proiect se va modifica „10 zile lucrătoare”</w:t>
            </w:r>
          </w:p>
        </w:tc>
      </w:tr>
      <w:tr w:rsidR="00315874" w14:paraId="5211FDCD" w14:textId="77777777">
        <w:trPr>
          <w:trHeight w:val="1050"/>
        </w:trPr>
        <w:tc>
          <w:tcPr>
            <w:tcW w:w="735" w:type="dxa"/>
            <w:vMerge w:val="restart"/>
            <w:tcBorders>
              <w:top w:val="single" w:sz="6" w:space="0" w:color="999999"/>
              <w:left w:val="single" w:sz="6" w:space="0" w:color="999999"/>
              <w:bottom w:val="single" w:sz="6" w:space="0" w:color="999999"/>
              <w:right w:val="single" w:sz="6" w:space="0" w:color="999999"/>
            </w:tcBorders>
            <w:tcMar>
              <w:top w:w="0" w:type="dxa"/>
              <w:bottom w:w="0" w:type="dxa"/>
            </w:tcMar>
          </w:tcPr>
          <w:p w14:paraId="218380C8" w14:textId="77777777" w:rsidR="00315874"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36.</w:t>
            </w:r>
          </w:p>
        </w:tc>
        <w:tc>
          <w:tcPr>
            <w:tcW w:w="2835" w:type="dxa"/>
            <w:vMerge w:val="restart"/>
            <w:tcBorders>
              <w:top w:val="single" w:sz="6" w:space="0" w:color="999999"/>
              <w:left w:val="single" w:sz="6" w:space="0" w:color="999999"/>
              <w:bottom w:val="single" w:sz="6" w:space="0" w:color="999999"/>
              <w:right w:val="single" w:sz="6" w:space="0" w:color="999999"/>
            </w:tcBorders>
            <w:tcMar>
              <w:top w:w="0" w:type="dxa"/>
              <w:bottom w:w="0" w:type="dxa"/>
            </w:tcMar>
          </w:tcPr>
          <w:p w14:paraId="4CF030A1" w14:textId="77777777" w:rsidR="00315874" w:rsidRDefault="00000000">
            <w:pPr>
              <w:ind w:left="14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Agenția Geodezie, Cartografie și Cadastru</w:t>
            </w:r>
          </w:p>
          <w:p w14:paraId="35865E44" w14:textId="77777777" w:rsidR="00315874" w:rsidRDefault="00000000">
            <w:pPr>
              <w:ind w:left="140"/>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xml:space="preserve">Nr. 36/01-06/902 din 30.06.2026 </w:t>
            </w: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7EDB1F01"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Modificările propuse în proiect urmăresc în principal standardizarea exprimării duratei concediului în zile lucrătoare, ceea ce poate contribui la o aplicare mai uniformă și mai previzibilă a normelor privind timpul de odihnă. </w:t>
            </w:r>
          </w:p>
          <w:p w14:paraId="3741746E"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Pe de altă parte, eliminarea majorării concediului în funcție de vechimea în serviciul public simplifică regimul juridic aplicabil funcționarilor publici, dar elimină un mecanism de motivare și fidelizare a personalului, bazat pe recunoașterea experienței profesionale.</w:t>
            </w:r>
          </w:p>
          <w:p w14:paraId="651C7E98"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În acest context, considerăm că, menținerea unui concediu suplimentar pentru vechime, ar putea reprezenta o soluție mai echilibrată, însă adaptată noii modalități de calcul în zile lucrătoare. </w:t>
            </w:r>
          </w:p>
          <w:p w14:paraId="113176DF"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Spre exemplu, </w:t>
            </w:r>
            <w:r>
              <w:rPr>
                <w:rFonts w:ascii="Times New Roman" w:eastAsia="Times New Roman" w:hAnsi="Times New Roman" w:cs="Times New Roman"/>
                <w:sz w:val="24"/>
                <w:szCs w:val="24"/>
                <w:highlight w:val="white"/>
                <w:u w:val="single"/>
              </w:rPr>
              <w:t xml:space="preserve">ar putea fi avută în vedere acordarea a 1 zi lucrătoare suplimentară pentru o vechime de peste 5 ani, 3 zile lucrătoare suplimentare pentru o vechime de peste 10 ani și 5 zile lucrătoare suplimentare pentru o </w:t>
            </w:r>
            <w:r>
              <w:rPr>
                <w:rFonts w:ascii="Times New Roman" w:eastAsia="Times New Roman" w:hAnsi="Times New Roman" w:cs="Times New Roman"/>
                <w:sz w:val="24"/>
                <w:szCs w:val="24"/>
                <w:highlight w:val="white"/>
                <w:u w:val="single"/>
              </w:rPr>
              <w:lastRenderedPageBreak/>
              <w:t>vechime de peste 15 ani în serviciul public, în locul eliminării integrale a acestui beneficiu</w:t>
            </w:r>
            <w:r>
              <w:rPr>
                <w:rFonts w:ascii="Times New Roman" w:eastAsia="Times New Roman" w:hAnsi="Times New Roman" w:cs="Times New Roman"/>
                <w:sz w:val="24"/>
                <w:szCs w:val="24"/>
                <w:highlight w:val="white"/>
              </w:rPr>
              <w:t xml:space="preserve">. Păstrarea unui mecanism de majorare a concediului în funcție de vechime, chiar recalibrat la zile lucrătoare, ar contribui la menținerea unui echilibru între eficiența administrativă și funcția de motivare și fidelizare a funcționarilor publici, stimulând stabilitatea personalului în serviciul public și recunoașterea experienței profesionale acumulate. </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31AA00D6"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 xml:space="preserve">Nu se acceptă. </w:t>
            </w:r>
          </w:p>
          <w:p w14:paraId="61EED194"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21EB11AE"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Poziția Ministerului este cea expusă la pct. 8 (avizul Ministerului Justiției) din prezenta Sinteză.</w:t>
            </w:r>
          </w:p>
        </w:tc>
      </w:tr>
      <w:tr w:rsidR="00315874" w14:paraId="402CFBAA" w14:textId="77777777">
        <w:trPr>
          <w:trHeight w:val="1050"/>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17428727"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6E47A94C" w14:textId="77777777" w:rsidR="00315874" w:rsidRDefault="00315874">
            <w:pPr>
              <w:spacing w:line="240" w:lineRule="auto"/>
              <w:jc w:val="center"/>
              <w:rPr>
                <w:rFonts w:ascii="Times New Roman" w:eastAsia="Times New Roman" w:hAnsi="Times New Roman" w:cs="Times New Roman"/>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4E36C969"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Cu referire la </w:t>
            </w:r>
            <w:r>
              <w:rPr>
                <w:rFonts w:ascii="Times New Roman" w:eastAsia="Times New Roman" w:hAnsi="Times New Roman" w:cs="Times New Roman"/>
                <w:b/>
                <w:bCs/>
                <w:sz w:val="24"/>
                <w:szCs w:val="24"/>
                <w:highlight w:val="white"/>
              </w:rPr>
              <w:t xml:space="preserve">Art. XI </w:t>
            </w:r>
            <w:r>
              <w:rPr>
                <w:rFonts w:ascii="Times New Roman" w:eastAsia="Times New Roman" w:hAnsi="Times New Roman" w:cs="Times New Roman"/>
                <w:sz w:val="24"/>
                <w:szCs w:val="24"/>
                <w:highlight w:val="white"/>
              </w:rPr>
              <w:t xml:space="preserve">din proiect constatăm existența unor carențe de fundamentare și probleme de coerență normativă care afectează principiul echității. Deși proiectul urmărește uniformizarea regimului concediului anual în sectorul public, soluțiile propuse generează diferențe de tratament insuficient justificate între categorii de personal. </w:t>
            </w:r>
          </w:p>
          <w:p w14:paraId="26D9A447"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În prezent, art. 22 alin. (1) din Legea nr. 80/2010 cu privire la statutul personalului din cabinetul persoanelor cu funcţii de demnitate publică prevede un concediu de 35 de zile calendaristice pentru personalul din cabinetele persoanelor cu funcții de demnitate publică. În același timp, cadrul general aplicabil funcționarilor publici operează deja o conversie a acestui standard la 28 de zile lucrătoare.</w:t>
            </w:r>
          </w:p>
          <w:p w14:paraId="067FF730"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În acest context, stabilirea pentru personalul din cabinetele demnitarilor a unui concediu de 24 de zile </w:t>
            </w:r>
            <w:r>
              <w:rPr>
                <w:rFonts w:ascii="Times New Roman" w:eastAsia="Times New Roman" w:hAnsi="Times New Roman" w:cs="Times New Roman"/>
                <w:sz w:val="24"/>
                <w:szCs w:val="24"/>
                <w:highlight w:val="white"/>
              </w:rPr>
              <w:lastRenderedPageBreak/>
              <w:t xml:space="preserve">lucrătoare apare ca fiind necorelată cu logica normativă existentă, întrucât îl plasează sub nivelul standard aplicabil funcționarilor publici. </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763A932C"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Proiectul a fost modificat iar cifra 24 substituită cu 28.</w:t>
            </w:r>
          </w:p>
        </w:tc>
      </w:tr>
      <w:tr w:rsidR="00315874" w14:paraId="076539B4" w14:textId="77777777">
        <w:trPr>
          <w:trHeight w:val="1050"/>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18BF8C31"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0771E8B4" w14:textId="77777777" w:rsidR="00315874" w:rsidRDefault="00315874">
            <w:pPr>
              <w:spacing w:line="240" w:lineRule="auto"/>
              <w:jc w:val="center"/>
              <w:rPr>
                <w:rFonts w:ascii="Times New Roman" w:eastAsia="Times New Roman" w:hAnsi="Times New Roman" w:cs="Times New Roman"/>
                <w:sz w:val="24"/>
                <w:szCs w:val="24"/>
              </w:rPr>
            </w:pPr>
          </w:p>
        </w:tc>
        <w:tc>
          <w:tcPr>
            <w:tcW w:w="5700" w:type="dxa"/>
            <w:vMerge w:val="restart"/>
            <w:tcBorders>
              <w:top w:val="nil"/>
              <w:left w:val="nil"/>
              <w:bottom w:val="single" w:sz="6" w:space="0" w:color="000000"/>
              <w:right w:val="single" w:sz="6" w:space="0" w:color="999999"/>
            </w:tcBorders>
            <w:tcMar>
              <w:top w:w="0" w:type="dxa"/>
              <w:left w:w="100" w:type="dxa"/>
              <w:bottom w:w="0" w:type="dxa"/>
              <w:right w:w="100" w:type="dxa"/>
            </w:tcMar>
          </w:tcPr>
          <w:p w14:paraId="37F8FE02"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Totodată, alte categorii din sectorul public beneficiază de regimuri superioare (până la 32 de zile lucrătoare), fără o justificare clară a diferențierii. Lipsa unei fundamentări obiective a acestor opțiuni legislative ridică probleme de proporționalitate și de respectare a principiului tratamentului juridic echitabil. </w:t>
            </w:r>
          </w:p>
          <w:p w14:paraId="66356A8A"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Subsecvent, în </w:t>
            </w:r>
            <w:r>
              <w:rPr>
                <w:rFonts w:ascii="Times New Roman" w:eastAsia="Times New Roman" w:hAnsi="Times New Roman" w:cs="Times New Roman"/>
                <w:b/>
                <w:bCs/>
                <w:sz w:val="24"/>
                <w:szCs w:val="24"/>
                <w:highlight w:val="white"/>
              </w:rPr>
              <w:t>Art. XII din proiect</w:t>
            </w:r>
            <w:r>
              <w:rPr>
                <w:rFonts w:ascii="Times New Roman" w:eastAsia="Times New Roman" w:hAnsi="Times New Roman" w:cs="Times New Roman"/>
                <w:sz w:val="24"/>
                <w:szCs w:val="24"/>
                <w:highlight w:val="white"/>
              </w:rPr>
              <w:t xml:space="preserve">, în cazul persoanelor cu funcții de demnitate publică, art. 15 alin. (1) din Legea nr. 199/2010 cu privire la statutul persoanelor cu funcţii de demnitate publică prevede în prezent acordarea unui concediu anual plătit de 35 de zile calendaristice, cu posibilitatea fracționării acestuia, dintre care una dintre părți nu poate fi mai mică de 14 zile calendaristice, dar în proiect se propunere acordarea unui concediu de odihnă anual de doar 24 zile lucrătoare. </w:t>
            </w:r>
          </w:p>
          <w:p w14:paraId="2A452BD7"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Diminuarea duratei concediului pentru persoanele cu funcții de demnitate publică la 24 de zile lucrătoare nu este însoțită de o motivare suficientă și se îndepărtează de logica de sistem existentă, plasând această categorie sub nivelul de referință aplicabil funcționarilor publici.</w:t>
            </w:r>
          </w:p>
          <w:p w14:paraId="3AAFACAD"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 xml:space="preserve"> Așadar, conform proiectului, pentru funcționarii publici, cadrul normativ general a stabilit deja echivalarea acestui standard la 28 de zile lucrătoare, prin transformarea celor 35 de zile calendaristice într-un număr corespunzător de zile lucrătoare, în cadrul procesului de uniformizare a regimului concediilor.</w:t>
            </w:r>
          </w:p>
          <w:p w14:paraId="00802CF6"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În aceste condiții, aceeași logică de conversie și standardizare ar urma să fie menținută și în raport cu personalul din cabinetele persoanelor cu funcții de demnitate publică, precum și cu persoanele cu funcții de demnitate publică, în vederea asigurării coerenței tratamentului juridic între categorii comparabile din sectorul public. </w:t>
            </w:r>
          </w:p>
        </w:tc>
        <w:tc>
          <w:tcPr>
            <w:tcW w:w="6210" w:type="dxa"/>
            <w:vMerge w:val="restart"/>
            <w:tcBorders>
              <w:top w:val="nil"/>
              <w:left w:val="nil"/>
              <w:bottom w:val="single" w:sz="6" w:space="0" w:color="000000"/>
              <w:right w:val="single" w:sz="6" w:space="0" w:color="999999"/>
            </w:tcBorders>
            <w:tcMar>
              <w:top w:w="0" w:type="dxa"/>
              <w:left w:w="100" w:type="dxa"/>
              <w:bottom w:w="0" w:type="dxa"/>
              <w:right w:w="100" w:type="dxa"/>
            </w:tcMar>
          </w:tcPr>
          <w:p w14:paraId="5049911D"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Se acceptă</w:t>
            </w:r>
          </w:p>
          <w:p w14:paraId="3150E4C5"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Proiectul a fost modificat iar cifra 24 substituită cu 28.</w:t>
            </w:r>
          </w:p>
        </w:tc>
      </w:tr>
      <w:tr w:rsidR="00315874" w14:paraId="220AE06E" w14:textId="77777777">
        <w:trPr>
          <w:trHeight w:val="1050"/>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51636397"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6CF07058" w14:textId="77777777" w:rsidR="00315874" w:rsidRDefault="00315874">
            <w:pPr>
              <w:spacing w:line="240" w:lineRule="auto"/>
              <w:jc w:val="center"/>
              <w:rPr>
                <w:rFonts w:ascii="Times New Roman" w:eastAsia="Times New Roman" w:hAnsi="Times New Roman" w:cs="Times New Roman"/>
                <w:sz w:val="24"/>
                <w:szCs w:val="24"/>
              </w:rPr>
            </w:pPr>
          </w:p>
        </w:tc>
        <w:tc>
          <w:tcPr>
            <w:tcW w:w="5700" w:type="dxa"/>
            <w:vMerge/>
            <w:tcBorders>
              <w:top w:val="nil"/>
              <w:left w:val="nil"/>
              <w:bottom w:val="single" w:sz="6" w:space="0" w:color="000000"/>
              <w:right w:val="single" w:sz="6" w:space="0" w:color="999999"/>
            </w:tcBorders>
            <w:tcMar>
              <w:top w:w="0" w:type="dxa"/>
              <w:left w:w="100" w:type="dxa"/>
              <w:bottom w:w="0" w:type="dxa"/>
              <w:right w:w="100" w:type="dxa"/>
            </w:tcMar>
          </w:tcPr>
          <w:p w14:paraId="5F12CDAA" w14:textId="77777777" w:rsidR="00315874" w:rsidRDefault="00315874">
            <w:pPr>
              <w:spacing w:line="240" w:lineRule="auto"/>
              <w:jc w:val="both"/>
              <w:rPr>
                <w:rFonts w:ascii="Times New Roman" w:eastAsia="Times New Roman" w:hAnsi="Times New Roman" w:cs="Times New Roman"/>
                <w:sz w:val="24"/>
                <w:szCs w:val="24"/>
                <w:highlight w:val="white"/>
              </w:rPr>
            </w:pPr>
          </w:p>
        </w:tc>
        <w:tc>
          <w:tcPr>
            <w:tcW w:w="6210" w:type="dxa"/>
            <w:vMerge/>
            <w:tcBorders>
              <w:top w:val="nil"/>
              <w:left w:val="nil"/>
              <w:bottom w:val="single" w:sz="6" w:space="0" w:color="000000"/>
              <w:right w:val="single" w:sz="6" w:space="0" w:color="999999"/>
            </w:tcBorders>
            <w:tcMar>
              <w:top w:w="0" w:type="dxa"/>
              <w:left w:w="100" w:type="dxa"/>
              <w:bottom w:w="0" w:type="dxa"/>
              <w:right w:w="100" w:type="dxa"/>
            </w:tcMar>
          </w:tcPr>
          <w:p w14:paraId="6F68C999" w14:textId="77777777" w:rsidR="00315874" w:rsidRDefault="00315874">
            <w:pPr>
              <w:shd w:val="clear" w:color="auto" w:fill="FFFFFF"/>
              <w:spacing w:line="240" w:lineRule="auto"/>
              <w:jc w:val="both"/>
              <w:rPr>
                <w:rFonts w:ascii="Times New Roman" w:eastAsia="Times New Roman" w:hAnsi="Times New Roman" w:cs="Times New Roman"/>
                <w:b/>
                <w:bCs/>
                <w:sz w:val="24"/>
                <w:szCs w:val="24"/>
                <w:highlight w:val="white"/>
              </w:rPr>
            </w:pPr>
          </w:p>
        </w:tc>
      </w:tr>
      <w:tr w:rsidR="00315874" w14:paraId="065754F3" w14:textId="77777777">
        <w:trPr>
          <w:trHeight w:val="975"/>
        </w:trPr>
        <w:tc>
          <w:tcPr>
            <w:tcW w:w="735" w:type="dxa"/>
            <w:vMerge w:val="restart"/>
            <w:tcBorders>
              <w:top w:val="single" w:sz="6" w:space="0" w:color="999999"/>
              <w:left w:val="single" w:sz="6" w:space="0" w:color="999999"/>
              <w:bottom w:val="single" w:sz="6" w:space="0" w:color="999999"/>
              <w:right w:val="single" w:sz="6" w:space="0" w:color="999999"/>
            </w:tcBorders>
            <w:tcMar>
              <w:top w:w="0" w:type="dxa"/>
              <w:bottom w:w="0" w:type="dxa"/>
            </w:tcMar>
          </w:tcPr>
          <w:p w14:paraId="16509A87" w14:textId="77777777" w:rsidR="00315874"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37.</w:t>
            </w:r>
          </w:p>
        </w:tc>
        <w:tc>
          <w:tcPr>
            <w:tcW w:w="2835" w:type="dxa"/>
            <w:vMerge w:val="restart"/>
            <w:tcBorders>
              <w:top w:val="single" w:sz="6" w:space="0" w:color="999999"/>
              <w:left w:val="single" w:sz="6" w:space="0" w:color="999999"/>
              <w:bottom w:val="single" w:sz="6" w:space="0" w:color="999999"/>
              <w:right w:val="single" w:sz="6" w:space="0" w:color="999999"/>
            </w:tcBorders>
            <w:tcMar>
              <w:top w:w="0" w:type="dxa"/>
              <w:bottom w:w="0" w:type="dxa"/>
            </w:tcMar>
          </w:tcPr>
          <w:p w14:paraId="2D44FA38" w14:textId="77777777" w:rsidR="00315874" w:rsidRDefault="00000000">
            <w:pPr>
              <w:spacing w:line="240" w:lineRule="auto"/>
              <w:ind w:left="14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Agenția Proprietății Publice</w:t>
            </w:r>
          </w:p>
          <w:p w14:paraId="4A4013A1" w14:textId="77777777" w:rsidR="00315874" w:rsidRDefault="00000000">
            <w:pPr>
              <w:spacing w:line="240" w:lineRule="auto"/>
              <w:ind w:left="140"/>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Nr. 05-04-5094 din 01.07.2026</w:t>
            </w: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173DE6CD"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Proiectul propune modificarea </w:t>
            </w:r>
            <w:r>
              <w:rPr>
                <w:rFonts w:ascii="Times New Roman" w:eastAsia="Times New Roman" w:hAnsi="Times New Roman" w:cs="Times New Roman"/>
                <w:b/>
                <w:bCs/>
                <w:sz w:val="24"/>
                <w:szCs w:val="24"/>
                <w:highlight w:val="white"/>
              </w:rPr>
              <w:t>art. 115 alin. (5) și art. 118 alin. (3) din Codul muncii al Republicii Moldova</w:t>
            </w:r>
            <w:r>
              <w:rPr>
                <w:rFonts w:ascii="Times New Roman" w:eastAsia="Times New Roman" w:hAnsi="Times New Roman" w:cs="Times New Roman"/>
                <w:sz w:val="24"/>
                <w:szCs w:val="24"/>
                <w:highlight w:val="white"/>
              </w:rPr>
              <w:t>, prin substituirea sintagmei „</w:t>
            </w:r>
            <w:r>
              <w:rPr>
                <w:rFonts w:ascii="Times New Roman" w:eastAsia="Times New Roman" w:hAnsi="Times New Roman" w:cs="Times New Roman"/>
                <w:i/>
                <w:iCs/>
                <w:sz w:val="24"/>
                <w:szCs w:val="24"/>
                <w:highlight w:val="white"/>
              </w:rPr>
              <w:t>14 zile calendaristice</w:t>
            </w:r>
            <w:r>
              <w:rPr>
                <w:rFonts w:ascii="Times New Roman" w:eastAsia="Times New Roman" w:hAnsi="Times New Roman" w:cs="Times New Roman"/>
                <w:sz w:val="24"/>
                <w:szCs w:val="24"/>
                <w:highlight w:val="white"/>
              </w:rPr>
              <w:t>” cu sintagma „</w:t>
            </w:r>
            <w:r>
              <w:rPr>
                <w:rFonts w:ascii="Times New Roman" w:eastAsia="Times New Roman" w:hAnsi="Times New Roman" w:cs="Times New Roman"/>
                <w:i/>
                <w:iCs/>
                <w:sz w:val="24"/>
                <w:szCs w:val="24"/>
                <w:highlight w:val="white"/>
              </w:rPr>
              <w:t>două săptămâni lucrătoare de concediu neîntrerupt”</w:t>
            </w:r>
            <w:r>
              <w:rPr>
                <w:rFonts w:ascii="Times New Roman" w:eastAsia="Times New Roman" w:hAnsi="Times New Roman" w:cs="Times New Roman"/>
                <w:sz w:val="24"/>
                <w:szCs w:val="24"/>
                <w:highlight w:val="white"/>
              </w:rPr>
              <w:t xml:space="preserve">. </w:t>
            </w:r>
          </w:p>
          <w:p w14:paraId="3CCBFBBF"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Agenția Proprietății Publice nu susține modificările propuse.</w:t>
            </w:r>
          </w:p>
          <w:p w14:paraId="7885ADD8"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Dreptul la concediul de odihnă anual reprezintă un drept fundamental al salariatului, garantat de legislația muncii, destinat refacerii capacității de muncă și asigurării echilibrului dintre viața profesională și cea personală. Exercitarea acestui drept trebuie să se realizeze cu </w:t>
            </w:r>
            <w:r>
              <w:rPr>
                <w:rFonts w:ascii="Times New Roman" w:eastAsia="Times New Roman" w:hAnsi="Times New Roman" w:cs="Times New Roman"/>
                <w:sz w:val="24"/>
                <w:szCs w:val="24"/>
                <w:highlight w:val="white"/>
              </w:rPr>
              <w:lastRenderedPageBreak/>
              <w:t>respectarea voinței salariatului și prin concilierea intereselor acestuia cu necesitățile de organizare a activității angajatorului.</w:t>
            </w:r>
          </w:p>
          <w:p w14:paraId="3B6B210B"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În opinia Agenției, modalitatea de utilizare a concediului anual nu trebuie să fie supusă unor condiționări suplimentare care limitează libertatea salariatului de a decide asupra perioadei și duratei concediului. Alegerea modului de fracționare a concediului reprezintă o opțiune care trebuie să aparțină, în primul rând, salariatului, în funcție de necesitățile sale personale și familiale, precum și de acordul realizat cu angajatorul. </w:t>
            </w:r>
          </w:p>
          <w:p w14:paraId="17DF7A4A"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Condiționarea poate conduce la restrângerea posibilității salariatului de a beneficia de concediul de odihnă în modalitatea pe care o consideră oportună. În practică, numeroși salariați optează pentru fracționarea concediului în perioade mai scurte, determinate de obligații familiale, motive de sănătate, programul școlar al copiilor sau alte circumstanțe personale, iar impunerea unei perioade minime obligatorii de două săptămâni lucrătoare poate împiedica exercitarea efectivă a acestui drept în condiții adaptate nevoilor individuale.</w:t>
            </w:r>
          </w:p>
          <w:p w14:paraId="736333CF"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În concluzie, Agenția Proprietății Publice consideră că nici reglementarea actuală, care impune acordarea unei fracțiuni de concediu de cel puțin 14 zile calendaristice, și nici modificarea propusă, care prevede acordarea unei </w:t>
            </w:r>
            <w:r>
              <w:rPr>
                <w:rFonts w:ascii="Times New Roman" w:eastAsia="Times New Roman" w:hAnsi="Times New Roman" w:cs="Times New Roman"/>
                <w:sz w:val="24"/>
                <w:szCs w:val="24"/>
                <w:highlight w:val="white"/>
              </w:rPr>
              <w:lastRenderedPageBreak/>
              <w:t>fracțiuni neîntrerupte de două săptămâni lucrătoare, nu răspund pe deplin principiului exercitării libere a dreptului la concediul de odihnă anual.</w:t>
            </w:r>
          </w:p>
          <w:p w14:paraId="3FC77E9D"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Agenția apreciază că fracționarea concediului de odihnă trebuie să reprezinte exclusiv rezultatul opțiunii salariatului, exprimată de comun acord cu angajatorul, fără instituirea prin lege a unei durate minime obligatorii pentru una dintre fracțiunile concediului.  Alegerea perioadei și a modului de utilizare a concediului ține de necesitățile personale și familiale ale salariatului și nu ar trebui să fie limitată prin condiții legale privind durata minimă a unei fracțiuni de concediu.</w:t>
            </w:r>
          </w:p>
          <w:p w14:paraId="635134F5"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Prin urmare, Agenția nu susține nici menținerea reglementării actuale și nici soluția legislativă propusă prin proiect, considerând oportună revizuirea normei în sensul eliminării obligației privind acordarea unei fracțiuni minime obligatorii de concediu și consacrării posibilității ca modalitatea de fracționare a concediului anual să fie stabilită prin acordul dintre salariat și angajator, în funcție de voința și interesele legitime ale salariatului.</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3D6998BC"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 xml:space="preserve">Nu se acceptă. </w:t>
            </w:r>
          </w:p>
          <w:p w14:paraId="17153632"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23CCE419"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Condiția fracționării cu o parte neîntreruptă de cel puțin 10 zile lucrătoare/două săptămâni de lucru este impusă de art. 8 alin. (2) din Convenția OIM nr. 132/1970 și nu poate fi eliminată prin voința exclusivă a părților.</w:t>
            </w:r>
          </w:p>
        </w:tc>
      </w:tr>
      <w:tr w:rsidR="00315874" w14:paraId="4E7FE326" w14:textId="77777777">
        <w:trPr>
          <w:trHeight w:val="975"/>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5F6294CA"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63F2F128" w14:textId="77777777" w:rsidR="00315874" w:rsidRDefault="00315874">
            <w:pPr>
              <w:spacing w:line="240" w:lineRule="auto"/>
              <w:jc w:val="center"/>
              <w:rPr>
                <w:rFonts w:ascii="Times New Roman" w:eastAsia="Times New Roman" w:hAnsi="Times New Roman" w:cs="Times New Roman"/>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7A1A7B52"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Cu privire la </w:t>
            </w:r>
            <w:r>
              <w:rPr>
                <w:rFonts w:ascii="Times New Roman" w:eastAsia="Times New Roman" w:hAnsi="Times New Roman" w:cs="Times New Roman"/>
                <w:b/>
                <w:bCs/>
                <w:sz w:val="24"/>
                <w:szCs w:val="24"/>
                <w:highlight w:val="white"/>
              </w:rPr>
              <w:t>art. 43 alin. (1)</w:t>
            </w:r>
            <w:r>
              <w:rPr>
                <w:rFonts w:ascii="Times New Roman" w:eastAsia="Times New Roman" w:hAnsi="Times New Roman" w:cs="Times New Roman"/>
                <w:sz w:val="24"/>
                <w:szCs w:val="24"/>
                <w:highlight w:val="white"/>
              </w:rPr>
              <w:t xml:space="preserve"> din </w:t>
            </w:r>
            <w:r>
              <w:rPr>
                <w:rFonts w:ascii="Times New Roman" w:eastAsia="Times New Roman" w:hAnsi="Times New Roman" w:cs="Times New Roman"/>
                <w:i/>
                <w:iCs/>
                <w:sz w:val="24"/>
                <w:szCs w:val="24"/>
                <w:highlight w:val="white"/>
              </w:rPr>
              <w:t>Legea nr. 158/2008 cu privire la funcția publică și statutul funcționarului public</w:t>
            </w:r>
            <w:r>
              <w:rPr>
                <w:rFonts w:ascii="Times New Roman" w:eastAsia="Times New Roman" w:hAnsi="Times New Roman" w:cs="Times New Roman"/>
                <w:sz w:val="24"/>
                <w:szCs w:val="24"/>
                <w:highlight w:val="white"/>
              </w:rPr>
              <w:t xml:space="preserve">, prin substituirea textului </w:t>
            </w:r>
            <w:r>
              <w:rPr>
                <w:rFonts w:ascii="Times New Roman" w:eastAsia="Times New Roman" w:hAnsi="Times New Roman" w:cs="Times New Roman"/>
                <w:i/>
                <w:iCs/>
                <w:sz w:val="24"/>
                <w:szCs w:val="24"/>
                <w:highlight w:val="white"/>
              </w:rPr>
              <w:t xml:space="preserve">„14 zile calendaristice” </w:t>
            </w:r>
            <w:r>
              <w:rPr>
                <w:rFonts w:ascii="Times New Roman" w:eastAsia="Times New Roman" w:hAnsi="Times New Roman" w:cs="Times New Roman"/>
                <w:sz w:val="24"/>
                <w:szCs w:val="24"/>
                <w:highlight w:val="white"/>
              </w:rPr>
              <w:t xml:space="preserve">cu </w:t>
            </w:r>
            <w:r>
              <w:rPr>
                <w:rFonts w:ascii="Times New Roman" w:eastAsia="Times New Roman" w:hAnsi="Times New Roman" w:cs="Times New Roman"/>
                <w:sz w:val="24"/>
                <w:szCs w:val="24"/>
                <w:highlight w:val="white"/>
              </w:rPr>
              <w:lastRenderedPageBreak/>
              <w:t xml:space="preserve">textul </w:t>
            </w:r>
            <w:r>
              <w:rPr>
                <w:rFonts w:ascii="Times New Roman" w:eastAsia="Times New Roman" w:hAnsi="Times New Roman" w:cs="Times New Roman"/>
                <w:i/>
                <w:iCs/>
                <w:sz w:val="24"/>
                <w:szCs w:val="24"/>
                <w:highlight w:val="white"/>
              </w:rPr>
              <w:t>„două săptămâni lucrătoare de concediu neîntrerupt”</w:t>
            </w:r>
            <w:r>
              <w:rPr>
                <w:rFonts w:ascii="Times New Roman" w:eastAsia="Times New Roman" w:hAnsi="Times New Roman" w:cs="Times New Roman"/>
                <w:sz w:val="24"/>
                <w:szCs w:val="24"/>
                <w:highlight w:val="white"/>
              </w:rPr>
              <w:t>.</w:t>
            </w:r>
          </w:p>
          <w:p w14:paraId="64F9F94A"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Agenția Proprietății Publice nu susține modificarea propusă, reiterând argumentele expuse cu privire la modificările operate în Codul muncii.</w:t>
            </w:r>
          </w:p>
          <w:p w14:paraId="64DD7980" w14:textId="77777777" w:rsidR="00315874" w:rsidRDefault="00315874">
            <w:pPr>
              <w:jc w:val="both"/>
              <w:rPr>
                <w:rFonts w:ascii="Times New Roman" w:eastAsia="Times New Roman" w:hAnsi="Times New Roman" w:cs="Times New Roman"/>
                <w:sz w:val="24"/>
                <w:szCs w:val="24"/>
                <w:highlight w:val="white"/>
              </w:rPr>
            </w:pP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1F8B19BD"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 xml:space="preserve">Nu se acceptă. </w:t>
            </w:r>
          </w:p>
          <w:p w14:paraId="36673344"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302675BF"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 se vedea răspunsul consolidat de la punctul precedent din prezentul aviz.</w:t>
            </w:r>
          </w:p>
        </w:tc>
      </w:tr>
      <w:tr w:rsidR="00315874" w14:paraId="56C7BBDC" w14:textId="77777777">
        <w:trPr>
          <w:trHeight w:val="975"/>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1B39FC94"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1A9B7017" w14:textId="77777777" w:rsidR="00315874" w:rsidRDefault="00315874">
            <w:pPr>
              <w:spacing w:line="240" w:lineRule="auto"/>
              <w:jc w:val="center"/>
              <w:rPr>
                <w:rFonts w:ascii="Times New Roman" w:eastAsia="Times New Roman" w:hAnsi="Times New Roman" w:cs="Times New Roman"/>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5827F048"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Proiectul propune excluderea </w:t>
            </w:r>
            <w:r>
              <w:rPr>
                <w:rFonts w:ascii="Times New Roman" w:eastAsia="Times New Roman" w:hAnsi="Times New Roman" w:cs="Times New Roman"/>
                <w:b/>
                <w:bCs/>
                <w:sz w:val="24"/>
                <w:szCs w:val="24"/>
                <w:highlight w:val="white"/>
              </w:rPr>
              <w:t>alin. (2) al art. 43</w:t>
            </w:r>
            <w:r>
              <w:rPr>
                <w:rFonts w:ascii="Times New Roman" w:eastAsia="Times New Roman" w:hAnsi="Times New Roman" w:cs="Times New Roman"/>
                <w:sz w:val="24"/>
                <w:szCs w:val="24"/>
                <w:highlight w:val="white"/>
              </w:rPr>
              <w:t xml:space="preserve"> din </w:t>
            </w:r>
            <w:r>
              <w:rPr>
                <w:rFonts w:ascii="Times New Roman" w:eastAsia="Times New Roman" w:hAnsi="Times New Roman" w:cs="Times New Roman"/>
                <w:i/>
                <w:iCs/>
                <w:sz w:val="24"/>
                <w:szCs w:val="24"/>
                <w:highlight w:val="white"/>
              </w:rPr>
              <w:t>Legea nr. 158/2008 cu privire la funcția publică și statutul funcționarului public</w:t>
            </w:r>
            <w:r>
              <w:rPr>
                <w:rFonts w:ascii="Times New Roman" w:eastAsia="Times New Roman" w:hAnsi="Times New Roman" w:cs="Times New Roman"/>
                <w:sz w:val="24"/>
                <w:szCs w:val="24"/>
                <w:highlight w:val="white"/>
              </w:rPr>
              <w:t>, potrivit căruia, în cazul în care vechimea în serviciul public depășește 5, 10 și 15 ani, durata concediului de odihnă anual plătit se majorează cu 3, 5 și, respectiv, 7 zile calendaristice.</w:t>
            </w:r>
          </w:p>
          <w:p w14:paraId="0F39D067"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Agenția Proprietății Publice nu susține modificarea propusă.</w:t>
            </w:r>
          </w:p>
          <w:p w14:paraId="37FCB584"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Majorarea duratei concediului de odihnă anual în funcție de vechimea în serviciul public reprezintă una dintre puținele garanții sociale care recompensează experiența profesională acumulată și contribuția pe termen lung a funcționarului public la realizarea atribuțiilor autorității publice. Această măsură are un pronunțat caracter motivațional, constituind o formă de recunoaștere a loialității și a activității desfășurate în serviciul public.</w:t>
            </w:r>
          </w:p>
          <w:p w14:paraId="74CC6855"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Eliminarea acestui beneficiu reduce mecanismele de motivare non-financiară a funcționarilor publici și transmite un semnal negativ personalului cu experiență, </w:t>
            </w:r>
            <w:r>
              <w:rPr>
                <w:rFonts w:ascii="Times New Roman" w:eastAsia="Times New Roman" w:hAnsi="Times New Roman" w:cs="Times New Roman"/>
                <w:sz w:val="24"/>
                <w:szCs w:val="24"/>
                <w:highlight w:val="white"/>
              </w:rPr>
              <w:lastRenderedPageBreak/>
              <w:t>diminuând interesul pentru menținerea unei cariere pe termen lung în serviciul public. În condițiile în care autoritățile publice se confruntă cu dificultăți în atragerea și menținerea specialiștilor calificați, diminuarea garanțiilor sociale existente poate accentua fluctuația personalului, poate reduce gradul de retenție a funcționarilor cu experiență și poate afecta continuitatea și calitatea activității autorităților publice.</w:t>
            </w:r>
          </w:p>
          <w:p w14:paraId="60CB8DD9"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Totodată, experiența profesională acumulată de funcționarii publici constituie o resursă esențială pentru asigurarea eficienței, legalității și continuității activității administrative. Din această perspectivă, menținerea unor stimulente corelate cu vechimea în serviciul public reprezintă un instrument legitim de politică a resurselor umane, orientat spre consolidarea personalului și valorificarea experienței profesionale.</w:t>
            </w:r>
          </w:p>
          <w:p w14:paraId="7C0D992B"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În lipsa unor măsuri compensatorii care să înlocuiască beneficiul propus spre excludere, eliminarea majorării concediului de odihnă anual în funcție de vechimea în serviciul public este susceptibilă să diminueze nivelul de motivare a personalului și atractivitatea funcției publice.</w:t>
            </w:r>
          </w:p>
          <w:p w14:paraId="30B9F092"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Având în vedere cele expuse, Agenția Proprietății Publice consideră oportună menținerea garanțiilor sociale acordate funcționarilor publici în funcție de vechimea în serviciul public, acestea reprezentând un mecanism </w:t>
            </w:r>
            <w:r>
              <w:rPr>
                <w:rFonts w:ascii="Times New Roman" w:eastAsia="Times New Roman" w:hAnsi="Times New Roman" w:cs="Times New Roman"/>
                <w:sz w:val="24"/>
                <w:szCs w:val="24"/>
                <w:highlight w:val="white"/>
              </w:rPr>
              <w:lastRenderedPageBreak/>
              <w:t>important de motivare, consolidare și recunoaștere a experienței profesionale acumulate.</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684EE4E2"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Nu se acceptă.</w:t>
            </w:r>
          </w:p>
          <w:p w14:paraId="35AF95C2"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2C10FD48"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Poziția Ministerului este cea expusă la pct. 8 (Ministerul Justiției), aplicabilă direct prezentei obiecții, întrucât vizează același articol (art. 43 alin. (2) din Legea nr. 158/2008). Nu se acceptă nici propunerea de reformulare a normei cu majorarea concediului cu 3/5/7 zile lucrătoare în funcție de vechime: aceasta ar echivala cu menținerea, sub o altă formă, a mecanismului pe care proiectul îl elimină.</w:t>
            </w:r>
          </w:p>
          <w:p w14:paraId="22D189C7"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Prin urmare, prevederea din proiect se menține.</w:t>
            </w:r>
          </w:p>
          <w:p w14:paraId="5B9F49DE"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08E1BACB" w14:textId="77777777" w:rsidR="00315874" w:rsidRDefault="00315874">
            <w:pPr>
              <w:shd w:val="clear" w:color="auto" w:fill="FFFFFF"/>
              <w:jc w:val="both"/>
              <w:rPr>
                <w:rFonts w:ascii="Times New Roman" w:eastAsia="Times New Roman" w:hAnsi="Times New Roman" w:cs="Times New Roman"/>
                <w:sz w:val="24"/>
                <w:szCs w:val="24"/>
                <w:highlight w:val="white"/>
              </w:rPr>
            </w:pPr>
          </w:p>
        </w:tc>
      </w:tr>
      <w:tr w:rsidR="00315874" w14:paraId="7834393C" w14:textId="77777777">
        <w:trPr>
          <w:trHeight w:val="975"/>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477ED704"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680B841A" w14:textId="77777777" w:rsidR="00315874" w:rsidRDefault="00315874">
            <w:pPr>
              <w:spacing w:line="240" w:lineRule="auto"/>
              <w:jc w:val="center"/>
              <w:rPr>
                <w:rFonts w:ascii="Times New Roman" w:eastAsia="Times New Roman" w:hAnsi="Times New Roman" w:cs="Times New Roman"/>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1CD7B682"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Totodată, în vederea asigurării unei aplicări uniforme a legislației și a unui tratament echitabil în raport cu celelalte modificări propuse prin proiect, Agenția propune menținerea majorării duratei concediului de odihnă anual în funcție de vechimea în serviciul public, cu substituirea sintagmei </w:t>
            </w:r>
            <w:r>
              <w:rPr>
                <w:rFonts w:ascii="Times New Roman" w:eastAsia="Times New Roman" w:hAnsi="Times New Roman" w:cs="Times New Roman"/>
                <w:i/>
                <w:iCs/>
                <w:sz w:val="24"/>
                <w:szCs w:val="24"/>
                <w:highlight w:val="white"/>
              </w:rPr>
              <w:t>„zile calendaristice”</w:t>
            </w:r>
            <w:r>
              <w:rPr>
                <w:rFonts w:ascii="Times New Roman" w:eastAsia="Times New Roman" w:hAnsi="Times New Roman" w:cs="Times New Roman"/>
                <w:sz w:val="24"/>
                <w:szCs w:val="24"/>
                <w:highlight w:val="white"/>
              </w:rPr>
              <w:t xml:space="preserve"> cu sintagma </w:t>
            </w:r>
            <w:r>
              <w:rPr>
                <w:rFonts w:ascii="Times New Roman" w:eastAsia="Times New Roman" w:hAnsi="Times New Roman" w:cs="Times New Roman"/>
                <w:i/>
                <w:iCs/>
                <w:sz w:val="24"/>
                <w:szCs w:val="24"/>
                <w:highlight w:val="white"/>
              </w:rPr>
              <w:t>„zile lucrătoare”</w:t>
            </w:r>
            <w:r>
              <w:rPr>
                <w:rFonts w:ascii="Times New Roman" w:eastAsia="Times New Roman" w:hAnsi="Times New Roman" w:cs="Times New Roman"/>
                <w:sz w:val="24"/>
                <w:szCs w:val="24"/>
                <w:highlight w:val="white"/>
              </w:rPr>
              <w:t>, după cum urmează: pentru o vechime în serviciul public de peste 5 ani – 3 zile lucrătoare, de peste 10 ani – 5 zile lucrătoare, iar de peste 15 ani – 7 zile lucrătoare.</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1A8163A2"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 xml:space="preserve">Nu se acceptă. </w:t>
            </w:r>
          </w:p>
          <w:p w14:paraId="70D7FF7C"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29713CBF"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 se vedea răspunsul de la punctul precedent din prezentul aviz.</w:t>
            </w:r>
          </w:p>
        </w:tc>
      </w:tr>
      <w:tr w:rsidR="00315874" w14:paraId="1D1F5AA1" w14:textId="77777777">
        <w:trPr>
          <w:trHeight w:val="975"/>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0684A870"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2A3E8B0F" w14:textId="77777777" w:rsidR="00315874" w:rsidRDefault="00315874">
            <w:pPr>
              <w:spacing w:line="240" w:lineRule="auto"/>
              <w:jc w:val="center"/>
              <w:rPr>
                <w:rFonts w:ascii="Times New Roman" w:eastAsia="Times New Roman" w:hAnsi="Times New Roman" w:cs="Times New Roman"/>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3C698508"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Proiectul propune modificarea </w:t>
            </w:r>
            <w:r>
              <w:rPr>
                <w:rFonts w:ascii="Times New Roman" w:eastAsia="Times New Roman" w:hAnsi="Times New Roman" w:cs="Times New Roman"/>
                <w:b/>
                <w:bCs/>
                <w:sz w:val="24"/>
                <w:szCs w:val="24"/>
                <w:highlight w:val="white"/>
              </w:rPr>
              <w:t>art. 39 din Legea nr. 60/2012 privind incluziunea socială a persoanelor cu dizabilităț</w:t>
            </w:r>
            <w:r>
              <w:rPr>
                <w:rFonts w:ascii="Times New Roman" w:eastAsia="Times New Roman" w:hAnsi="Times New Roman" w:cs="Times New Roman"/>
                <w:sz w:val="24"/>
                <w:szCs w:val="24"/>
                <w:highlight w:val="white"/>
              </w:rPr>
              <w:t xml:space="preserve">i, prin substituirea textului </w:t>
            </w:r>
            <w:r>
              <w:rPr>
                <w:rFonts w:ascii="Times New Roman" w:eastAsia="Times New Roman" w:hAnsi="Times New Roman" w:cs="Times New Roman"/>
                <w:i/>
                <w:iCs/>
                <w:sz w:val="24"/>
                <w:szCs w:val="24"/>
                <w:highlight w:val="white"/>
              </w:rPr>
              <w:t>„40 de zile calendaristice”</w:t>
            </w:r>
            <w:r>
              <w:rPr>
                <w:rFonts w:ascii="Times New Roman" w:eastAsia="Times New Roman" w:hAnsi="Times New Roman" w:cs="Times New Roman"/>
                <w:sz w:val="24"/>
                <w:szCs w:val="24"/>
                <w:highlight w:val="white"/>
              </w:rPr>
              <w:t xml:space="preserve"> cu textul </w:t>
            </w:r>
            <w:r>
              <w:rPr>
                <w:rFonts w:ascii="Times New Roman" w:eastAsia="Times New Roman" w:hAnsi="Times New Roman" w:cs="Times New Roman"/>
                <w:i/>
                <w:iCs/>
                <w:sz w:val="24"/>
                <w:szCs w:val="24"/>
                <w:highlight w:val="white"/>
              </w:rPr>
              <w:t>„32 de zile lucrătoare”</w:t>
            </w:r>
            <w:r>
              <w:rPr>
                <w:rFonts w:ascii="Times New Roman" w:eastAsia="Times New Roman" w:hAnsi="Times New Roman" w:cs="Times New Roman"/>
                <w:sz w:val="24"/>
                <w:szCs w:val="24"/>
                <w:highlight w:val="white"/>
              </w:rPr>
              <w:t xml:space="preserve">, precum și a textului </w:t>
            </w:r>
            <w:r>
              <w:rPr>
                <w:rFonts w:ascii="Times New Roman" w:eastAsia="Times New Roman" w:hAnsi="Times New Roman" w:cs="Times New Roman"/>
                <w:i/>
                <w:iCs/>
                <w:sz w:val="24"/>
                <w:szCs w:val="24"/>
                <w:highlight w:val="white"/>
              </w:rPr>
              <w:t>„32 de zile calendaristice”</w:t>
            </w:r>
            <w:r>
              <w:rPr>
                <w:rFonts w:ascii="Times New Roman" w:eastAsia="Times New Roman" w:hAnsi="Times New Roman" w:cs="Times New Roman"/>
                <w:sz w:val="24"/>
                <w:szCs w:val="24"/>
                <w:highlight w:val="white"/>
              </w:rPr>
              <w:t xml:space="preserve"> cu textul </w:t>
            </w:r>
            <w:r>
              <w:rPr>
                <w:rFonts w:ascii="Times New Roman" w:eastAsia="Times New Roman" w:hAnsi="Times New Roman" w:cs="Times New Roman"/>
                <w:i/>
                <w:iCs/>
                <w:sz w:val="24"/>
                <w:szCs w:val="24"/>
                <w:highlight w:val="white"/>
              </w:rPr>
              <w:t>„26 de zile lucrătoare”.</w:t>
            </w:r>
            <w:r>
              <w:rPr>
                <w:rFonts w:ascii="Times New Roman" w:eastAsia="Times New Roman" w:hAnsi="Times New Roman" w:cs="Times New Roman"/>
                <w:sz w:val="24"/>
                <w:szCs w:val="24"/>
                <w:highlight w:val="white"/>
              </w:rPr>
              <w:t xml:space="preserve"> </w:t>
            </w:r>
          </w:p>
          <w:p w14:paraId="372161CB"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Agenția Proprietății Publice nu formulează obiecții asupra modificărilor propuse, însă consideră necesară completarea proiectului cu modificări corespunzătoare ale Legii nr. 158/2008 cu privire la funcția publică și statutul funcționarului public.</w:t>
            </w:r>
          </w:p>
          <w:p w14:paraId="16B17314"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 xml:space="preserve">  În acest sens, menționăm că Legea nr. 158/2008 reprezintă actul normativ special care reglementează regimul juridic al funcției publice, statutul funcționarului public, drepturile și obligațiile acestuia, precum și raporturile de serviciu dintre funcționarii publici și autoritățile publice. Totodată, funcționarii publici pot fi persoane cu dizabilități și beneficiază de garanțiile sociale prevăzute de legislația în domeniul incluziunii sociale.</w:t>
            </w:r>
          </w:p>
          <w:p w14:paraId="309880F0"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În lipsa unor modificări corelative ale Legii nr. 158/2008, există riscul apariției unor neclarități în aplicarea unitară a normelor privind durata concediului de odihnă anual al funcționarilor publici cu dizabilități, ceea ce ar putea afecta coerența cadrului normativ.</w:t>
            </w:r>
          </w:p>
          <w:p w14:paraId="65973347" w14:textId="77777777" w:rsidR="00315874" w:rsidRDefault="00315874">
            <w:pPr>
              <w:jc w:val="both"/>
              <w:rPr>
                <w:rFonts w:ascii="Times New Roman" w:eastAsia="Times New Roman" w:hAnsi="Times New Roman" w:cs="Times New Roman"/>
                <w:sz w:val="24"/>
                <w:szCs w:val="24"/>
                <w:highlight w:val="white"/>
              </w:rPr>
            </w:pPr>
          </w:p>
          <w:p w14:paraId="74971E8E"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În vederea asigurării unei reglementări unitare și a respectării principiilor coerenței și corelării legislației, Agenția consideră oportun ca modificările operate la art. 39 din Legea nr. 60/2012 să fie reflectate și în Legea nr. 158/2008, prin instituirea expresă a dreptului funcționarilor publici cu dizabilități de a beneficia de concediul de odihnă anual în aceeași durată, exprimată în zile lucrătoare.</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647C1FC6"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 xml:space="preserve">Se acceptă. </w:t>
            </w:r>
          </w:p>
          <w:p w14:paraId="08DBE83E"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776948EB"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Proiectul va fi completat cu o modificare corelativă a Legii nr. 158/2008, prin care să se prevadă expres dreptul funcționarilor publici cu dizabilități de a beneficia de concediul de odihnă anual în durata și condițiile stabilite la art. 39 din Legea nr. 60/2012, exprimată în zile lucrătoare.</w:t>
            </w:r>
          </w:p>
        </w:tc>
      </w:tr>
      <w:tr w:rsidR="00315874" w14:paraId="59F68650" w14:textId="77777777">
        <w:trPr>
          <w:trHeight w:val="975"/>
        </w:trPr>
        <w:tc>
          <w:tcPr>
            <w:tcW w:w="735" w:type="dxa"/>
            <w:tcBorders>
              <w:top w:val="single" w:sz="6" w:space="0" w:color="999999"/>
              <w:left w:val="single" w:sz="6" w:space="0" w:color="999999"/>
              <w:bottom w:val="single" w:sz="6" w:space="0" w:color="999999"/>
              <w:right w:val="single" w:sz="6" w:space="0" w:color="999999"/>
            </w:tcBorders>
            <w:tcMar>
              <w:top w:w="0" w:type="dxa"/>
              <w:bottom w:w="0" w:type="dxa"/>
            </w:tcMar>
          </w:tcPr>
          <w:p w14:paraId="56E4A4AF" w14:textId="77777777" w:rsidR="00315874"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38.</w:t>
            </w:r>
          </w:p>
        </w:tc>
        <w:tc>
          <w:tcPr>
            <w:tcW w:w="2835" w:type="dxa"/>
            <w:tcBorders>
              <w:top w:val="single" w:sz="6" w:space="0" w:color="999999"/>
              <w:left w:val="single" w:sz="6" w:space="0" w:color="999999"/>
              <w:bottom w:val="single" w:sz="6" w:space="0" w:color="999999"/>
              <w:right w:val="single" w:sz="6" w:space="0" w:color="999999"/>
            </w:tcBorders>
            <w:tcMar>
              <w:top w:w="0" w:type="dxa"/>
              <w:bottom w:w="0" w:type="dxa"/>
            </w:tcMar>
          </w:tcPr>
          <w:p w14:paraId="1C8EB162" w14:textId="77777777" w:rsidR="00315874" w:rsidRDefault="00000000">
            <w:pPr>
              <w:spacing w:line="240" w:lineRule="auto"/>
              <w:ind w:left="14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Agenția Națională Antidoping</w:t>
            </w:r>
          </w:p>
          <w:p w14:paraId="2937ADFB" w14:textId="77777777" w:rsidR="00315874" w:rsidRDefault="00000000">
            <w:pPr>
              <w:spacing w:line="240" w:lineRule="auto"/>
              <w:ind w:left="140"/>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Nr 131/26 din 02.07.2026</w:t>
            </w: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581A448F"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Lipsă de obiecții și propuneri.</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02C4FBA4"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Se ia act</w:t>
            </w:r>
          </w:p>
        </w:tc>
      </w:tr>
      <w:tr w:rsidR="00315874" w14:paraId="798F1769" w14:textId="77777777">
        <w:trPr>
          <w:trHeight w:val="1469"/>
        </w:trPr>
        <w:tc>
          <w:tcPr>
            <w:tcW w:w="735" w:type="dxa"/>
            <w:tcBorders>
              <w:top w:val="single" w:sz="6" w:space="0" w:color="999999"/>
              <w:left w:val="single" w:sz="6" w:space="0" w:color="999999"/>
              <w:bottom w:val="single" w:sz="6" w:space="0" w:color="999999"/>
              <w:right w:val="single" w:sz="6" w:space="0" w:color="999999"/>
            </w:tcBorders>
            <w:tcMar>
              <w:top w:w="0" w:type="dxa"/>
              <w:bottom w:w="0" w:type="dxa"/>
            </w:tcMar>
          </w:tcPr>
          <w:p w14:paraId="618B8CB2" w14:textId="77777777" w:rsidR="00315874"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39.</w:t>
            </w:r>
          </w:p>
        </w:tc>
        <w:tc>
          <w:tcPr>
            <w:tcW w:w="2835" w:type="dxa"/>
            <w:tcBorders>
              <w:top w:val="single" w:sz="6" w:space="0" w:color="999999"/>
              <w:left w:val="single" w:sz="6" w:space="0" w:color="999999"/>
              <w:bottom w:val="single" w:sz="6" w:space="0" w:color="999999"/>
              <w:right w:val="single" w:sz="6" w:space="0" w:color="999999"/>
            </w:tcBorders>
            <w:tcMar>
              <w:top w:w="0" w:type="dxa"/>
              <w:bottom w:w="0" w:type="dxa"/>
            </w:tcMar>
          </w:tcPr>
          <w:p w14:paraId="41A16D25" w14:textId="77777777" w:rsidR="00315874" w:rsidRDefault="00000000">
            <w:pPr>
              <w:spacing w:line="240" w:lineRule="auto"/>
              <w:ind w:left="14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Biroul de Investigare a Accidentelor și Incidentelor în Transporturi</w:t>
            </w:r>
          </w:p>
          <w:p w14:paraId="68E4EE2B" w14:textId="77777777" w:rsidR="00315874" w:rsidRDefault="00000000">
            <w:pPr>
              <w:spacing w:line="240" w:lineRule="auto"/>
              <w:ind w:left="140"/>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Nr. 177 din 19.06.2026</w:t>
            </w: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3191DDA2"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Lipsă de obiecții și propuneri.</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43F06CEA"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Se ia act</w:t>
            </w:r>
          </w:p>
        </w:tc>
      </w:tr>
      <w:tr w:rsidR="00315874" w14:paraId="40C436C8" w14:textId="77777777">
        <w:trPr>
          <w:trHeight w:val="975"/>
        </w:trPr>
        <w:tc>
          <w:tcPr>
            <w:tcW w:w="735" w:type="dxa"/>
            <w:tcBorders>
              <w:top w:val="single" w:sz="6" w:space="0" w:color="999999"/>
              <w:left w:val="single" w:sz="6" w:space="0" w:color="999999"/>
              <w:bottom w:val="single" w:sz="6" w:space="0" w:color="999999"/>
              <w:right w:val="single" w:sz="6" w:space="0" w:color="999999"/>
            </w:tcBorders>
            <w:tcMar>
              <w:top w:w="0" w:type="dxa"/>
              <w:bottom w:w="0" w:type="dxa"/>
            </w:tcMar>
          </w:tcPr>
          <w:p w14:paraId="0181FF26" w14:textId="77777777" w:rsidR="00315874"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40.</w:t>
            </w:r>
          </w:p>
        </w:tc>
        <w:tc>
          <w:tcPr>
            <w:tcW w:w="2835" w:type="dxa"/>
            <w:tcBorders>
              <w:top w:val="single" w:sz="6" w:space="0" w:color="999999"/>
              <w:left w:val="single" w:sz="6" w:space="0" w:color="999999"/>
              <w:bottom w:val="single" w:sz="6" w:space="0" w:color="999999"/>
              <w:right w:val="single" w:sz="6" w:space="0" w:color="999999"/>
            </w:tcBorders>
            <w:tcMar>
              <w:top w:w="0" w:type="dxa"/>
              <w:bottom w:w="0" w:type="dxa"/>
            </w:tcMar>
          </w:tcPr>
          <w:p w14:paraId="73260CC6" w14:textId="77777777" w:rsidR="00315874" w:rsidRDefault="00000000">
            <w:pPr>
              <w:spacing w:line="240" w:lineRule="auto"/>
              <w:ind w:left="14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Agenția Națională de Prevenire și Combatere a Violenței împotriva Femeilor și a Violenței în Familie</w:t>
            </w:r>
          </w:p>
          <w:p w14:paraId="15C4FC13" w14:textId="77777777" w:rsidR="00315874" w:rsidRDefault="00000000">
            <w:pPr>
              <w:spacing w:line="240" w:lineRule="auto"/>
              <w:ind w:left="140"/>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Nr. 04/316 din 25.06.2026</w:t>
            </w: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41071262"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Lipsă de obiecții și propuneri.</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47591D42"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Se ia act</w:t>
            </w:r>
          </w:p>
        </w:tc>
      </w:tr>
      <w:tr w:rsidR="00315874" w14:paraId="6BC42199" w14:textId="77777777">
        <w:trPr>
          <w:trHeight w:val="975"/>
        </w:trPr>
        <w:tc>
          <w:tcPr>
            <w:tcW w:w="735" w:type="dxa"/>
            <w:vMerge w:val="restart"/>
            <w:tcBorders>
              <w:top w:val="single" w:sz="6" w:space="0" w:color="999999"/>
              <w:left w:val="single" w:sz="6" w:space="0" w:color="999999"/>
              <w:bottom w:val="single" w:sz="6" w:space="0" w:color="999999"/>
              <w:right w:val="single" w:sz="6" w:space="0" w:color="999999"/>
            </w:tcBorders>
            <w:tcMar>
              <w:top w:w="0" w:type="dxa"/>
              <w:bottom w:w="0" w:type="dxa"/>
            </w:tcMar>
          </w:tcPr>
          <w:p w14:paraId="42766D46" w14:textId="77777777" w:rsidR="00315874"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41.</w:t>
            </w:r>
          </w:p>
        </w:tc>
        <w:tc>
          <w:tcPr>
            <w:tcW w:w="2835" w:type="dxa"/>
            <w:vMerge w:val="restart"/>
            <w:tcBorders>
              <w:top w:val="single" w:sz="6" w:space="0" w:color="999999"/>
              <w:left w:val="single" w:sz="6" w:space="0" w:color="999999"/>
              <w:bottom w:val="single" w:sz="6" w:space="0" w:color="999999"/>
              <w:right w:val="single" w:sz="6" w:space="0" w:color="999999"/>
            </w:tcBorders>
            <w:tcMar>
              <w:top w:w="0" w:type="dxa"/>
              <w:bottom w:w="0" w:type="dxa"/>
            </w:tcMar>
          </w:tcPr>
          <w:p w14:paraId="544AEF5E" w14:textId="77777777" w:rsidR="00315874" w:rsidRDefault="00000000">
            <w:pPr>
              <w:spacing w:line="240" w:lineRule="auto"/>
              <w:ind w:left="14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Grupului de lucru al Comisiei de stat pentru reglementarea activității de întreprinzător</w:t>
            </w:r>
          </w:p>
          <w:p w14:paraId="59CDDA4A" w14:textId="77777777" w:rsidR="00315874" w:rsidRDefault="00000000">
            <w:pPr>
              <w:spacing w:line="240" w:lineRule="auto"/>
              <w:ind w:left="140"/>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Nr. 38-78-7987 din                    8 iulie 2026</w:t>
            </w: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493C2D5D" w14:textId="77777777" w:rsidR="00315874" w:rsidRDefault="00000000">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Proiectul de lege vizează consolidarea cadrului normativ privind garanțiile sociale, principalele intervenții constând în modificarea regimului juridic al concediilor de odihnă anuale prin trecerea de la exprimarea acestora în zile calendaristice la zile lucrătoare, precum și ajustarea corespunzătoare a mai multor acte normative. Totodată, proiectul conține în cea mai mare parte norme aplicabile sectorului public și altor categorii specifice de personal, care nu vizează direct activitatea de întreprinzător. În partea care privește mediul de afaceri, proiectul este, în general, conform cu principiile de reglementare a activității de întreprinzător, neinstituind noi acte permisive, proceduri administrative sau mecanisme de control aplicabile întreprinzătorilor.</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24A51284"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Se ia act</w:t>
            </w:r>
          </w:p>
        </w:tc>
      </w:tr>
      <w:tr w:rsidR="00315874" w14:paraId="40A574DC" w14:textId="77777777">
        <w:trPr>
          <w:trHeight w:val="975"/>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5E49EE01"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553C8D47" w14:textId="77777777" w:rsidR="00315874" w:rsidRDefault="00315874">
            <w:pPr>
              <w:spacing w:line="240" w:lineRule="auto"/>
              <w:rPr>
                <w:rFonts w:ascii="Times New Roman" w:eastAsia="Times New Roman" w:hAnsi="Times New Roman" w:cs="Times New Roman"/>
                <w:b/>
                <w:bCs/>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0F04D2BC" w14:textId="77777777" w:rsidR="00315874" w:rsidRDefault="00000000">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Totuși, în vederea asigurării unei reglementări clare, previzibile și a unei evaluări complete a impactului asupra mediului de afaceri, se recomandă examinarea următoarelor observații:</w:t>
            </w:r>
          </w:p>
          <w:p w14:paraId="47152607" w14:textId="77777777" w:rsidR="00315874" w:rsidRDefault="00000000">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În modificările la Codul Muncii se propune completarea</w:t>
            </w:r>
            <w:r>
              <w:rPr>
                <w:rFonts w:ascii="Times New Roman" w:eastAsia="Times New Roman" w:hAnsi="Times New Roman" w:cs="Times New Roman"/>
                <w:b/>
                <w:bCs/>
                <w:sz w:val="24"/>
                <w:szCs w:val="24"/>
                <w:highlight w:val="white"/>
              </w:rPr>
              <w:t xml:space="preserve"> art. 113 cu alin. (1/1)</w:t>
            </w:r>
            <w:r>
              <w:rPr>
                <w:rFonts w:ascii="Times New Roman" w:eastAsia="Times New Roman" w:hAnsi="Times New Roman" w:cs="Times New Roman"/>
                <w:sz w:val="24"/>
                <w:szCs w:val="24"/>
                <w:highlight w:val="white"/>
              </w:rPr>
              <w:t xml:space="preserve">, potrivit căruia durata efectivă a concediului de odihnă anual se stabilește în contractul individual de muncă, cu respectarea alin. (1), a regulamentului intern, dacă acesta a fost elaborat și aprobat de angajator, și a contractului colectiv de muncă. </w:t>
            </w:r>
          </w:p>
          <w:p w14:paraId="1160A912" w14:textId="77777777" w:rsidR="00315874" w:rsidRDefault="00000000">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Norma ridică semne de întrebare deoarece, pe de o parte, regulamentul intern nu este un act obligatoriu pentru toți angajatorii, astfel încât aplicarea normei depinde de existența unui document facultativ.</w:t>
            </w:r>
          </w:p>
          <w:p w14:paraId="4442D8CD" w14:textId="77777777" w:rsidR="00315874" w:rsidRDefault="00000000">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Pe de altă parte, textul nu delimitează rolul regulamentului intern în raport cu contractul individual și contractul colectiv de muncă, ceea ce poate crea incertitudini privind izvoarele care determină durata concediului de odihnă anual. Totodată, obligația de a indica durata concediului în contractul individual de muncă este deja prevăzută la art. 49 alin. (1) lit. n) din Codul muncii, astfel încât necesitatea instituirii unei norme suplimentare nu este suficient justificată. În forma propusă, aceasta poate crea paralelisme normative și </w:t>
            </w:r>
            <w:r>
              <w:rPr>
                <w:rFonts w:ascii="Times New Roman" w:eastAsia="Times New Roman" w:hAnsi="Times New Roman" w:cs="Times New Roman"/>
                <w:sz w:val="24"/>
                <w:szCs w:val="24"/>
                <w:highlight w:val="white"/>
              </w:rPr>
              <w:lastRenderedPageBreak/>
              <w:t>dificultăți de interpretare. Se recomandă eliminarea referirii la regulamentul intern.</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53841254"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 xml:space="preserve">Se acceptă. </w:t>
            </w:r>
          </w:p>
          <w:p w14:paraId="0CC002E6"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3D3BF7FD"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 se vedea răspunsul consolidat de la pct. 13 (răspunsul la avizul Ministerului Afacerilor Interne), care reflectă exact recomandarea de eliminare a referirii la regulamentul intern.</w:t>
            </w:r>
          </w:p>
        </w:tc>
      </w:tr>
      <w:tr w:rsidR="00315874" w14:paraId="072936F7" w14:textId="77777777">
        <w:trPr>
          <w:trHeight w:val="975"/>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2680EE7F"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3B4A380F" w14:textId="77777777" w:rsidR="00315874" w:rsidRDefault="00315874">
            <w:pPr>
              <w:spacing w:line="240" w:lineRule="auto"/>
              <w:rPr>
                <w:rFonts w:ascii="Times New Roman" w:eastAsia="Times New Roman" w:hAnsi="Times New Roman" w:cs="Times New Roman"/>
                <w:b/>
                <w:bCs/>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29555A96" w14:textId="77777777" w:rsidR="00315874" w:rsidRDefault="00000000">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Dispozițiile tranzitorii prevăd acordarea și calcularea concediilor de odihnă acumulate până la intrarea în vigoare a legii în zile calendaristice, iar a concediilor aferente perioadelor ulterioare în zile lucrătoare. În lipsa unui termen de finalizare a aplicării regimului tranzitoriu, angajatorii vor administra, pentru o perioadă ce poate fi îndelungată, două modalități distincte de evidență și calcul al concediilor. Această soluție poate genera costuri suplimentare de conformare, inclusiv prin adaptarea sistemelor informatice și a procedurilor interne, precum și un risc sporit de erori în</w:t>
            </w:r>
          </w:p>
          <w:p w14:paraId="4A80FCBD" w14:textId="77777777" w:rsidR="00315874" w:rsidRDefault="00000000">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administrarea drepturilor salariaților.</w:t>
            </w:r>
          </w:p>
          <w:p w14:paraId="516CCD1B" w14:textId="77777777" w:rsidR="00315874" w:rsidRDefault="00000000">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Se recomandă completarea notei de fundamentare cu o evaluare a acestor costuri și a impactului administrativ asupra angajatorilor.</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5605549B"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 xml:space="preserve">Se acceptă parțial. </w:t>
            </w:r>
          </w:p>
          <w:p w14:paraId="258BA94F"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79EAFDDC"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sz w:val="24"/>
                <w:szCs w:val="24"/>
                <w:highlight w:val="white"/>
              </w:rPr>
              <w:t xml:space="preserve">A se vedea răspunsul consolidat de la pct. 3 (avizul Cancelariei de Stat). </w:t>
            </w:r>
          </w:p>
          <w:p w14:paraId="4719C9AC"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Implementarea metodologiei de calcul al concediilor în zile lucrătoare din zile calendaristice nu va implica costuri suplimentare, or programele informatice ale companiilor (de ex:1C) deja utilizează asemenea calcule pentru alte tipuri de plăți reglementate de HG 426/2004. </w:t>
            </w:r>
          </w:p>
          <w:p w14:paraId="435AA2ED"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Totodată, evidența separată a concediilor în zile calendaristice și zile lucrătoare este temporară. Se așteaptă ca angajatorii să acorde concediile aferente anului 2026 până la intrarea noilor norme în vigoare astfel încât să nu fie nevoiți să transfere zilele neutilizate pentru următorul an.  </w:t>
            </w:r>
          </w:p>
        </w:tc>
      </w:tr>
      <w:tr w:rsidR="00315874" w14:paraId="40C90C18" w14:textId="77777777">
        <w:trPr>
          <w:trHeight w:val="975"/>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532E658A"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35FA47BC" w14:textId="77777777" w:rsidR="00315874" w:rsidRDefault="00315874">
            <w:pPr>
              <w:spacing w:line="240" w:lineRule="auto"/>
              <w:rPr>
                <w:rFonts w:ascii="Times New Roman" w:eastAsia="Times New Roman" w:hAnsi="Times New Roman" w:cs="Times New Roman"/>
                <w:b/>
                <w:bCs/>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5D9EC0A6"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Secțiunea 2.2</w:t>
            </w:r>
            <w:r>
              <w:rPr>
                <w:rFonts w:ascii="Times New Roman" w:eastAsia="Times New Roman" w:hAnsi="Times New Roman" w:cs="Times New Roman"/>
                <w:sz w:val="24"/>
                <w:szCs w:val="24"/>
                <w:highlight w:val="white"/>
              </w:rPr>
              <w:t xml:space="preserve"> din Nota de Fundamentare sunt descrise reglementările în vigoare privind concediile de odihnă, sunt prezentate standardele europene și internaționale relevante și sunt evidențiate diferențele dintre regimurile juridice aplicabile diferitor categorii de personal. Totodată, analiza necesită ajustări pentru a corespunde pe deplin cerințelor Metodologiei de analiză a impactului de </w:t>
            </w:r>
            <w:r>
              <w:rPr>
                <w:rFonts w:ascii="Times New Roman" w:eastAsia="Times New Roman" w:hAnsi="Times New Roman" w:cs="Times New Roman"/>
                <w:sz w:val="24"/>
                <w:szCs w:val="24"/>
                <w:highlight w:val="white"/>
              </w:rPr>
              <w:lastRenderedPageBreak/>
              <w:t>reglementare aprobate prin Hotărârea Guvernului nr. 574/2024, întrucât accentul este pus în principal pe descrierea legislației existente și pe justificarea modificărilor propuse, fără o prezentare suficient de clară a problemei care impune intervenția statului. În sensul Metodologiei AIR, problema trebuie prezentată ca o situație concretă care produce efecte negative și care justifică adoptarea unei noi reglementări. Totodată, aceasta trebuie susținută prin date și informații obiective. În forma actuală, Nota de fundamentare descrie existența unor dificultăți de aplicare și a unor tratamente diferențiate, însă nu prezintă informații privind amploarea acestor probleme, numărul persoanelor afectate, impactul financiar al situației existente sau alte date care să demonstreze necesitatea intervenției. De asemenea, analiza nu face diferențiere suficientă între cauzele problemei și efectele acesteia. Sunt descrise în principal consecințele cadrului normativ actual, fără a explica în mod clar care sunt factorii care au determinat apariția acestor probleme. Totodată, se recomandă identificarea distinctă a principalelor categorii de persoane și entități afectate de proiect și prezentarea impactului asupra fiecăreia dintre acestea.</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2E5199D7"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 xml:space="preserve">Se acceptă. </w:t>
            </w:r>
          </w:p>
          <w:p w14:paraId="0B879869"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6BEEBCAC"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Nota de fundamentare va fi revizuită pentru a respecta integral structura prevăzută de Metodologia de analiză a impactului de reglementare aprobată prin Hotărârea Guvernului nr. 574/2024, inclusiv prin prezentarea distinctă a problemei, a datelor </w:t>
            </w:r>
            <w:r>
              <w:rPr>
                <w:rFonts w:ascii="Times New Roman" w:eastAsia="Times New Roman" w:hAnsi="Times New Roman" w:cs="Times New Roman"/>
                <w:sz w:val="24"/>
                <w:szCs w:val="24"/>
                <w:highlight w:val="white"/>
              </w:rPr>
              <w:lastRenderedPageBreak/>
              <w:t>obiective care o susțin, a categoriilor de persoane și entități afectate și a impactului asupra fiecărei categorii.</w:t>
            </w:r>
          </w:p>
        </w:tc>
      </w:tr>
      <w:tr w:rsidR="00315874" w14:paraId="53F1B127" w14:textId="77777777">
        <w:trPr>
          <w:trHeight w:val="975"/>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7BE1C710"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1F9EA28E" w14:textId="77777777" w:rsidR="00315874" w:rsidRDefault="00315874">
            <w:pPr>
              <w:spacing w:line="240" w:lineRule="auto"/>
              <w:rPr>
                <w:rFonts w:ascii="Times New Roman" w:eastAsia="Times New Roman" w:hAnsi="Times New Roman" w:cs="Times New Roman"/>
                <w:b/>
                <w:bCs/>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23CEF13D"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Secțiunea 3 </w:t>
            </w:r>
            <w:r>
              <w:rPr>
                <w:rFonts w:ascii="Times New Roman" w:eastAsia="Times New Roman" w:hAnsi="Times New Roman" w:cs="Times New Roman"/>
                <w:sz w:val="24"/>
                <w:szCs w:val="24"/>
                <w:highlight w:val="white"/>
              </w:rPr>
              <w:t>din</w:t>
            </w:r>
            <w:r>
              <w:rPr>
                <w:rFonts w:ascii="Times New Roman" w:eastAsia="Times New Roman" w:hAnsi="Times New Roman" w:cs="Times New Roman"/>
                <w:b/>
                <w:bCs/>
                <w:sz w:val="24"/>
                <w:szCs w:val="24"/>
                <w:highlight w:val="white"/>
              </w:rPr>
              <w:t xml:space="preserve"> </w:t>
            </w:r>
            <w:r>
              <w:rPr>
                <w:rFonts w:ascii="Times New Roman" w:eastAsia="Times New Roman" w:hAnsi="Times New Roman" w:cs="Times New Roman"/>
                <w:sz w:val="24"/>
                <w:szCs w:val="24"/>
                <w:highlight w:val="white"/>
              </w:rPr>
              <w:t>Nota de Fundamentare</w:t>
            </w:r>
            <w:r>
              <w:rPr>
                <w:rFonts w:ascii="Times New Roman" w:eastAsia="Times New Roman" w:hAnsi="Times New Roman" w:cs="Times New Roman"/>
                <w:b/>
                <w:bCs/>
                <w:sz w:val="24"/>
                <w:szCs w:val="24"/>
                <w:highlight w:val="white"/>
              </w:rPr>
              <w:t xml:space="preserve"> </w:t>
            </w:r>
            <w:r>
              <w:rPr>
                <w:rFonts w:ascii="Times New Roman" w:eastAsia="Times New Roman" w:hAnsi="Times New Roman" w:cs="Times New Roman"/>
                <w:sz w:val="24"/>
                <w:szCs w:val="24"/>
                <w:highlight w:val="white"/>
              </w:rPr>
              <w:t>prevede în detaliu soluțiile legislative din proiect și argumentele care justifică oportunitatea acestora. Totodată, compartimentul nu corespunde în totalitate cerințelor HG nr. 574/2024, întrucât obiectivele sunt formulate preponderent ca argumente în favoarea intervenției și avantaje ale soluției propuse, fără a reflecta în mod distinct obiectivele ca schimbări concrete urmărite în soluționarea problemelor identificate (totodată fiind necesar a fi expuse SMART). De asemenea, nu este evidențiată suficient legătura dintre problemele și cauzele identificate, obiectivele urmărite și soluțiile legislative propuse. Se recomandă revizuirea compartimentului prin delimitarea clară a obiectivelor de soluțiile propuse.</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550967DB"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 xml:space="preserve">Se acceptă. </w:t>
            </w:r>
          </w:p>
          <w:p w14:paraId="64E22D53"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Nota de fundamentare va fi ajustată</w:t>
            </w:r>
          </w:p>
        </w:tc>
      </w:tr>
      <w:tr w:rsidR="00315874" w14:paraId="0917CE12" w14:textId="77777777">
        <w:trPr>
          <w:trHeight w:val="975"/>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7A260380"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1F6139A4" w14:textId="77777777" w:rsidR="00315874" w:rsidRDefault="00315874">
            <w:pPr>
              <w:spacing w:line="240" w:lineRule="auto"/>
              <w:rPr>
                <w:rFonts w:ascii="Times New Roman" w:eastAsia="Times New Roman" w:hAnsi="Times New Roman" w:cs="Times New Roman"/>
                <w:b/>
                <w:bCs/>
                <w:sz w:val="24"/>
                <w:szCs w:val="24"/>
              </w:rPr>
            </w:pPr>
          </w:p>
        </w:tc>
        <w:tc>
          <w:tcPr>
            <w:tcW w:w="5700" w:type="dxa"/>
            <w:tcBorders>
              <w:top w:val="nil"/>
              <w:left w:val="nil"/>
              <w:bottom w:val="single" w:sz="6" w:space="0" w:color="000000"/>
              <w:right w:val="single" w:sz="6" w:space="0" w:color="999999"/>
            </w:tcBorders>
            <w:tcMar>
              <w:top w:w="0" w:type="dxa"/>
              <w:left w:w="100" w:type="dxa"/>
              <w:bottom w:w="0" w:type="dxa"/>
              <w:right w:w="100" w:type="dxa"/>
            </w:tcMar>
          </w:tcPr>
          <w:p w14:paraId="6FED1108"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Deși </w:t>
            </w:r>
            <w:r>
              <w:rPr>
                <w:rFonts w:ascii="Times New Roman" w:eastAsia="Times New Roman" w:hAnsi="Times New Roman" w:cs="Times New Roman"/>
                <w:b/>
                <w:bCs/>
                <w:sz w:val="24"/>
                <w:szCs w:val="24"/>
                <w:highlight w:val="white"/>
              </w:rPr>
              <w:t xml:space="preserve">secțiunea 4.3 </w:t>
            </w:r>
            <w:r>
              <w:rPr>
                <w:rFonts w:ascii="Times New Roman" w:eastAsia="Times New Roman" w:hAnsi="Times New Roman" w:cs="Times New Roman"/>
                <w:sz w:val="24"/>
                <w:szCs w:val="24"/>
                <w:highlight w:val="white"/>
              </w:rPr>
              <w:t>din</w:t>
            </w:r>
            <w:r>
              <w:rPr>
                <w:rFonts w:ascii="Times New Roman" w:eastAsia="Times New Roman" w:hAnsi="Times New Roman" w:cs="Times New Roman"/>
                <w:b/>
                <w:bCs/>
                <w:sz w:val="24"/>
                <w:szCs w:val="24"/>
                <w:highlight w:val="white"/>
              </w:rPr>
              <w:t xml:space="preserve"> </w:t>
            </w:r>
            <w:r>
              <w:rPr>
                <w:rFonts w:ascii="Times New Roman" w:eastAsia="Times New Roman" w:hAnsi="Times New Roman" w:cs="Times New Roman"/>
                <w:sz w:val="24"/>
                <w:szCs w:val="24"/>
                <w:highlight w:val="white"/>
              </w:rPr>
              <w:t>Nota de Fundamentare conține simulări privind impactul financiar al modificării modalității de calcul al indemnizației de concediu și identifică principalele efecte asupra angajatorilor. Din simulările prezentate rezultă că trecerea de la calculul concediului în zile calendaristice la calculul în zile lucrătoare determină majorarea indemnizației de concediu achitate salariatului, diferența estimată în exemplele prezentate fiind de aproximativ 10,77%. Astfel, proiectul generează costuri suplimentare directe pentru angajatorii din sectorul privat.</w:t>
            </w:r>
          </w:p>
          <w:p w14:paraId="74B3528B"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Totodată analiza nu examinează în mod distinct costurile de conformare generate de implementarea noilor reglementări, astfel cum prevede HG nr. 574/2024. În particular, nu sunt analizate costurile administrative și organizaționale aferente implementării noilor reguli, inclusiv cele privind adaptarea proceselor interne, a sistemelor de evidență și salarizare, gestionarea perioadei de tranziție și alte costuri suportate de angajatori pentru conformarea la noile cerințe. Se recomandă completarea compartimentului cu o evaluare, cel puțin estimativă, a acestor costuri sau, după caz, justificarea imposibilității cuantificării lor.</w:t>
            </w:r>
          </w:p>
        </w:tc>
        <w:tc>
          <w:tcPr>
            <w:tcW w:w="6210" w:type="dxa"/>
            <w:tcBorders>
              <w:top w:val="nil"/>
              <w:left w:val="nil"/>
              <w:bottom w:val="single" w:sz="6" w:space="0" w:color="000000"/>
              <w:right w:val="single" w:sz="6" w:space="0" w:color="999999"/>
            </w:tcBorders>
            <w:tcMar>
              <w:top w:w="0" w:type="dxa"/>
              <w:left w:w="100" w:type="dxa"/>
              <w:bottom w:w="0" w:type="dxa"/>
              <w:right w:w="100" w:type="dxa"/>
            </w:tcMar>
          </w:tcPr>
          <w:p w14:paraId="1E729B67"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 xml:space="preserve">Se acceptă, parțial. </w:t>
            </w:r>
          </w:p>
          <w:p w14:paraId="2DC09077"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4F72FB19"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 se vedea răspunsul consolidat de la pct. 26 (avizul Consiliului Superior al Procurorilor), referitor la metodologia de calcul a indemnizației de concediu.</w:t>
            </w:r>
          </w:p>
        </w:tc>
      </w:tr>
      <w:tr w:rsidR="00315874" w14:paraId="687B1E94" w14:textId="77777777">
        <w:trPr>
          <w:trHeight w:val="975"/>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71492FCC"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1FBBAC35" w14:textId="77777777" w:rsidR="00315874" w:rsidRDefault="00315874">
            <w:pPr>
              <w:spacing w:line="240" w:lineRule="auto"/>
              <w:rPr>
                <w:rFonts w:ascii="Times New Roman" w:eastAsia="Times New Roman" w:hAnsi="Times New Roman" w:cs="Times New Roman"/>
                <w:b/>
                <w:bCs/>
                <w:sz w:val="24"/>
                <w:szCs w:val="24"/>
              </w:rPr>
            </w:pPr>
          </w:p>
        </w:tc>
        <w:tc>
          <w:tcPr>
            <w:tcW w:w="5700" w:type="dxa"/>
            <w:vMerge w:val="restart"/>
            <w:tcBorders>
              <w:top w:val="nil"/>
              <w:left w:val="nil"/>
              <w:bottom w:val="single" w:sz="6" w:space="0" w:color="000000"/>
              <w:right w:val="single" w:sz="6" w:space="0" w:color="999999"/>
            </w:tcBorders>
            <w:tcMar>
              <w:top w:w="0" w:type="dxa"/>
              <w:left w:w="100" w:type="dxa"/>
              <w:bottom w:w="0" w:type="dxa"/>
              <w:right w:w="100" w:type="dxa"/>
            </w:tcMar>
          </w:tcPr>
          <w:p w14:paraId="7DCA33E8"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În </w:t>
            </w:r>
            <w:r>
              <w:rPr>
                <w:rFonts w:ascii="Times New Roman" w:eastAsia="Times New Roman" w:hAnsi="Times New Roman" w:cs="Times New Roman"/>
                <w:b/>
                <w:bCs/>
                <w:sz w:val="24"/>
                <w:szCs w:val="24"/>
                <w:highlight w:val="white"/>
              </w:rPr>
              <w:t>Secțiunea 6</w:t>
            </w:r>
            <w:r>
              <w:rPr>
                <w:rFonts w:ascii="Times New Roman" w:eastAsia="Times New Roman" w:hAnsi="Times New Roman" w:cs="Times New Roman"/>
                <w:sz w:val="24"/>
                <w:szCs w:val="24"/>
                <w:highlight w:val="white"/>
              </w:rPr>
              <w:t xml:space="preserve"> din</w:t>
            </w:r>
            <w:r>
              <w:rPr>
                <w:rFonts w:ascii="Times New Roman" w:eastAsia="Times New Roman" w:hAnsi="Times New Roman" w:cs="Times New Roman"/>
                <w:b/>
                <w:bCs/>
                <w:sz w:val="24"/>
                <w:szCs w:val="24"/>
                <w:highlight w:val="white"/>
              </w:rPr>
              <w:t xml:space="preserve"> </w:t>
            </w:r>
            <w:r>
              <w:rPr>
                <w:rFonts w:ascii="Times New Roman" w:eastAsia="Times New Roman" w:hAnsi="Times New Roman" w:cs="Times New Roman"/>
                <w:sz w:val="24"/>
                <w:szCs w:val="24"/>
                <w:highlight w:val="white"/>
              </w:rPr>
              <w:t xml:space="preserve">Nota de Fundamentare dedicată consultărilor publice se constată că au fost organizate ședințe cu participarea partenerilor sociali și a reprezentanților mediului de afaceri. Totodată, compartimentul nu reflectă rezultatele consultărilor desfășurate și modul în care observațiile sau propunerile formulate de părțile interesate au fost valorificate în procesul de elaborare a proiectului. În vederea sporirii transparenței procesului decizional și a conformării cu principiile analizei impactului de reglementare, se recomandă completarea compartimentului cu o sinteză a principalelor observații formulate în cadrul consultărilor, </w:t>
            </w:r>
            <w:r>
              <w:rPr>
                <w:rFonts w:ascii="Times New Roman" w:eastAsia="Times New Roman" w:hAnsi="Times New Roman" w:cs="Times New Roman"/>
                <w:sz w:val="24"/>
                <w:szCs w:val="24"/>
                <w:highlight w:val="white"/>
              </w:rPr>
              <w:lastRenderedPageBreak/>
              <w:t>poziția autorului asupra acestora și, după caz, modificările operate în proiect ca urmare a procesului de consultare.</w:t>
            </w:r>
          </w:p>
        </w:tc>
        <w:tc>
          <w:tcPr>
            <w:tcW w:w="6210" w:type="dxa"/>
            <w:vMerge w:val="restart"/>
            <w:tcBorders>
              <w:top w:val="nil"/>
              <w:left w:val="nil"/>
              <w:bottom w:val="single" w:sz="6" w:space="0" w:color="000000"/>
              <w:right w:val="single" w:sz="6" w:space="0" w:color="999999"/>
            </w:tcBorders>
            <w:tcMar>
              <w:top w:w="0" w:type="dxa"/>
              <w:left w:w="100" w:type="dxa"/>
              <w:bottom w:w="0" w:type="dxa"/>
              <w:right w:w="100" w:type="dxa"/>
            </w:tcMar>
          </w:tcPr>
          <w:p w14:paraId="2CA132DC" w14:textId="0F1DC020" w:rsidR="0021239A" w:rsidRPr="0009241B" w:rsidRDefault="00000000">
            <w:pPr>
              <w:shd w:val="clear" w:color="auto" w:fill="FFFFFF"/>
              <w:jc w:val="both"/>
              <w:rPr>
                <w:rFonts w:ascii="Times New Roman" w:eastAsia="Times New Roman" w:hAnsi="Times New Roman" w:cs="Times New Roman"/>
                <w:sz w:val="24"/>
                <w:szCs w:val="24"/>
                <w:highlight w:val="white"/>
              </w:rPr>
            </w:pPr>
            <w:r w:rsidRPr="0009241B">
              <w:rPr>
                <w:rFonts w:ascii="Times New Roman" w:eastAsia="Times New Roman" w:hAnsi="Times New Roman" w:cs="Times New Roman"/>
                <w:b/>
                <w:bCs/>
                <w:sz w:val="24"/>
                <w:szCs w:val="24"/>
                <w:highlight w:val="white"/>
              </w:rPr>
              <w:lastRenderedPageBreak/>
              <w:t>Se acceptă.</w:t>
            </w:r>
            <w:r w:rsidRPr="0009241B">
              <w:rPr>
                <w:rFonts w:ascii="Times New Roman" w:eastAsia="Times New Roman" w:hAnsi="Times New Roman" w:cs="Times New Roman"/>
                <w:sz w:val="24"/>
                <w:szCs w:val="24"/>
                <w:highlight w:val="white"/>
              </w:rPr>
              <w:t xml:space="preserve"> Compartimentul 6 din Nota de fundamentare a fost completat cu rezultatele consultărilor publice și cu modul de valorificare a propunerilor. </w:t>
            </w:r>
          </w:p>
          <w:p w14:paraId="1FC8769D" w14:textId="03603849" w:rsidR="0021239A" w:rsidRDefault="0021239A">
            <w:pPr>
              <w:shd w:val="clear" w:color="auto" w:fill="FFFFFF"/>
              <w:jc w:val="both"/>
              <w:rPr>
                <w:rFonts w:ascii="Times New Roman" w:eastAsia="Times New Roman" w:hAnsi="Times New Roman" w:cs="Times New Roman"/>
                <w:b/>
                <w:bCs/>
                <w:sz w:val="24"/>
                <w:szCs w:val="24"/>
                <w:highlight w:val="white"/>
              </w:rPr>
            </w:pPr>
          </w:p>
        </w:tc>
      </w:tr>
      <w:tr w:rsidR="00315874" w14:paraId="51B9E5A6" w14:textId="77777777">
        <w:trPr>
          <w:trHeight w:val="975"/>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565100C9"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7C9803DF" w14:textId="77777777" w:rsidR="00315874" w:rsidRDefault="00315874">
            <w:pPr>
              <w:spacing w:line="240" w:lineRule="auto"/>
              <w:rPr>
                <w:rFonts w:ascii="Times New Roman" w:eastAsia="Times New Roman" w:hAnsi="Times New Roman" w:cs="Times New Roman"/>
                <w:b/>
                <w:bCs/>
                <w:sz w:val="24"/>
                <w:szCs w:val="24"/>
              </w:rPr>
            </w:pPr>
          </w:p>
        </w:tc>
        <w:tc>
          <w:tcPr>
            <w:tcW w:w="5700" w:type="dxa"/>
            <w:vMerge/>
            <w:tcBorders>
              <w:top w:val="nil"/>
              <w:left w:val="nil"/>
              <w:bottom w:val="single" w:sz="6" w:space="0" w:color="000000"/>
              <w:right w:val="single" w:sz="6" w:space="0" w:color="999999"/>
            </w:tcBorders>
            <w:tcMar>
              <w:top w:w="0" w:type="dxa"/>
              <w:left w:w="100" w:type="dxa"/>
              <w:bottom w:w="0" w:type="dxa"/>
              <w:right w:w="100" w:type="dxa"/>
            </w:tcMar>
          </w:tcPr>
          <w:p w14:paraId="6ED96E95" w14:textId="77777777" w:rsidR="00315874" w:rsidRDefault="00315874">
            <w:pPr>
              <w:spacing w:line="240" w:lineRule="auto"/>
              <w:rPr>
                <w:rFonts w:ascii="Times New Roman" w:eastAsia="Times New Roman" w:hAnsi="Times New Roman" w:cs="Times New Roman"/>
                <w:sz w:val="24"/>
                <w:szCs w:val="24"/>
                <w:highlight w:val="white"/>
              </w:rPr>
            </w:pPr>
          </w:p>
        </w:tc>
        <w:tc>
          <w:tcPr>
            <w:tcW w:w="6210" w:type="dxa"/>
            <w:vMerge/>
            <w:tcBorders>
              <w:top w:val="nil"/>
              <w:left w:val="nil"/>
              <w:bottom w:val="single" w:sz="6" w:space="0" w:color="000000"/>
              <w:right w:val="single" w:sz="6" w:space="0" w:color="999999"/>
            </w:tcBorders>
            <w:tcMar>
              <w:top w:w="0" w:type="dxa"/>
              <w:left w:w="100" w:type="dxa"/>
              <w:bottom w:w="0" w:type="dxa"/>
              <w:right w:w="100" w:type="dxa"/>
            </w:tcMar>
          </w:tcPr>
          <w:p w14:paraId="26742B9D" w14:textId="77777777" w:rsidR="00315874" w:rsidRDefault="00315874">
            <w:pPr>
              <w:shd w:val="clear" w:color="auto" w:fill="FFFFFF"/>
              <w:spacing w:line="240" w:lineRule="auto"/>
              <w:jc w:val="both"/>
              <w:rPr>
                <w:rFonts w:ascii="Times New Roman" w:eastAsia="Times New Roman" w:hAnsi="Times New Roman" w:cs="Times New Roman"/>
                <w:b/>
                <w:bCs/>
                <w:sz w:val="24"/>
                <w:szCs w:val="24"/>
                <w:highlight w:val="white"/>
              </w:rPr>
            </w:pPr>
          </w:p>
        </w:tc>
      </w:tr>
      <w:tr w:rsidR="00315874" w14:paraId="6CE6DE1F" w14:textId="77777777">
        <w:trPr>
          <w:trHeight w:val="975"/>
        </w:trPr>
        <w:tc>
          <w:tcPr>
            <w:tcW w:w="7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63ABF34F" w14:textId="77777777" w:rsidR="00315874" w:rsidRDefault="00315874">
            <w:pPr>
              <w:spacing w:line="240" w:lineRule="auto"/>
              <w:jc w:val="center"/>
              <w:rPr>
                <w:rFonts w:ascii="Times New Roman" w:eastAsia="Times New Roman" w:hAnsi="Times New Roman" w:cs="Times New Roman"/>
                <w:b/>
                <w:bCs/>
                <w:sz w:val="24"/>
                <w:szCs w:val="24"/>
              </w:rPr>
            </w:pPr>
          </w:p>
        </w:tc>
        <w:tc>
          <w:tcPr>
            <w:tcW w:w="2835" w:type="dxa"/>
            <w:vMerge/>
            <w:tcBorders>
              <w:top w:val="single" w:sz="6" w:space="0" w:color="999999"/>
              <w:left w:val="single" w:sz="6" w:space="0" w:color="999999"/>
              <w:bottom w:val="single" w:sz="6" w:space="0" w:color="999999"/>
              <w:right w:val="single" w:sz="6" w:space="0" w:color="999999"/>
            </w:tcBorders>
            <w:tcMar>
              <w:top w:w="0" w:type="dxa"/>
              <w:bottom w:w="0" w:type="dxa"/>
            </w:tcMar>
          </w:tcPr>
          <w:p w14:paraId="56A20E04" w14:textId="77777777" w:rsidR="00315874" w:rsidRDefault="00315874">
            <w:pPr>
              <w:spacing w:line="240" w:lineRule="auto"/>
              <w:rPr>
                <w:rFonts w:ascii="Times New Roman" w:eastAsia="Times New Roman" w:hAnsi="Times New Roman" w:cs="Times New Roman"/>
                <w:b/>
                <w:bCs/>
                <w:sz w:val="24"/>
                <w:szCs w:val="24"/>
              </w:rPr>
            </w:pPr>
          </w:p>
        </w:tc>
        <w:tc>
          <w:tcPr>
            <w:tcW w:w="5700" w:type="dxa"/>
            <w:vMerge/>
            <w:tcBorders>
              <w:top w:val="nil"/>
              <w:left w:val="nil"/>
              <w:bottom w:val="single" w:sz="6" w:space="0" w:color="000000"/>
              <w:right w:val="single" w:sz="6" w:space="0" w:color="999999"/>
            </w:tcBorders>
            <w:tcMar>
              <w:top w:w="0" w:type="dxa"/>
              <w:left w:w="100" w:type="dxa"/>
              <w:bottom w:w="0" w:type="dxa"/>
              <w:right w:w="100" w:type="dxa"/>
            </w:tcMar>
          </w:tcPr>
          <w:p w14:paraId="22009402" w14:textId="77777777" w:rsidR="00315874" w:rsidRDefault="00315874">
            <w:pPr>
              <w:spacing w:line="240" w:lineRule="auto"/>
              <w:rPr>
                <w:rFonts w:ascii="Times New Roman" w:eastAsia="Times New Roman" w:hAnsi="Times New Roman" w:cs="Times New Roman"/>
                <w:sz w:val="24"/>
                <w:szCs w:val="24"/>
                <w:highlight w:val="white"/>
              </w:rPr>
            </w:pPr>
          </w:p>
        </w:tc>
        <w:tc>
          <w:tcPr>
            <w:tcW w:w="6210" w:type="dxa"/>
            <w:vMerge/>
            <w:tcBorders>
              <w:top w:val="nil"/>
              <w:left w:val="nil"/>
              <w:bottom w:val="single" w:sz="6" w:space="0" w:color="000000"/>
              <w:right w:val="single" w:sz="6" w:space="0" w:color="999999"/>
            </w:tcBorders>
            <w:tcMar>
              <w:top w:w="0" w:type="dxa"/>
              <w:left w:w="100" w:type="dxa"/>
              <w:bottom w:w="0" w:type="dxa"/>
              <w:right w:w="100" w:type="dxa"/>
            </w:tcMar>
          </w:tcPr>
          <w:p w14:paraId="0B3AE16E" w14:textId="77777777" w:rsidR="00315874" w:rsidRDefault="00315874">
            <w:pPr>
              <w:shd w:val="clear" w:color="auto" w:fill="FFFFFF"/>
              <w:spacing w:line="240" w:lineRule="auto"/>
              <w:jc w:val="both"/>
              <w:rPr>
                <w:rFonts w:ascii="Times New Roman" w:eastAsia="Times New Roman" w:hAnsi="Times New Roman" w:cs="Times New Roman"/>
                <w:b/>
                <w:bCs/>
                <w:sz w:val="24"/>
                <w:szCs w:val="24"/>
                <w:highlight w:val="white"/>
              </w:rPr>
            </w:pPr>
          </w:p>
        </w:tc>
      </w:tr>
    </w:tbl>
    <w:p w14:paraId="6FE44F0F" w14:textId="77777777" w:rsidR="00315874" w:rsidRDefault="00315874">
      <w:pPr>
        <w:rPr>
          <w:rFonts w:ascii="Times New Roman" w:eastAsia="Times New Roman" w:hAnsi="Times New Roman" w:cs="Times New Roman"/>
          <w:b/>
          <w:bCs/>
          <w:sz w:val="24"/>
          <w:szCs w:val="24"/>
        </w:rPr>
      </w:pPr>
    </w:p>
    <w:p w14:paraId="24B9DFC6" w14:textId="77777777" w:rsidR="00315874" w:rsidRDefault="00315874">
      <w:pPr>
        <w:rPr>
          <w:rFonts w:ascii="Times New Roman" w:eastAsia="Times New Roman" w:hAnsi="Times New Roman" w:cs="Times New Roman"/>
          <w:b/>
          <w:bCs/>
          <w:sz w:val="24"/>
          <w:szCs w:val="24"/>
        </w:rPr>
      </w:pPr>
    </w:p>
    <w:p w14:paraId="09CA6302" w14:textId="77777777" w:rsidR="00315874" w:rsidRDefault="00000000">
      <w:pPr>
        <w:ind w:firstLine="56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SINTEZA</w:t>
      </w:r>
    </w:p>
    <w:p w14:paraId="3445006B" w14:textId="77777777" w:rsidR="00315874" w:rsidRDefault="00000000">
      <w:pPr>
        <w:ind w:firstLine="56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la proiectul de lege pentru modificarea unor acte normative </w:t>
      </w:r>
    </w:p>
    <w:p w14:paraId="562DE7A8" w14:textId="77777777" w:rsidR="00315874" w:rsidRDefault="00000000">
      <w:pPr>
        <w:ind w:firstLine="56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(consolidarea cadrului normativ privind garanțiile sociale)</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 xml:space="preserve"> </w:t>
      </w:r>
    </w:p>
    <w:p w14:paraId="3A1CE941" w14:textId="77777777" w:rsidR="00315874" w:rsidRDefault="00315874">
      <w:pPr>
        <w:ind w:firstLine="560"/>
        <w:jc w:val="center"/>
        <w:rPr>
          <w:rFonts w:ascii="Times New Roman" w:eastAsia="Times New Roman" w:hAnsi="Times New Roman" w:cs="Times New Roman"/>
          <w:b/>
          <w:bCs/>
          <w:sz w:val="24"/>
          <w:szCs w:val="24"/>
        </w:rPr>
      </w:pPr>
    </w:p>
    <w:tbl>
      <w:tblPr>
        <w:tblStyle w:val="a2"/>
        <w:tblW w:w="1503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870"/>
        <w:gridCol w:w="2730"/>
        <w:gridCol w:w="5550"/>
        <w:gridCol w:w="5880"/>
      </w:tblGrid>
      <w:tr w:rsidR="00315874" w14:paraId="6DDC0E82" w14:textId="77777777">
        <w:trPr>
          <w:trHeight w:val="615"/>
        </w:trPr>
        <w:tc>
          <w:tcPr>
            <w:tcW w:w="870" w:type="dxa"/>
            <w:tcBorders>
              <w:top w:val="single" w:sz="6" w:space="0" w:color="999999"/>
              <w:left w:val="single" w:sz="6" w:space="0" w:color="999999"/>
              <w:bottom w:val="single" w:sz="6" w:space="0" w:color="999999"/>
              <w:right w:val="single" w:sz="6" w:space="0" w:color="999999"/>
            </w:tcBorders>
            <w:tcMar>
              <w:top w:w="0" w:type="dxa"/>
              <w:left w:w="100" w:type="dxa"/>
              <w:bottom w:w="0" w:type="dxa"/>
              <w:right w:w="100" w:type="dxa"/>
            </w:tcMar>
          </w:tcPr>
          <w:p w14:paraId="022D388F" w14:textId="77777777" w:rsidR="00315874" w:rsidRDefault="00000000">
            <w:pPr>
              <w:ind w:left="140"/>
              <w:rPr>
                <w:rFonts w:ascii="Times New Roman" w:eastAsia="Times New Roman" w:hAnsi="Times New Roman" w:cs="Times New Roman"/>
                <w:sz w:val="24"/>
                <w:szCs w:val="24"/>
              </w:rPr>
            </w:pPr>
            <w:r>
              <w:rPr>
                <w:rFonts w:ascii="Times New Roman" w:eastAsia="Times New Roman" w:hAnsi="Times New Roman" w:cs="Times New Roman"/>
                <w:sz w:val="24"/>
                <w:szCs w:val="24"/>
              </w:rPr>
              <w:t>Nr. d/o</w:t>
            </w:r>
          </w:p>
        </w:tc>
        <w:tc>
          <w:tcPr>
            <w:tcW w:w="2730" w:type="dxa"/>
            <w:tcBorders>
              <w:top w:val="single" w:sz="6" w:space="0" w:color="999999"/>
              <w:left w:val="nil"/>
              <w:bottom w:val="single" w:sz="6" w:space="0" w:color="999999"/>
              <w:right w:val="single" w:sz="6" w:space="0" w:color="999999"/>
            </w:tcBorders>
            <w:tcMar>
              <w:top w:w="0" w:type="dxa"/>
              <w:left w:w="100" w:type="dxa"/>
              <w:bottom w:w="0" w:type="dxa"/>
              <w:right w:w="100" w:type="dxa"/>
            </w:tcMar>
          </w:tcPr>
          <w:p w14:paraId="1BDF868A" w14:textId="77777777" w:rsidR="00315874" w:rsidRDefault="00000000">
            <w:pPr>
              <w:ind w:left="1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Autorul propunerilor şi obiecţiilor</w:t>
            </w:r>
          </w:p>
        </w:tc>
        <w:tc>
          <w:tcPr>
            <w:tcW w:w="5550" w:type="dxa"/>
            <w:tcBorders>
              <w:top w:val="single" w:sz="6" w:space="0" w:color="999999"/>
              <w:left w:val="nil"/>
              <w:bottom w:val="single" w:sz="6" w:space="0" w:color="999999"/>
              <w:right w:val="single" w:sz="6" w:space="0" w:color="999999"/>
            </w:tcBorders>
            <w:tcMar>
              <w:top w:w="0" w:type="dxa"/>
              <w:left w:w="100" w:type="dxa"/>
              <w:bottom w:w="0" w:type="dxa"/>
              <w:right w:w="100" w:type="dxa"/>
            </w:tcMar>
          </w:tcPr>
          <w:p w14:paraId="693925A3" w14:textId="77777777" w:rsidR="00315874" w:rsidRDefault="00000000">
            <w:pPr>
              <w:ind w:left="140" w:firstLine="5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Conținutul propunerilor, obiecțiilor</w:t>
            </w:r>
          </w:p>
        </w:tc>
        <w:tc>
          <w:tcPr>
            <w:tcW w:w="5880" w:type="dxa"/>
            <w:tcBorders>
              <w:top w:val="single" w:sz="6" w:space="0" w:color="999999"/>
              <w:left w:val="nil"/>
              <w:bottom w:val="single" w:sz="6" w:space="0" w:color="999999"/>
              <w:right w:val="single" w:sz="6" w:space="0" w:color="999999"/>
            </w:tcBorders>
            <w:tcMar>
              <w:top w:w="0" w:type="dxa"/>
              <w:left w:w="100" w:type="dxa"/>
              <w:bottom w:w="0" w:type="dxa"/>
              <w:right w:w="100" w:type="dxa"/>
            </w:tcMar>
          </w:tcPr>
          <w:p w14:paraId="5065D653" w14:textId="77777777" w:rsidR="00315874" w:rsidRDefault="00000000">
            <w:pPr>
              <w:ind w:left="140" w:firstLine="5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Argumentare</w:t>
            </w:r>
          </w:p>
        </w:tc>
      </w:tr>
      <w:tr w:rsidR="00315874" w14:paraId="329EF04B" w14:textId="77777777">
        <w:trPr>
          <w:trHeight w:val="270"/>
        </w:trPr>
        <w:tc>
          <w:tcPr>
            <w:tcW w:w="870" w:type="dxa"/>
            <w:tcBorders>
              <w:top w:val="nil"/>
              <w:left w:val="single" w:sz="6" w:space="0" w:color="999999"/>
              <w:bottom w:val="single" w:sz="6" w:space="0" w:color="999999"/>
              <w:right w:val="single" w:sz="6" w:space="0" w:color="999999"/>
            </w:tcBorders>
            <w:tcMar>
              <w:top w:w="0" w:type="dxa"/>
              <w:left w:w="100" w:type="dxa"/>
              <w:bottom w:w="0" w:type="dxa"/>
              <w:right w:w="100" w:type="dxa"/>
            </w:tcMar>
          </w:tcPr>
          <w:p w14:paraId="2E2581B2" w14:textId="77777777" w:rsidR="00315874" w:rsidRDefault="00000000">
            <w:pPr>
              <w:ind w:left="140"/>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xml:space="preserve">   1</w:t>
            </w:r>
          </w:p>
        </w:tc>
        <w:tc>
          <w:tcPr>
            <w:tcW w:w="2730" w:type="dxa"/>
            <w:tcBorders>
              <w:top w:val="nil"/>
              <w:left w:val="nil"/>
              <w:bottom w:val="single" w:sz="6" w:space="0" w:color="999999"/>
              <w:right w:val="single" w:sz="6" w:space="0" w:color="999999"/>
            </w:tcBorders>
            <w:tcMar>
              <w:top w:w="0" w:type="dxa"/>
              <w:left w:w="100" w:type="dxa"/>
              <w:bottom w:w="0" w:type="dxa"/>
              <w:right w:w="100" w:type="dxa"/>
            </w:tcMar>
          </w:tcPr>
          <w:p w14:paraId="6FED55DD" w14:textId="77777777" w:rsidR="00315874" w:rsidRDefault="00000000">
            <w:pPr>
              <w:ind w:left="140" w:firstLine="560"/>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2</w:t>
            </w:r>
          </w:p>
        </w:tc>
        <w:tc>
          <w:tcPr>
            <w:tcW w:w="5550" w:type="dxa"/>
            <w:tcBorders>
              <w:top w:val="nil"/>
              <w:left w:val="nil"/>
              <w:bottom w:val="single" w:sz="6" w:space="0" w:color="999999"/>
              <w:right w:val="single" w:sz="6" w:space="0" w:color="999999"/>
            </w:tcBorders>
            <w:tcMar>
              <w:top w:w="0" w:type="dxa"/>
              <w:left w:w="100" w:type="dxa"/>
              <w:bottom w:w="0" w:type="dxa"/>
              <w:right w:w="100" w:type="dxa"/>
            </w:tcMar>
          </w:tcPr>
          <w:p w14:paraId="7F03F512" w14:textId="77777777" w:rsidR="00315874" w:rsidRDefault="00000000">
            <w:pPr>
              <w:ind w:left="140" w:firstLine="560"/>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3</w:t>
            </w:r>
          </w:p>
        </w:tc>
        <w:tc>
          <w:tcPr>
            <w:tcW w:w="5880" w:type="dxa"/>
            <w:tcBorders>
              <w:top w:val="nil"/>
              <w:left w:val="nil"/>
              <w:bottom w:val="single" w:sz="6" w:space="0" w:color="999999"/>
              <w:right w:val="single" w:sz="6" w:space="0" w:color="999999"/>
            </w:tcBorders>
            <w:tcMar>
              <w:top w:w="0" w:type="dxa"/>
              <w:left w:w="100" w:type="dxa"/>
              <w:bottom w:w="0" w:type="dxa"/>
              <w:right w:w="100" w:type="dxa"/>
            </w:tcMar>
          </w:tcPr>
          <w:p w14:paraId="55DDA20F" w14:textId="77777777" w:rsidR="00315874" w:rsidRDefault="00000000">
            <w:pPr>
              <w:ind w:left="140" w:firstLine="560"/>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4</w:t>
            </w:r>
          </w:p>
        </w:tc>
      </w:tr>
      <w:tr w:rsidR="00315874" w14:paraId="2974A85A" w14:textId="77777777">
        <w:trPr>
          <w:trHeight w:val="270"/>
        </w:trPr>
        <w:tc>
          <w:tcPr>
            <w:tcW w:w="15030" w:type="dxa"/>
            <w:gridSpan w:val="4"/>
            <w:tcBorders>
              <w:top w:val="nil"/>
              <w:left w:val="single" w:sz="6" w:space="0" w:color="999999"/>
              <w:bottom w:val="single" w:sz="6" w:space="0" w:color="999999"/>
              <w:right w:val="single" w:sz="6" w:space="0" w:color="999999"/>
            </w:tcBorders>
            <w:tcMar>
              <w:top w:w="0" w:type="dxa"/>
              <w:left w:w="100" w:type="dxa"/>
              <w:bottom w:w="0" w:type="dxa"/>
              <w:right w:w="100" w:type="dxa"/>
            </w:tcMar>
          </w:tcPr>
          <w:p w14:paraId="167534BB" w14:textId="77777777" w:rsidR="00315874" w:rsidRDefault="00000000">
            <w:pPr>
              <w:ind w:left="140" w:firstLine="56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Procedura de consultare publică</w:t>
            </w:r>
          </w:p>
        </w:tc>
      </w:tr>
      <w:tr w:rsidR="00315874" w14:paraId="44B449E0" w14:textId="77777777">
        <w:trPr>
          <w:trHeight w:val="1185"/>
        </w:trPr>
        <w:tc>
          <w:tcPr>
            <w:tcW w:w="870" w:type="dxa"/>
            <w:vMerge w:val="restart"/>
            <w:tcBorders>
              <w:top w:val="nil"/>
              <w:left w:val="single" w:sz="6" w:space="0" w:color="999999"/>
              <w:bottom w:val="single" w:sz="6" w:space="0" w:color="999999"/>
              <w:right w:val="single" w:sz="6" w:space="0" w:color="999999"/>
            </w:tcBorders>
            <w:tcMar>
              <w:top w:w="0" w:type="dxa"/>
              <w:left w:w="100" w:type="dxa"/>
              <w:bottom w:w="0" w:type="dxa"/>
              <w:right w:w="100" w:type="dxa"/>
            </w:tcMar>
          </w:tcPr>
          <w:p w14:paraId="7B6B43EE" w14:textId="77777777" w:rsidR="00315874" w:rsidRDefault="00000000">
            <w:pPr>
              <w:spacing w:line="240" w:lineRule="auto"/>
              <w:jc w:val="center"/>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1.</w:t>
            </w:r>
          </w:p>
        </w:tc>
        <w:tc>
          <w:tcPr>
            <w:tcW w:w="2730" w:type="dxa"/>
            <w:vMerge w:val="restart"/>
            <w:tcBorders>
              <w:top w:val="nil"/>
              <w:left w:val="nil"/>
              <w:bottom w:val="single" w:sz="6" w:space="0" w:color="999999"/>
              <w:right w:val="single" w:sz="6" w:space="0" w:color="999999"/>
            </w:tcBorders>
            <w:tcMar>
              <w:top w:w="0" w:type="dxa"/>
              <w:left w:w="100" w:type="dxa"/>
              <w:bottom w:w="0" w:type="dxa"/>
              <w:right w:w="100" w:type="dxa"/>
            </w:tcMar>
          </w:tcPr>
          <w:p w14:paraId="5D1A0D5A" w14:textId="77777777" w:rsidR="00315874" w:rsidRDefault="00000000">
            <w:pPr>
              <w:spacing w:line="240" w:lineRule="auto"/>
              <w:jc w:val="center"/>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Șarpe Viorel</w:t>
            </w:r>
          </w:p>
          <w:p w14:paraId="4B7F1454" w14:textId="77777777" w:rsidR="00315874" w:rsidRDefault="00000000">
            <w:pPr>
              <w:spacing w:line="240" w:lineRule="auto"/>
              <w:jc w:val="center"/>
              <w:rPr>
                <w:rFonts w:ascii="Times New Roman" w:eastAsia="Times New Roman" w:hAnsi="Times New Roman" w:cs="Times New Roman"/>
                <w:i/>
                <w:iCs/>
                <w:sz w:val="24"/>
                <w:szCs w:val="24"/>
                <w:highlight w:val="white"/>
              </w:rPr>
            </w:pPr>
            <w:r>
              <w:rPr>
                <w:rFonts w:ascii="Times New Roman" w:eastAsia="Times New Roman" w:hAnsi="Times New Roman" w:cs="Times New Roman"/>
                <w:i/>
                <w:iCs/>
                <w:sz w:val="24"/>
                <w:szCs w:val="24"/>
                <w:highlight w:val="white"/>
              </w:rPr>
              <w:t>12.06.2026</w:t>
            </w:r>
          </w:p>
        </w:tc>
        <w:tc>
          <w:tcPr>
            <w:tcW w:w="5550" w:type="dxa"/>
            <w:tcBorders>
              <w:top w:val="nil"/>
              <w:left w:val="nil"/>
              <w:bottom w:val="single" w:sz="6" w:space="0" w:color="000000"/>
              <w:right w:val="single" w:sz="6" w:space="0" w:color="999999"/>
            </w:tcBorders>
            <w:tcMar>
              <w:top w:w="0" w:type="dxa"/>
              <w:left w:w="100" w:type="dxa"/>
              <w:bottom w:w="0" w:type="dxa"/>
              <w:right w:w="100" w:type="dxa"/>
            </w:tcMar>
          </w:tcPr>
          <w:p w14:paraId="653BC42A"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În contextul inițierii de către Ministerul Muncii și Protecției Sociale a procesului de elaborare a</w:t>
            </w:r>
          </w:p>
          <w:p w14:paraId="40E15D71"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proiectului de Lege pentru modificarea unor acte normative, având drept scop consolidarea cadrului</w:t>
            </w:r>
          </w:p>
          <w:p w14:paraId="20CA9E41"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normativ privind garanțiile sociale, considerăm necesară examinarea cu maximă prudență a oricăror</w:t>
            </w:r>
          </w:p>
          <w:p w14:paraId="1825F42A"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modificări care vizează militarii și funcționarii publici cu statut special.</w:t>
            </w:r>
          </w:p>
          <w:p w14:paraId="0314ACDA"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Apreciem intenția de uniformizare a regimului concediilor, de reglementare unitară a</w:t>
            </w:r>
          </w:p>
          <w:p w14:paraId="4B37E682"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indemnizațiilor unice la eliberare, de corelare a drepturilor sociale cu politica salarială a statului și de</w:t>
            </w:r>
          </w:p>
          <w:p w14:paraId="3A92F5BA"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consolidare a responsabilității bugetar-fiscale. Totodată, subliniem că aceste obiective nu trebuie</w:t>
            </w:r>
          </w:p>
          <w:p w14:paraId="32E9ABA6"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realizate prin diminuarea, excluderea sau uniformizarea mecanică a garanțiilor sociale acordate</w:t>
            </w:r>
          </w:p>
          <w:p w14:paraId="496AD94B"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militarilor și funcționarilor publici cu statut special.</w:t>
            </w:r>
          </w:p>
          <w:p w14:paraId="231EF1DB"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Această categorie de personal se află într-o situație juridică și profesională distinctă față de</w:t>
            </w:r>
          </w:p>
          <w:p w14:paraId="75312FB4"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personalul civil. Activitatea militarilor și a funcționarilor publici cu statut special presupune restrângeri</w:t>
            </w:r>
          </w:p>
          <w:p w14:paraId="7B0001BA"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ale unor drepturi, disciplină strictă, subordonare ierarhică, regim special de muncă, risc profesional</w:t>
            </w:r>
          </w:p>
          <w:p w14:paraId="4A4F27CB"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sporit, program neregulat, disponibilitate permanentă, expunere la situații de pericol, stres psihologic</w:t>
            </w:r>
          </w:p>
          <w:p w14:paraId="59B66DE3"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continuu și responsabilități majore față de stat și societate.</w:t>
            </w:r>
          </w:p>
          <w:p w14:paraId="46A280D2"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Prin urmare, garanțiile sociale acordate acestor categorii nu trebuie tratate ca privilegii, ci ca</w:t>
            </w:r>
          </w:p>
          <w:p w14:paraId="6334CC95"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forme de compensare pentru riscurile, restricțiile și obligațiile asumate în exercitarea serviciului.</w:t>
            </w:r>
          </w:p>
        </w:tc>
        <w:tc>
          <w:tcPr>
            <w:tcW w:w="5880" w:type="dxa"/>
            <w:tcBorders>
              <w:top w:val="nil"/>
              <w:left w:val="nil"/>
              <w:bottom w:val="single" w:sz="6" w:space="0" w:color="000000"/>
              <w:right w:val="single" w:sz="6" w:space="0" w:color="999999"/>
            </w:tcBorders>
            <w:tcMar>
              <w:top w:w="0" w:type="dxa"/>
              <w:left w:w="100" w:type="dxa"/>
              <w:bottom w:w="0" w:type="dxa"/>
              <w:right w:w="100" w:type="dxa"/>
            </w:tcMar>
          </w:tcPr>
          <w:p w14:paraId="7B99573A"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lastRenderedPageBreak/>
              <w:t>Nu se acceptă</w:t>
            </w:r>
            <w:r>
              <w:rPr>
                <w:rFonts w:ascii="Times New Roman" w:eastAsia="Times New Roman" w:hAnsi="Times New Roman" w:cs="Times New Roman"/>
                <w:sz w:val="24"/>
                <w:szCs w:val="24"/>
                <w:highlight w:val="white"/>
              </w:rPr>
              <w:t xml:space="preserve"> diminuarea/uniformizarea mecanică a garanțiilor pentru militari și funcționarii publici cu statut special, în sensul restabilirii concediului suplimentar pentru vechime. Poziția Ministerului este cea expusă la pct. 8 (Ministerul Justiției) și pct. 13 (Ministerul Afacerilor Interne) din prezenta Sinteză.</w:t>
            </w:r>
          </w:p>
        </w:tc>
      </w:tr>
      <w:tr w:rsidR="00315874" w14:paraId="0812597F" w14:textId="77777777">
        <w:trPr>
          <w:trHeight w:val="1185"/>
        </w:trPr>
        <w:tc>
          <w:tcPr>
            <w:tcW w:w="870" w:type="dxa"/>
            <w:vMerge/>
            <w:tcBorders>
              <w:top w:val="nil"/>
              <w:left w:val="single" w:sz="6" w:space="0" w:color="999999"/>
              <w:bottom w:val="single" w:sz="6" w:space="0" w:color="999999"/>
              <w:right w:val="single" w:sz="6" w:space="0" w:color="999999"/>
            </w:tcBorders>
            <w:tcMar>
              <w:top w:w="0" w:type="dxa"/>
              <w:left w:w="100" w:type="dxa"/>
              <w:bottom w:w="0" w:type="dxa"/>
              <w:right w:w="100" w:type="dxa"/>
            </w:tcMar>
          </w:tcPr>
          <w:p w14:paraId="5382EF50" w14:textId="77777777" w:rsidR="00315874" w:rsidRDefault="00315874">
            <w:pPr>
              <w:spacing w:line="240" w:lineRule="auto"/>
              <w:jc w:val="center"/>
              <w:rPr>
                <w:rFonts w:ascii="Times New Roman" w:eastAsia="Times New Roman" w:hAnsi="Times New Roman" w:cs="Times New Roman"/>
                <w:b/>
                <w:bCs/>
                <w:sz w:val="24"/>
                <w:szCs w:val="24"/>
                <w:highlight w:val="white"/>
              </w:rPr>
            </w:pPr>
          </w:p>
        </w:tc>
        <w:tc>
          <w:tcPr>
            <w:tcW w:w="2730" w:type="dxa"/>
            <w:vMerge/>
            <w:tcBorders>
              <w:top w:val="nil"/>
              <w:left w:val="nil"/>
              <w:bottom w:val="single" w:sz="6" w:space="0" w:color="999999"/>
              <w:right w:val="single" w:sz="6" w:space="0" w:color="999999"/>
            </w:tcBorders>
            <w:tcMar>
              <w:top w:w="0" w:type="dxa"/>
              <w:left w:w="100" w:type="dxa"/>
              <w:bottom w:w="0" w:type="dxa"/>
              <w:right w:w="100" w:type="dxa"/>
            </w:tcMar>
          </w:tcPr>
          <w:p w14:paraId="6123C134" w14:textId="77777777" w:rsidR="00315874" w:rsidRDefault="00315874">
            <w:pPr>
              <w:spacing w:line="240" w:lineRule="auto"/>
              <w:jc w:val="center"/>
              <w:rPr>
                <w:rFonts w:ascii="Times New Roman" w:eastAsia="Times New Roman" w:hAnsi="Times New Roman" w:cs="Times New Roman"/>
                <w:sz w:val="24"/>
                <w:szCs w:val="24"/>
                <w:highlight w:val="white"/>
              </w:rPr>
            </w:pPr>
          </w:p>
        </w:tc>
        <w:tc>
          <w:tcPr>
            <w:tcW w:w="5550" w:type="dxa"/>
            <w:tcBorders>
              <w:top w:val="nil"/>
              <w:left w:val="nil"/>
              <w:bottom w:val="single" w:sz="6" w:space="0" w:color="000000"/>
              <w:right w:val="single" w:sz="6" w:space="0" w:color="999999"/>
            </w:tcBorders>
            <w:tcMar>
              <w:top w:w="0" w:type="dxa"/>
              <w:left w:w="100" w:type="dxa"/>
              <w:bottom w:w="0" w:type="dxa"/>
              <w:right w:w="100" w:type="dxa"/>
            </w:tcMar>
          </w:tcPr>
          <w:p w14:paraId="33B7CC5F"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1.Respectarea drepturilor dobândite și a așteptărilor legitime</w:t>
            </w:r>
          </w:p>
          <w:p w14:paraId="2D28223E"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Orice modificare legislativă trebuie să respecte drepturile deja dobândite de militari și</w:t>
            </w:r>
          </w:p>
          <w:p w14:paraId="77B6742B"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funcționarii publici cu statut special, precum și așteptările legitime ale persoanelor aflate în serviciu.</w:t>
            </w:r>
          </w:p>
          <w:p w14:paraId="2D93990C"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Persoanele care au ales cariera militară sau serviciul public cu statut special au făcut această</w:t>
            </w:r>
          </w:p>
          <w:p w14:paraId="12632BEB"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alegere în baza unui cadru juridic existent, care prevedea anumite drepturi, garanții și compensații</w:t>
            </w:r>
          </w:p>
          <w:p w14:paraId="01987F96"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sociale. Modificarea ulterioară a acestor garanții, fără perioade tranzitorii adecvate și fără protejarea</w:t>
            </w:r>
          </w:p>
          <w:p w14:paraId="52634D39"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persoanelor aflate deja în sistem, poate afecta grav încrederea în stat și stabilitatea raporturilor de</w:t>
            </w:r>
          </w:p>
          <w:p w14:paraId="4696523C"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serviciu.</w:t>
            </w:r>
          </w:p>
          <w:p w14:paraId="0FDD9487"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Astfel, se propune ca eventualele modificări să nu afecteze:</w:t>
            </w:r>
          </w:p>
          <w:p w14:paraId="4297B285"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drepturile deja obținute;</w:t>
            </w:r>
          </w:p>
          <w:p w14:paraId="50A869FD"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vechimea acumulată în condiții speciale;</w:t>
            </w:r>
          </w:p>
          <w:p w14:paraId="67F6E84C"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drepturile persoanelor aflate în prag de pensionare;</w:t>
            </w:r>
          </w:p>
          <w:p w14:paraId="063AA034"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indemnizație pentru eliberare;</w:t>
            </w:r>
          </w:p>
          <w:p w14:paraId="12209048"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indemnizațiile și compensațiile stabilite pentru riscurile specifice serviciului;</w:t>
            </w:r>
          </w:p>
          <w:p w14:paraId="064BE623"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garanțiile acordate familiilor militarilor și funcționarilor decedați sau afectați în legătură cu</w:t>
            </w:r>
          </w:p>
          <w:p w14:paraId="28C8873C"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serviciul</w:t>
            </w:r>
          </w:p>
        </w:tc>
        <w:tc>
          <w:tcPr>
            <w:tcW w:w="5880" w:type="dxa"/>
            <w:tcBorders>
              <w:top w:val="nil"/>
              <w:left w:val="nil"/>
              <w:bottom w:val="single" w:sz="6" w:space="0" w:color="000000"/>
              <w:right w:val="single" w:sz="6" w:space="0" w:color="999999"/>
            </w:tcBorders>
            <w:tcMar>
              <w:top w:w="0" w:type="dxa"/>
              <w:left w:w="100" w:type="dxa"/>
              <w:bottom w:w="0" w:type="dxa"/>
              <w:right w:w="100" w:type="dxa"/>
            </w:tcMar>
          </w:tcPr>
          <w:p w14:paraId="2FF8DD51"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Parțial se acceptă.</w:t>
            </w:r>
          </w:p>
          <w:p w14:paraId="794F4211"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Drepturile la concediu deja dobândite și neutilizate până la intrarea în vigoare a legii nu sunt afectate, fiind protejate prin dispozițiile tranzitorii (a se vedea pct. 3, avizul Cancelariei de Stat).</w:t>
            </w:r>
          </w:p>
          <w:p w14:paraId="70A6779D"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Referitor la celelalte drepturi enumerate (indemnizația de eliberare, indemnizațiile și compensațiile pentru riscuri specifice, garanțiile pentru familiile militarilor decedați sau afectați în legătură cu serviciul): acestea nu sunt reglementate de prezentul proiect de lege, care vizează exclusiv regimul concediului de odihnă anual, și rămân guvernate, nemodificat, de legislația specială în vigoare.</w:t>
            </w:r>
          </w:p>
          <w:p w14:paraId="3D47C28A"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Referitor la vechimea acumulată în condiții speciale și concediul suplimentar pentru vechime: poziția Ministerului este cea expusă la pct. 8 și pct. 13 din prezenta Sinteză.</w:t>
            </w:r>
          </w:p>
          <w:p w14:paraId="04FEEF65"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43329F34" w14:textId="77777777" w:rsidR="00315874" w:rsidRDefault="00315874">
            <w:pPr>
              <w:shd w:val="clear" w:color="auto" w:fill="FFFFFF"/>
              <w:jc w:val="both"/>
              <w:rPr>
                <w:rFonts w:ascii="Times New Roman" w:eastAsia="Times New Roman" w:hAnsi="Times New Roman" w:cs="Times New Roman"/>
                <w:sz w:val="24"/>
                <w:szCs w:val="24"/>
                <w:highlight w:val="white"/>
              </w:rPr>
            </w:pPr>
          </w:p>
        </w:tc>
      </w:tr>
      <w:tr w:rsidR="00315874" w14:paraId="66F4F467" w14:textId="77777777">
        <w:trPr>
          <w:trHeight w:val="1185"/>
        </w:trPr>
        <w:tc>
          <w:tcPr>
            <w:tcW w:w="870" w:type="dxa"/>
            <w:vMerge/>
            <w:tcBorders>
              <w:top w:val="nil"/>
              <w:left w:val="single" w:sz="6" w:space="0" w:color="999999"/>
              <w:bottom w:val="single" w:sz="6" w:space="0" w:color="999999"/>
              <w:right w:val="single" w:sz="6" w:space="0" w:color="999999"/>
            </w:tcBorders>
            <w:tcMar>
              <w:top w:w="0" w:type="dxa"/>
              <w:left w:w="100" w:type="dxa"/>
              <w:bottom w:w="0" w:type="dxa"/>
              <w:right w:w="100" w:type="dxa"/>
            </w:tcMar>
          </w:tcPr>
          <w:p w14:paraId="43001B2D" w14:textId="77777777" w:rsidR="00315874" w:rsidRDefault="00315874">
            <w:pPr>
              <w:spacing w:line="240" w:lineRule="auto"/>
              <w:jc w:val="center"/>
              <w:rPr>
                <w:rFonts w:ascii="Times New Roman" w:eastAsia="Times New Roman" w:hAnsi="Times New Roman" w:cs="Times New Roman"/>
                <w:b/>
                <w:bCs/>
                <w:sz w:val="24"/>
                <w:szCs w:val="24"/>
                <w:highlight w:val="white"/>
              </w:rPr>
            </w:pPr>
          </w:p>
        </w:tc>
        <w:tc>
          <w:tcPr>
            <w:tcW w:w="2730" w:type="dxa"/>
            <w:vMerge/>
            <w:tcBorders>
              <w:top w:val="nil"/>
              <w:left w:val="nil"/>
              <w:bottom w:val="single" w:sz="6" w:space="0" w:color="999999"/>
              <w:right w:val="single" w:sz="6" w:space="0" w:color="999999"/>
            </w:tcBorders>
            <w:tcMar>
              <w:top w:w="0" w:type="dxa"/>
              <w:left w:w="100" w:type="dxa"/>
              <w:bottom w:w="0" w:type="dxa"/>
              <w:right w:w="100" w:type="dxa"/>
            </w:tcMar>
          </w:tcPr>
          <w:p w14:paraId="761F7678" w14:textId="77777777" w:rsidR="00315874" w:rsidRDefault="00315874">
            <w:pPr>
              <w:spacing w:line="240" w:lineRule="auto"/>
              <w:jc w:val="center"/>
              <w:rPr>
                <w:rFonts w:ascii="Times New Roman" w:eastAsia="Times New Roman" w:hAnsi="Times New Roman" w:cs="Times New Roman"/>
                <w:sz w:val="24"/>
                <w:szCs w:val="24"/>
                <w:highlight w:val="white"/>
              </w:rPr>
            </w:pPr>
          </w:p>
        </w:tc>
        <w:tc>
          <w:tcPr>
            <w:tcW w:w="5550" w:type="dxa"/>
            <w:tcBorders>
              <w:top w:val="nil"/>
              <w:left w:val="nil"/>
              <w:bottom w:val="single" w:sz="6" w:space="0" w:color="000000"/>
              <w:right w:val="single" w:sz="6" w:space="0" w:color="999999"/>
            </w:tcBorders>
            <w:tcMar>
              <w:top w:w="0" w:type="dxa"/>
              <w:left w:w="100" w:type="dxa"/>
              <w:bottom w:w="0" w:type="dxa"/>
              <w:right w:w="100" w:type="dxa"/>
            </w:tcMar>
          </w:tcPr>
          <w:p w14:paraId="3010D3BA"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2. Necesitatea unei analize de impact distincte pentru structurile de forță</w:t>
            </w:r>
          </w:p>
          <w:p w14:paraId="10976369"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Înainte de includerea oricăror modificări care vizează militarii și funcționarii publici cu statut</w:t>
            </w:r>
          </w:p>
          <w:p w14:paraId="1ACD68A5"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special, este necesară elaborarea unei analize de impact separate pentru fiecare structură vizată.</w:t>
            </w:r>
          </w:p>
          <w:p w14:paraId="55344FF1"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Această analiză trebuie să includă cel puțin următoarele aspecte:</w:t>
            </w:r>
          </w:p>
          <w:p w14:paraId="52EBADC3"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 specificul atribuțiilor de serviciu;</w:t>
            </w:r>
          </w:p>
          <w:p w14:paraId="3675EA2E"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riscurile profesionale;</w:t>
            </w:r>
          </w:p>
          <w:p w14:paraId="64A5C678"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restrângerile de drepturi;</w:t>
            </w:r>
          </w:p>
          <w:p w14:paraId="46BBC8AD"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condițiile de muncă;</w:t>
            </w:r>
          </w:p>
          <w:p w14:paraId="2D0E81F2"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nivelul de stres profesional;</w:t>
            </w:r>
          </w:p>
          <w:p w14:paraId="209BE660"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programul de muncă și regimul de disponibilitate;</w:t>
            </w:r>
          </w:p>
          <w:p w14:paraId="17E1B2F7"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numărul de funcții aprobate conform statelor de personal;</w:t>
            </w:r>
          </w:p>
          <w:p w14:paraId="489B6926"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numărul de funcții ocupate;</w:t>
            </w:r>
          </w:p>
          <w:p w14:paraId="0D1DB238"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numărul de funcții vacante;</w:t>
            </w:r>
          </w:p>
          <w:p w14:paraId="474AD8E6"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fluctuația de personal;</w:t>
            </w:r>
          </w:p>
          <w:p w14:paraId="1D6FBF22"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cazurile de deces, accidente de muncă, invaliditate și îmbolnăviri profesionale;</w:t>
            </w:r>
          </w:p>
          <w:p w14:paraId="63042B14"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impactul asupra capacității instituțiilor de a recruta și menține personal calificat.</w:t>
            </w:r>
          </w:p>
          <w:p w14:paraId="31F59328"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O reformă care urmărește doar uniformizarea formală a drepturilor, fără a ține cont de specificul</w:t>
            </w:r>
          </w:p>
          <w:p w14:paraId="351B26CB"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serviciului, riscă să producă efecte negative asupra funcționalității instituțiilor de forță.</w:t>
            </w:r>
          </w:p>
        </w:tc>
        <w:tc>
          <w:tcPr>
            <w:tcW w:w="5880" w:type="dxa"/>
            <w:tcBorders>
              <w:top w:val="nil"/>
              <w:left w:val="nil"/>
              <w:bottom w:val="single" w:sz="6" w:space="0" w:color="000000"/>
              <w:right w:val="single" w:sz="6" w:space="0" w:color="999999"/>
            </w:tcBorders>
            <w:tcMar>
              <w:top w:w="0" w:type="dxa"/>
              <w:left w:w="100" w:type="dxa"/>
              <w:bottom w:w="0" w:type="dxa"/>
              <w:right w:w="100" w:type="dxa"/>
            </w:tcMar>
          </w:tcPr>
          <w:p w14:paraId="6DAC1B9A"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Nu se acceptă</w:t>
            </w:r>
          </w:p>
          <w:p w14:paraId="7EABC553"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O analiză exhaustivă, pe fiecare dintre toate aspectele enumerate, pentru fiecare structură de forță în parte, excedează, însă, obiectul prezentului proiect, care vizează uniformizarea modului de exprimare a duratei concediului de odihnă.</w:t>
            </w:r>
          </w:p>
          <w:p w14:paraId="1EBDEE07"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7761332B" w14:textId="77777777" w:rsidR="00315874" w:rsidRDefault="00315874">
            <w:pPr>
              <w:shd w:val="clear" w:color="auto" w:fill="FFFFFF"/>
              <w:jc w:val="both"/>
              <w:rPr>
                <w:rFonts w:ascii="Times New Roman" w:eastAsia="Times New Roman" w:hAnsi="Times New Roman" w:cs="Times New Roman"/>
                <w:sz w:val="24"/>
                <w:szCs w:val="24"/>
                <w:highlight w:val="white"/>
              </w:rPr>
            </w:pPr>
          </w:p>
        </w:tc>
      </w:tr>
      <w:tr w:rsidR="00315874" w14:paraId="52C86288" w14:textId="77777777">
        <w:trPr>
          <w:trHeight w:val="1185"/>
        </w:trPr>
        <w:tc>
          <w:tcPr>
            <w:tcW w:w="870" w:type="dxa"/>
            <w:vMerge/>
            <w:tcBorders>
              <w:top w:val="nil"/>
              <w:left w:val="single" w:sz="6" w:space="0" w:color="999999"/>
              <w:bottom w:val="single" w:sz="6" w:space="0" w:color="999999"/>
              <w:right w:val="single" w:sz="6" w:space="0" w:color="999999"/>
            </w:tcBorders>
            <w:tcMar>
              <w:top w:w="0" w:type="dxa"/>
              <w:left w:w="100" w:type="dxa"/>
              <w:bottom w:w="0" w:type="dxa"/>
              <w:right w:w="100" w:type="dxa"/>
            </w:tcMar>
          </w:tcPr>
          <w:p w14:paraId="5E50EFF4" w14:textId="77777777" w:rsidR="00315874" w:rsidRDefault="00315874">
            <w:pPr>
              <w:spacing w:line="240" w:lineRule="auto"/>
              <w:jc w:val="center"/>
              <w:rPr>
                <w:rFonts w:ascii="Times New Roman" w:eastAsia="Times New Roman" w:hAnsi="Times New Roman" w:cs="Times New Roman"/>
                <w:b/>
                <w:bCs/>
                <w:sz w:val="24"/>
                <w:szCs w:val="24"/>
                <w:highlight w:val="white"/>
              </w:rPr>
            </w:pPr>
          </w:p>
        </w:tc>
        <w:tc>
          <w:tcPr>
            <w:tcW w:w="2730" w:type="dxa"/>
            <w:vMerge/>
            <w:tcBorders>
              <w:top w:val="nil"/>
              <w:left w:val="nil"/>
              <w:bottom w:val="single" w:sz="6" w:space="0" w:color="999999"/>
              <w:right w:val="single" w:sz="6" w:space="0" w:color="999999"/>
            </w:tcBorders>
            <w:tcMar>
              <w:top w:w="0" w:type="dxa"/>
              <w:left w:w="100" w:type="dxa"/>
              <w:bottom w:w="0" w:type="dxa"/>
              <w:right w:w="100" w:type="dxa"/>
            </w:tcMar>
          </w:tcPr>
          <w:p w14:paraId="621249FE" w14:textId="77777777" w:rsidR="00315874" w:rsidRDefault="00315874">
            <w:pPr>
              <w:spacing w:line="240" w:lineRule="auto"/>
              <w:jc w:val="center"/>
              <w:rPr>
                <w:rFonts w:ascii="Times New Roman" w:eastAsia="Times New Roman" w:hAnsi="Times New Roman" w:cs="Times New Roman"/>
                <w:sz w:val="24"/>
                <w:szCs w:val="24"/>
                <w:highlight w:val="white"/>
              </w:rPr>
            </w:pPr>
          </w:p>
        </w:tc>
        <w:tc>
          <w:tcPr>
            <w:tcW w:w="5550" w:type="dxa"/>
            <w:tcBorders>
              <w:top w:val="nil"/>
              <w:left w:val="nil"/>
              <w:bottom w:val="single" w:sz="6" w:space="0" w:color="000000"/>
              <w:right w:val="single" w:sz="6" w:space="0" w:color="999999"/>
            </w:tcBorders>
            <w:tcMar>
              <w:top w:w="0" w:type="dxa"/>
              <w:left w:w="100" w:type="dxa"/>
              <w:bottom w:w="0" w:type="dxa"/>
              <w:right w:w="100" w:type="dxa"/>
            </w:tcMar>
          </w:tcPr>
          <w:p w14:paraId="72AD73C1"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3. Uniformizarea nu trebuie să însemne diminuarea garanțiilor sociale</w:t>
            </w:r>
          </w:p>
          <w:p w14:paraId="033EB531"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Uniformizarea cadrului normativ poate fi justificată atunci când urmărește claritate, coerență și</w:t>
            </w:r>
          </w:p>
          <w:p w14:paraId="17B9D8DE"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aplicare unitară. Totuși, uniformizarea nu trebuie confundată cu reducerea garanțiilor sociale sau cu</w:t>
            </w:r>
          </w:p>
          <w:p w14:paraId="4FC17BBD"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eliminarea diferențelor justificate obiectiv.</w:t>
            </w:r>
          </w:p>
          <w:p w14:paraId="4CB4F041"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Militarii și funcționarii publici cu statut special nu se află în aceeași situație cu salariații civili.</w:t>
            </w:r>
          </w:p>
          <w:p w14:paraId="5471CB59"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În consecință, aplicarea acelorași reguli tuturor categoriilor de personal, fără a ține cont de riscurile și</w:t>
            </w:r>
          </w:p>
          <w:p w14:paraId="2C92F817"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obligațiile specifice, poate genera inechități.</w:t>
            </w:r>
          </w:p>
          <w:p w14:paraId="1D444D45"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Echitatea nu presupune tratarea identică a unor categorii aflate în situații diferite, ci aplicarea</w:t>
            </w:r>
          </w:p>
          <w:p w14:paraId="60550B68"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unor soluții proporționale și adaptate specificului fiecărei categorii profesionale.</w:t>
            </w:r>
          </w:p>
        </w:tc>
        <w:tc>
          <w:tcPr>
            <w:tcW w:w="5880" w:type="dxa"/>
            <w:tcBorders>
              <w:top w:val="nil"/>
              <w:left w:val="nil"/>
              <w:bottom w:val="single" w:sz="6" w:space="0" w:color="000000"/>
              <w:right w:val="single" w:sz="6" w:space="0" w:color="999999"/>
            </w:tcBorders>
            <w:tcMar>
              <w:top w:w="0" w:type="dxa"/>
              <w:left w:w="100" w:type="dxa"/>
              <w:bottom w:w="0" w:type="dxa"/>
              <w:right w:w="100" w:type="dxa"/>
            </w:tcMar>
          </w:tcPr>
          <w:p w14:paraId="39A38F97" w14:textId="1A55E6DD" w:rsidR="00315874" w:rsidRPr="0009241B" w:rsidRDefault="00000000">
            <w:pPr>
              <w:shd w:val="clear" w:color="auto" w:fill="FFFFFF"/>
              <w:jc w:val="both"/>
              <w:rPr>
                <w:rFonts w:ascii="Times New Roman" w:eastAsia="Times New Roman" w:hAnsi="Times New Roman" w:cs="Times New Roman"/>
                <w:strike/>
                <w:color w:val="FF0000"/>
                <w:sz w:val="24"/>
                <w:szCs w:val="24"/>
              </w:rPr>
            </w:pPr>
            <w:r>
              <w:rPr>
                <w:rFonts w:ascii="Times New Roman" w:eastAsia="Times New Roman" w:hAnsi="Times New Roman" w:cs="Times New Roman"/>
                <w:b/>
                <w:bCs/>
                <w:sz w:val="24"/>
                <w:szCs w:val="24"/>
                <w:highlight w:val="white"/>
              </w:rPr>
              <w:lastRenderedPageBreak/>
              <w:t>Nu se acceptă</w:t>
            </w:r>
            <w:r>
              <w:rPr>
                <w:rFonts w:ascii="Times New Roman" w:eastAsia="Times New Roman" w:hAnsi="Times New Roman" w:cs="Times New Roman"/>
                <w:sz w:val="24"/>
                <w:szCs w:val="24"/>
                <w:highlight w:val="white"/>
              </w:rPr>
              <w:t xml:space="preserve"> premisa că proiectul ar echivala uniformizarea cu diminuarea garanțiilor sociale. Poziția Ministerului este cea expusă la pct. 14 (avizul Ministerului Apărării) din prezenta Sinteză: diferențierea duratelor concediului între categoriile de personal, inclusiv structurile de forță, este menținută pe criterii obiective, iar toate duratele propuse sunt egale sau superioare </w:t>
            </w:r>
            <w:r w:rsidRPr="0009241B">
              <w:rPr>
                <w:rFonts w:ascii="Times New Roman" w:eastAsia="Times New Roman" w:hAnsi="Times New Roman" w:cs="Times New Roman"/>
                <w:sz w:val="24"/>
                <w:szCs w:val="24"/>
                <w:highlight w:val="white"/>
              </w:rPr>
              <w:t>standardului minim de 24 de zile lucrătoare</w:t>
            </w:r>
            <w:r>
              <w:rPr>
                <w:rFonts w:ascii="Times New Roman" w:eastAsia="Times New Roman" w:hAnsi="Times New Roman" w:cs="Times New Roman"/>
                <w:sz w:val="24"/>
                <w:szCs w:val="24"/>
                <w:highlight w:val="white"/>
              </w:rPr>
              <w:t>.</w:t>
            </w:r>
          </w:p>
        </w:tc>
      </w:tr>
      <w:tr w:rsidR="00315874" w14:paraId="012516CD" w14:textId="77777777">
        <w:trPr>
          <w:trHeight w:val="1185"/>
        </w:trPr>
        <w:tc>
          <w:tcPr>
            <w:tcW w:w="870" w:type="dxa"/>
            <w:vMerge/>
            <w:tcBorders>
              <w:top w:val="nil"/>
              <w:left w:val="single" w:sz="6" w:space="0" w:color="999999"/>
              <w:bottom w:val="single" w:sz="6" w:space="0" w:color="999999"/>
              <w:right w:val="single" w:sz="6" w:space="0" w:color="999999"/>
            </w:tcBorders>
            <w:tcMar>
              <w:top w:w="0" w:type="dxa"/>
              <w:left w:w="100" w:type="dxa"/>
              <w:bottom w:w="0" w:type="dxa"/>
              <w:right w:w="100" w:type="dxa"/>
            </w:tcMar>
          </w:tcPr>
          <w:p w14:paraId="6C78CA9A" w14:textId="77777777" w:rsidR="00315874" w:rsidRDefault="00315874">
            <w:pPr>
              <w:spacing w:line="240" w:lineRule="auto"/>
              <w:jc w:val="center"/>
              <w:rPr>
                <w:rFonts w:ascii="Times New Roman" w:eastAsia="Times New Roman" w:hAnsi="Times New Roman" w:cs="Times New Roman"/>
                <w:b/>
                <w:bCs/>
                <w:sz w:val="24"/>
                <w:szCs w:val="24"/>
                <w:highlight w:val="white"/>
              </w:rPr>
            </w:pPr>
          </w:p>
        </w:tc>
        <w:tc>
          <w:tcPr>
            <w:tcW w:w="2730" w:type="dxa"/>
            <w:vMerge/>
            <w:tcBorders>
              <w:top w:val="nil"/>
              <w:left w:val="nil"/>
              <w:bottom w:val="single" w:sz="6" w:space="0" w:color="999999"/>
              <w:right w:val="single" w:sz="6" w:space="0" w:color="999999"/>
            </w:tcBorders>
            <w:tcMar>
              <w:top w:w="0" w:type="dxa"/>
              <w:left w:w="100" w:type="dxa"/>
              <w:bottom w:w="0" w:type="dxa"/>
              <w:right w:w="100" w:type="dxa"/>
            </w:tcMar>
          </w:tcPr>
          <w:p w14:paraId="710175EC" w14:textId="77777777" w:rsidR="00315874" w:rsidRDefault="00315874">
            <w:pPr>
              <w:spacing w:line="240" w:lineRule="auto"/>
              <w:jc w:val="center"/>
              <w:rPr>
                <w:rFonts w:ascii="Times New Roman" w:eastAsia="Times New Roman" w:hAnsi="Times New Roman" w:cs="Times New Roman"/>
                <w:sz w:val="24"/>
                <w:szCs w:val="24"/>
                <w:highlight w:val="white"/>
              </w:rPr>
            </w:pPr>
          </w:p>
        </w:tc>
        <w:tc>
          <w:tcPr>
            <w:tcW w:w="5550" w:type="dxa"/>
            <w:tcBorders>
              <w:top w:val="nil"/>
              <w:left w:val="nil"/>
              <w:bottom w:val="single" w:sz="6" w:space="0" w:color="000000"/>
              <w:right w:val="single" w:sz="6" w:space="0" w:color="999999"/>
            </w:tcBorders>
            <w:tcMar>
              <w:top w:w="0" w:type="dxa"/>
              <w:left w:w="100" w:type="dxa"/>
              <w:bottom w:w="0" w:type="dxa"/>
              <w:right w:w="100" w:type="dxa"/>
            </w:tcMar>
          </w:tcPr>
          <w:p w14:paraId="6015C1DD"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4. Menținerea garanțiilor privind concediile</w:t>
            </w:r>
          </w:p>
          <w:p w14:paraId="3DBB211D"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În cazul reglementării regimului concediilor, este necesar ca militarii și funcționarii publici cu</w:t>
            </w:r>
          </w:p>
          <w:p w14:paraId="4EF2299B"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statut special să beneficieze în continuare de un regim adaptat condițiilor specifice de serviciu.</w:t>
            </w:r>
          </w:p>
          <w:p w14:paraId="3B32F181"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Programul neregulat, activitatea în ture, serviciul de noapte, munca în zile de repaus și sărbători,</w:t>
            </w:r>
          </w:p>
          <w:p w14:paraId="2C67C5AB"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intervențiile operative, imposibilitatea planificării previzibile a timpului liber și nivelul ridicat de stres</w:t>
            </w:r>
          </w:p>
          <w:p w14:paraId="241708DD"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justifică menținerea unor garanții suplimentare privind concediile.</w:t>
            </w:r>
          </w:p>
          <w:p w14:paraId="22BBD4AA"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Prin urmare, eventualele modificări nu trebuie să conducă la diminuarea:</w:t>
            </w:r>
          </w:p>
          <w:p w14:paraId="1ADA3116"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concediului anual;</w:t>
            </w:r>
          </w:p>
          <w:p w14:paraId="3F99DCBA"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concediului suplimentar plătit;</w:t>
            </w:r>
          </w:p>
          <w:p w14:paraId="0CB5AD35"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concediilor acordate pentru condiții speciale de muncă;</w:t>
            </w:r>
          </w:p>
          <w:p w14:paraId="30C2715E"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dreptului la recuperarea timpului lucrat peste program;</w:t>
            </w:r>
          </w:p>
          <w:p w14:paraId="2E83F5F2"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drepturilor aferente serviciului în condiții nocive, periculoase sau psihologic solicitante.</w:t>
            </w:r>
          </w:p>
        </w:tc>
        <w:tc>
          <w:tcPr>
            <w:tcW w:w="5880" w:type="dxa"/>
            <w:tcBorders>
              <w:top w:val="nil"/>
              <w:left w:val="nil"/>
              <w:bottom w:val="single" w:sz="6" w:space="0" w:color="000000"/>
              <w:right w:val="single" w:sz="6" w:space="0" w:color="999999"/>
            </w:tcBorders>
            <w:tcMar>
              <w:top w:w="0" w:type="dxa"/>
              <w:left w:w="100" w:type="dxa"/>
              <w:bottom w:w="0" w:type="dxa"/>
              <w:right w:w="100" w:type="dxa"/>
            </w:tcMar>
          </w:tcPr>
          <w:p w14:paraId="177F13BE" w14:textId="51F0819D"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Nu se acceptă.</w:t>
            </w:r>
            <w:r>
              <w:rPr>
                <w:rFonts w:ascii="Times New Roman" w:eastAsia="Times New Roman" w:hAnsi="Times New Roman" w:cs="Times New Roman"/>
                <w:sz w:val="24"/>
                <w:szCs w:val="24"/>
                <w:highlight w:val="white"/>
              </w:rPr>
              <w:t xml:space="preserve"> A se vedea răspunsul consolidat de la punctul precedent din prezentul aviz și de la pct. 8/pct. 13 din prezenta Sinteză. Durata concediului de bază pentru toate categoriile menționate este menținută la un nivel egal sau superior </w:t>
            </w:r>
            <w:r w:rsidR="0009241B" w:rsidRPr="0009241B">
              <w:rPr>
                <w:rFonts w:ascii="Times New Roman" w:eastAsia="Times New Roman" w:hAnsi="Times New Roman" w:cs="Times New Roman"/>
                <w:sz w:val="24"/>
                <w:szCs w:val="24"/>
                <w:highlight w:val="white"/>
              </w:rPr>
              <w:t>standardului minim de 24 de zile lucrătoare</w:t>
            </w:r>
            <w:r w:rsidR="0009241B">
              <w:rPr>
                <w:rFonts w:ascii="Times New Roman" w:eastAsia="Times New Roman" w:hAnsi="Times New Roman" w:cs="Times New Roman"/>
                <w:sz w:val="24"/>
                <w:szCs w:val="24"/>
                <w:highlight w:val="white"/>
              </w:rPr>
              <w:t>.</w:t>
            </w:r>
          </w:p>
        </w:tc>
      </w:tr>
      <w:tr w:rsidR="00315874" w14:paraId="37F959BA" w14:textId="77777777">
        <w:trPr>
          <w:trHeight w:val="1185"/>
        </w:trPr>
        <w:tc>
          <w:tcPr>
            <w:tcW w:w="870" w:type="dxa"/>
            <w:vMerge/>
            <w:tcBorders>
              <w:top w:val="nil"/>
              <w:left w:val="single" w:sz="6" w:space="0" w:color="999999"/>
              <w:bottom w:val="single" w:sz="6" w:space="0" w:color="999999"/>
              <w:right w:val="single" w:sz="6" w:space="0" w:color="999999"/>
            </w:tcBorders>
            <w:tcMar>
              <w:top w:w="0" w:type="dxa"/>
              <w:left w:w="100" w:type="dxa"/>
              <w:bottom w:w="0" w:type="dxa"/>
              <w:right w:w="100" w:type="dxa"/>
            </w:tcMar>
          </w:tcPr>
          <w:p w14:paraId="06E8617C" w14:textId="77777777" w:rsidR="00315874" w:rsidRDefault="00315874">
            <w:pPr>
              <w:spacing w:line="240" w:lineRule="auto"/>
              <w:jc w:val="center"/>
              <w:rPr>
                <w:rFonts w:ascii="Times New Roman" w:eastAsia="Times New Roman" w:hAnsi="Times New Roman" w:cs="Times New Roman"/>
                <w:b/>
                <w:bCs/>
                <w:sz w:val="24"/>
                <w:szCs w:val="24"/>
                <w:highlight w:val="white"/>
              </w:rPr>
            </w:pPr>
          </w:p>
        </w:tc>
        <w:tc>
          <w:tcPr>
            <w:tcW w:w="2730" w:type="dxa"/>
            <w:vMerge/>
            <w:tcBorders>
              <w:top w:val="nil"/>
              <w:left w:val="nil"/>
              <w:bottom w:val="single" w:sz="6" w:space="0" w:color="999999"/>
              <w:right w:val="single" w:sz="6" w:space="0" w:color="999999"/>
            </w:tcBorders>
            <w:tcMar>
              <w:top w:w="0" w:type="dxa"/>
              <w:left w:w="100" w:type="dxa"/>
              <w:bottom w:w="0" w:type="dxa"/>
              <w:right w:w="100" w:type="dxa"/>
            </w:tcMar>
          </w:tcPr>
          <w:p w14:paraId="1BF08F91" w14:textId="77777777" w:rsidR="00315874" w:rsidRDefault="00315874">
            <w:pPr>
              <w:spacing w:line="240" w:lineRule="auto"/>
              <w:jc w:val="center"/>
              <w:rPr>
                <w:rFonts w:ascii="Times New Roman" w:eastAsia="Times New Roman" w:hAnsi="Times New Roman" w:cs="Times New Roman"/>
                <w:sz w:val="24"/>
                <w:szCs w:val="24"/>
                <w:highlight w:val="white"/>
              </w:rPr>
            </w:pPr>
          </w:p>
        </w:tc>
        <w:tc>
          <w:tcPr>
            <w:tcW w:w="5550" w:type="dxa"/>
            <w:tcBorders>
              <w:top w:val="nil"/>
              <w:left w:val="nil"/>
              <w:bottom w:val="single" w:sz="6" w:space="0" w:color="000000"/>
              <w:right w:val="single" w:sz="6" w:space="0" w:color="999999"/>
            </w:tcBorders>
            <w:tcMar>
              <w:top w:w="0" w:type="dxa"/>
              <w:left w:w="100" w:type="dxa"/>
              <w:bottom w:w="0" w:type="dxa"/>
              <w:right w:w="100" w:type="dxa"/>
            </w:tcMar>
          </w:tcPr>
          <w:p w14:paraId="76C07185"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5. Menținerea indemnizațiilor unice la eliberare</w:t>
            </w:r>
          </w:p>
          <w:p w14:paraId="4FCFFA95"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Indemnizațiile unice acordate la eliberarea din serviciu au rolul de a compensa parțial perioada</w:t>
            </w:r>
          </w:p>
          <w:p w14:paraId="78CD00B7"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îndelungată de activitate în condiții speciale, riscurile asumate, restrângerile impuse și dificultățile de reintegrare profesională după încheierea raporturilor de serviciu.</w:t>
            </w:r>
          </w:p>
          <w:p w14:paraId="6BA15D78"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Eliberarea dintr-o funcție militară sau cu statut special nu poate fi tratată similar cu încetarea obișnuită a unui raport civil de muncă. În multe cazuri, persoanele care părăsesc sistemul au o specializare profesională strict legată de serviciul prestat și întâmpină dificultăți reale în reconversia profesională.</w:t>
            </w:r>
          </w:p>
          <w:p w14:paraId="288BC180"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Prin urmare, se propune ca indemnizațiile unice la eliberare să nu fie excluse sau diminuate, ci reglementate clar, previzibil și echitabil, cu păstrarea caracterului compensatoriu al acestora.</w:t>
            </w:r>
          </w:p>
        </w:tc>
        <w:tc>
          <w:tcPr>
            <w:tcW w:w="5880" w:type="dxa"/>
            <w:tcBorders>
              <w:top w:val="nil"/>
              <w:left w:val="nil"/>
              <w:bottom w:val="single" w:sz="6" w:space="0" w:color="000000"/>
              <w:right w:val="single" w:sz="6" w:space="0" w:color="999999"/>
            </w:tcBorders>
            <w:tcMar>
              <w:top w:w="0" w:type="dxa"/>
              <w:left w:w="100" w:type="dxa"/>
              <w:bottom w:w="0" w:type="dxa"/>
              <w:right w:w="100" w:type="dxa"/>
            </w:tcMar>
          </w:tcPr>
          <w:p w14:paraId="148B1D8D"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sz w:val="24"/>
                <w:szCs w:val="24"/>
                <w:highlight w:val="white"/>
              </w:rPr>
              <w:t>Prezentul proiect nu cuprinde prevederi privind indemnizațiile unice la eliberare</w:t>
            </w:r>
          </w:p>
        </w:tc>
      </w:tr>
      <w:tr w:rsidR="00315874" w14:paraId="3D663001" w14:textId="77777777">
        <w:trPr>
          <w:trHeight w:val="1185"/>
        </w:trPr>
        <w:tc>
          <w:tcPr>
            <w:tcW w:w="870" w:type="dxa"/>
            <w:vMerge/>
            <w:tcBorders>
              <w:top w:val="nil"/>
              <w:left w:val="single" w:sz="6" w:space="0" w:color="999999"/>
              <w:bottom w:val="single" w:sz="6" w:space="0" w:color="999999"/>
              <w:right w:val="single" w:sz="6" w:space="0" w:color="999999"/>
            </w:tcBorders>
            <w:tcMar>
              <w:top w:w="0" w:type="dxa"/>
              <w:left w:w="100" w:type="dxa"/>
              <w:bottom w:w="0" w:type="dxa"/>
              <w:right w:w="100" w:type="dxa"/>
            </w:tcMar>
          </w:tcPr>
          <w:p w14:paraId="73F4148D" w14:textId="77777777" w:rsidR="00315874" w:rsidRDefault="00315874">
            <w:pPr>
              <w:spacing w:line="240" w:lineRule="auto"/>
              <w:jc w:val="center"/>
              <w:rPr>
                <w:rFonts w:ascii="Times New Roman" w:eastAsia="Times New Roman" w:hAnsi="Times New Roman" w:cs="Times New Roman"/>
                <w:b/>
                <w:bCs/>
                <w:sz w:val="24"/>
                <w:szCs w:val="24"/>
                <w:highlight w:val="white"/>
              </w:rPr>
            </w:pPr>
          </w:p>
        </w:tc>
        <w:tc>
          <w:tcPr>
            <w:tcW w:w="2730" w:type="dxa"/>
            <w:vMerge/>
            <w:tcBorders>
              <w:top w:val="nil"/>
              <w:left w:val="nil"/>
              <w:bottom w:val="single" w:sz="6" w:space="0" w:color="999999"/>
              <w:right w:val="single" w:sz="6" w:space="0" w:color="999999"/>
            </w:tcBorders>
            <w:tcMar>
              <w:top w:w="0" w:type="dxa"/>
              <w:left w:w="100" w:type="dxa"/>
              <w:bottom w:w="0" w:type="dxa"/>
              <w:right w:w="100" w:type="dxa"/>
            </w:tcMar>
          </w:tcPr>
          <w:p w14:paraId="75C55935" w14:textId="77777777" w:rsidR="00315874" w:rsidRDefault="00315874">
            <w:pPr>
              <w:spacing w:line="240" w:lineRule="auto"/>
              <w:jc w:val="center"/>
              <w:rPr>
                <w:rFonts w:ascii="Times New Roman" w:eastAsia="Times New Roman" w:hAnsi="Times New Roman" w:cs="Times New Roman"/>
                <w:sz w:val="24"/>
                <w:szCs w:val="24"/>
                <w:highlight w:val="white"/>
              </w:rPr>
            </w:pPr>
          </w:p>
        </w:tc>
        <w:tc>
          <w:tcPr>
            <w:tcW w:w="5550" w:type="dxa"/>
            <w:tcBorders>
              <w:top w:val="nil"/>
              <w:left w:val="nil"/>
              <w:bottom w:val="single" w:sz="6" w:space="0" w:color="000000"/>
              <w:right w:val="single" w:sz="6" w:space="0" w:color="999999"/>
            </w:tcBorders>
            <w:tcMar>
              <w:top w:w="0" w:type="dxa"/>
              <w:left w:w="100" w:type="dxa"/>
              <w:bottom w:w="0" w:type="dxa"/>
              <w:right w:w="100" w:type="dxa"/>
            </w:tcMar>
          </w:tcPr>
          <w:p w14:paraId="2EFC4D5A"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6. Analiza funcțiilor vacante conform statelor de personal</w:t>
            </w:r>
          </w:p>
          <w:p w14:paraId="20303C5B"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Un element obligatoriu care trebuie inclus în analiza de impact îl constituie situația reală a încadrării cu personal în structurile vizate.</w:t>
            </w:r>
          </w:p>
          <w:p w14:paraId="75882D8C"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Înainte de promovarea proiectului, urmează a fi prezentate date concrete privind:</w:t>
            </w:r>
          </w:p>
          <w:p w14:paraId="0448406F"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câte funcții sunt aprobate conform statelor de personal;</w:t>
            </w:r>
          </w:p>
          <w:p w14:paraId="62DC9D71"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câte funcții sunt efectiv ocupate;</w:t>
            </w:r>
          </w:p>
          <w:p w14:paraId="4490DDF4"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câte funcții sunt vacante;</w:t>
            </w:r>
          </w:p>
          <w:p w14:paraId="049FB4AF"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care este procentul de neîncadrare;</w:t>
            </w:r>
          </w:p>
          <w:p w14:paraId="7DE34548"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 care sunt funcțiile cu deficit critic de personal;</w:t>
            </w:r>
          </w:p>
          <w:p w14:paraId="12E5E5B4"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care este fluctuația de cadre în ultimii ani;</w:t>
            </w:r>
          </w:p>
          <w:p w14:paraId="18A9D853"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câți angajați au demisionat sau s-au eliberat din serviciu înainte de atingerea dreptului la pensie;</w:t>
            </w:r>
          </w:p>
          <w:p w14:paraId="46DCA8E4"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care sunt cauzele principale ale plecărilor din sistem.</w:t>
            </w:r>
          </w:p>
          <w:p w14:paraId="1A480A46"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Această analiză este necesară deoarece existența unui număr semnificativ de funcții vacante</w:t>
            </w:r>
          </w:p>
          <w:p w14:paraId="58BED1EE"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demonstrează că serviciul în structurile de forță nu este suficient de atractiv nici în condițiile actuale.</w:t>
            </w:r>
          </w:p>
          <w:p w14:paraId="2B8881A3"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În aceste circumstanțe, diminuarea garanțiilor sociale poate accentua deficitul de personal, poate reduce interesul pentru angajare și poate afecta stabilitatea instituțională.</w:t>
            </w:r>
          </w:p>
          <w:p w14:paraId="2EE20C74"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Funcțiile vacante nu reprezintă doar o problemă administrativă, ci una de siguranță instituțională și publică. Lipsa personalului suficient duce la suprasolicitarea angajaților existenți, creșterea volumului de muncă, acumularea stresului profesional, majorarea riscurilor operaționale și diminuarea</w:t>
            </w:r>
          </w:p>
          <w:p w14:paraId="3104877F"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calității serviciului public prestat.</w:t>
            </w:r>
          </w:p>
        </w:tc>
        <w:tc>
          <w:tcPr>
            <w:tcW w:w="5880" w:type="dxa"/>
            <w:tcBorders>
              <w:top w:val="nil"/>
              <w:left w:val="nil"/>
              <w:bottom w:val="single" w:sz="6" w:space="0" w:color="000000"/>
              <w:right w:val="single" w:sz="6" w:space="0" w:color="999999"/>
            </w:tcBorders>
            <w:tcMar>
              <w:top w:w="0" w:type="dxa"/>
              <w:left w:w="100" w:type="dxa"/>
              <w:bottom w:w="0" w:type="dxa"/>
              <w:right w:w="100" w:type="dxa"/>
            </w:tcMar>
          </w:tcPr>
          <w:p w14:paraId="15CEE64F"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lastRenderedPageBreak/>
              <w:t xml:space="preserve">Se acceptă parțial. </w:t>
            </w:r>
            <w:r>
              <w:rPr>
                <w:rFonts w:ascii="Times New Roman" w:eastAsia="Times New Roman" w:hAnsi="Times New Roman" w:cs="Times New Roman"/>
                <w:sz w:val="24"/>
                <w:szCs w:val="24"/>
                <w:highlight w:val="white"/>
              </w:rPr>
              <w:t>A se vedea răspunsul consolidat de la pct. 1 (al doilea răspuns din prezentul aviz).</w:t>
            </w:r>
          </w:p>
        </w:tc>
      </w:tr>
      <w:tr w:rsidR="00315874" w14:paraId="51A1D166" w14:textId="77777777">
        <w:trPr>
          <w:trHeight w:val="1185"/>
        </w:trPr>
        <w:tc>
          <w:tcPr>
            <w:tcW w:w="870" w:type="dxa"/>
            <w:vMerge/>
            <w:tcBorders>
              <w:top w:val="nil"/>
              <w:left w:val="single" w:sz="6" w:space="0" w:color="999999"/>
              <w:bottom w:val="single" w:sz="6" w:space="0" w:color="999999"/>
              <w:right w:val="single" w:sz="6" w:space="0" w:color="999999"/>
            </w:tcBorders>
            <w:tcMar>
              <w:top w:w="0" w:type="dxa"/>
              <w:left w:w="100" w:type="dxa"/>
              <w:bottom w:w="0" w:type="dxa"/>
              <w:right w:w="100" w:type="dxa"/>
            </w:tcMar>
          </w:tcPr>
          <w:p w14:paraId="144C5EE6" w14:textId="77777777" w:rsidR="00315874" w:rsidRDefault="00315874">
            <w:pPr>
              <w:spacing w:line="240" w:lineRule="auto"/>
              <w:jc w:val="center"/>
              <w:rPr>
                <w:rFonts w:ascii="Times New Roman" w:eastAsia="Times New Roman" w:hAnsi="Times New Roman" w:cs="Times New Roman"/>
                <w:b/>
                <w:bCs/>
                <w:sz w:val="24"/>
                <w:szCs w:val="24"/>
                <w:highlight w:val="white"/>
              </w:rPr>
            </w:pPr>
          </w:p>
        </w:tc>
        <w:tc>
          <w:tcPr>
            <w:tcW w:w="2730" w:type="dxa"/>
            <w:vMerge/>
            <w:tcBorders>
              <w:top w:val="nil"/>
              <w:left w:val="nil"/>
              <w:bottom w:val="single" w:sz="6" w:space="0" w:color="999999"/>
              <w:right w:val="single" w:sz="6" w:space="0" w:color="999999"/>
            </w:tcBorders>
            <w:tcMar>
              <w:top w:w="0" w:type="dxa"/>
              <w:left w:w="100" w:type="dxa"/>
              <w:bottom w:w="0" w:type="dxa"/>
              <w:right w:w="100" w:type="dxa"/>
            </w:tcMar>
          </w:tcPr>
          <w:p w14:paraId="50E14A70" w14:textId="77777777" w:rsidR="00315874" w:rsidRDefault="00315874">
            <w:pPr>
              <w:spacing w:line="240" w:lineRule="auto"/>
              <w:jc w:val="center"/>
              <w:rPr>
                <w:rFonts w:ascii="Times New Roman" w:eastAsia="Times New Roman" w:hAnsi="Times New Roman" w:cs="Times New Roman"/>
                <w:sz w:val="24"/>
                <w:szCs w:val="24"/>
                <w:highlight w:val="white"/>
              </w:rPr>
            </w:pPr>
          </w:p>
        </w:tc>
        <w:tc>
          <w:tcPr>
            <w:tcW w:w="5550" w:type="dxa"/>
            <w:tcBorders>
              <w:top w:val="nil"/>
              <w:left w:val="nil"/>
              <w:bottom w:val="single" w:sz="6" w:space="0" w:color="000000"/>
              <w:right w:val="single" w:sz="6" w:space="0" w:color="999999"/>
            </w:tcBorders>
            <w:tcMar>
              <w:top w:w="0" w:type="dxa"/>
              <w:left w:w="100" w:type="dxa"/>
              <w:bottom w:w="0" w:type="dxa"/>
              <w:right w:w="100" w:type="dxa"/>
            </w:tcMar>
          </w:tcPr>
          <w:p w14:paraId="6DF17CF5"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7. Analiza duratei reale de viață a pensionarilor proveniți din structurile de forță.</w:t>
            </w:r>
          </w:p>
          <w:p w14:paraId="6453ADC6"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Înainte de orice modificare care ar putea afecta drepturile de pensionare sau garanțiile sociale, este necesară analiza duratei reale de viață a pensionarilor proveniți din rândul militarilor și funcționarilor publici cu statut special.</w:t>
            </w:r>
          </w:p>
          <w:p w14:paraId="793E7EFC"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 xml:space="preserve">  Se propune colectarea și prezentarea datelor privind numărul pensionarilor pe următoarele grupe</w:t>
            </w:r>
          </w:p>
          <w:p w14:paraId="6D9A85A0"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de vârstă:</w:t>
            </w:r>
          </w:p>
          <w:p w14:paraId="5C054389"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50-55 ani;</w:t>
            </w:r>
          </w:p>
          <w:p w14:paraId="50FCB4B6"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55-60 ani;</w:t>
            </w:r>
          </w:p>
          <w:p w14:paraId="09AD9113"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60–65 ani;</w:t>
            </w:r>
          </w:p>
          <w:p w14:paraId="62A3290B"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65–70 ani;</w:t>
            </w:r>
          </w:p>
          <w:p w14:paraId="286A6C1B"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70–75 ani;</w:t>
            </w:r>
          </w:p>
          <w:p w14:paraId="15C20ADF"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75–80 ani;</w:t>
            </w:r>
          </w:p>
          <w:p w14:paraId="5027D64A"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80–85 ani;</w:t>
            </w:r>
          </w:p>
          <w:p w14:paraId="2354C773"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peste 85 ani.</w:t>
            </w:r>
          </w:p>
          <w:p w14:paraId="06745635"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Această analiză este necesară pentru a stabili dacă persoanele care au activat în structurile de forță ajung efectiv să beneficieze pe termen lung de drepturile obținute după ani de serviciu în condiții speciale.</w:t>
            </w:r>
          </w:p>
          <w:p w14:paraId="381BD10C"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Totodată, se impune compararea acestor date cu speranța medie de viață a populației generale, întrucât stresul profesional, condițiile nocive, riscurile operative și uzura psihologică pot influența negativ starea de sănătate și durata vieții acestor categorii profesionale.</w:t>
            </w:r>
          </w:p>
          <w:p w14:paraId="1E2F9021" w14:textId="77777777" w:rsidR="00315874" w:rsidRDefault="00315874">
            <w:pPr>
              <w:jc w:val="both"/>
              <w:rPr>
                <w:rFonts w:ascii="Times New Roman" w:eastAsia="Times New Roman" w:hAnsi="Times New Roman" w:cs="Times New Roman"/>
                <w:sz w:val="24"/>
                <w:szCs w:val="24"/>
                <w:highlight w:val="white"/>
              </w:rPr>
            </w:pPr>
          </w:p>
        </w:tc>
        <w:tc>
          <w:tcPr>
            <w:tcW w:w="5880" w:type="dxa"/>
            <w:tcBorders>
              <w:top w:val="nil"/>
              <w:left w:val="nil"/>
              <w:bottom w:val="single" w:sz="6" w:space="0" w:color="000000"/>
              <w:right w:val="single" w:sz="6" w:space="0" w:color="999999"/>
            </w:tcBorders>
            <w:tcMar>
              <w:top w:w="0" w:type="dxa"/>
              <w:left w:w="100" w:type="dxa"/>
              <w:bottom w:w="0" w:type="dxa"/>
              <w:right w:w="100" w:type="dxa"/>
            </w:tcMar>
          </w:tcPr>
          <w:p w14:paraId="21B90281"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 xml:space="preserve">Se ia act. </w:t>
            </w:r>
          </w:p>
        </w:tc>
      </w:tr>
      <w:tr w:rsidR="00315874" w14:paraId="2714E236" w14:textId="77777777">
        <w:trPr>
          <w:trHeight w:val="1185"/>
        </w:trPr>
        <w:tc>
          <w:tcPr>
            <w:tcW w:w="870" w:type="dxa"/>
            <w:vMerge/>
            <w:tcBorders>
              <w:top w:val="nil"/>
              <w:left w:val="single" w:sz="6" w:space="0" w:color="999999"/>
              <w:bottom w:val="single" w:sz="6" w:space="0" w:color="999999"/>
              <w:right w:val="single" w:sz="6" w:space="0" w:color="999999"/>
            </w:tcBorders>
            <w:tcMar>
              <w:top w:w="0" w:type="dxa"/>
              <w:left w:w="100" w:type="dxa"/>
              <w:bottom w:w="0" w:type="dxa"/>
              <w:right w:w="100" w:type="dxa"/>
            </w:tcMar>
          </w:tcPr>
          <w:p w14:paraId="47EB1B48" w14:textId="77777777" w:rsidR="00315874" w:rsidRDefault="00315874">
            <w:pPr>
              <w:spacing w:line="240" w:lineRule="auto"/>
              <w:jc w:val="center"/>
              <w:rPr>
                <w:rFonts w:ascii="Times New Roman" w:eastAsia="Times New Roman" w:hAnsi="Times New Roman" w:cs="Times New Roman"/>
                <w:b/>
                <w:bCs/>
                <w:sz w:val="24"/>
                <w:szCs w:val="24"/>
                <w:highlight w:val="white"/>
              </w:rPr>
            </w:pPr>
          </w:p>
        </w:tc>
        <w:tc>
          <w:tcPr>
            <w:tcW w:w="2730" w:type="dxa"/>
            <w:vMerge/>
            <w:tcBorders>
              <w:top w:val="nil"/>
              <w:left w:val="nil"/>
              <w:bottom w:val="single" w:sz="6" w:space="0" w:color="999999"/>
              <w:right w:val="single" w:sz="6" w:space="0" w:color="999999"/>
            </w:tcBorders>
            <w:tcMar>
              <w:top w:w="0" w:type="dxa"/>
              <w:left w:w="100" w:type="dxa"/>
              <w:bottom w:w="0" w:type="dxa"/>
              <w:right w:w="100" w:type="dxa"/>
            </w:tcMar>
          </w:tcPr>
          <w:p w14:paraId="21828235" w14:textId="77777777" w:rsidR="00315874" w:rsidRDefault="00315874">
            <w:pPr>
              <w:spacing w:line="240" w:lineRule="auto"/>
              <w:jc w:val="center"/>
              <w:rPr>
                <w:rFonts w:ascii="Times New Roman" w:eastAsia="Times New Roman" w:hAnsi="Times New Roman" w:cs="Times New Roman"/>
                <w:sz w:val="24"/>
                <w:szCs w:val="24"/>
                <w:highlight w:val="white"/>
              </w:rPr>
            </w:pPr>
          </w:p>
        </w:tc>
        <w:tc>
          <w:tcPr>
            <w:tcW w:w="5550" w:type="dxa"/>
            <w:tcBorders>
              <w:top w:val="nil"/>
              <w:left w:val="nil"/>
              <w:bottom w:val="single" w:sz="6" w:space="0" w:color="000000"/>
              <w:right w:val="single" w:sz="6" w:space="0" w:color="999999"/>
            </w:tcBorders>
            <w:tcMar>
              <w:top w:w="0" w:type="dxa"/>
              <w:left w:w="100" w:type="dxa"/>
              <w:bottom w:w="0" w:type="dxa"/>
              <w:right w:w="100" w:type="dxa"/>
            </w:tcMar>
          </w:tcPr>
          <w:p w14:paraId="26C9F80F"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8. Analiza cazurilor de deces, accidentelor de muncă și îmbolnăvirilor profesionale</w:t>
            </w:r>
          </w:p>
          <w:p w14:paraId="2D3E11E5"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Un element esențial al analizei de impact trebuie să fie evidența cazurilor de deces, accidentelor de muncă, traumelor, vătămărilor corporale, îmbolnăvirilor profesionale și invalidităților survenite în rândul militarilor și funcționarilor publici cu statut special.</w:t>
            </w:r>
          </w:p>
          <w:p w14:paraId="41414BBE"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Urmează a fi analizate cazurile de deces survenite:</w:t>
            </w:r>
          </w:p>
          <w:p w14:paraId="010391CB"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în legătură directă cu exercitarea atribuțiilor de serviciu;</w:t>
            </w:r>
          </w:p>
          <w:p w14:paraId="00FCBD17"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ca urmare a unei maladii contractate în legătură cu serviciul;</w:t>
            </w:r>
          </w:p>
          <w:p w14:paraId="7AEED280"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ca urmare a unei traume, vătămări sau leziuni suportate în timpul ori în legătură cu exercitarea</w:t>
            </w:r>
          </w:p>
          <w:p w14:paraId="370E7837"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atribuțiilor funcționale;</w:t>
            </w:r>
          </w:p>
          <w:p w14:paraId="41269CF0"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ca urmare a expunerii îndelungate la factori de risc, stres profesional sau condiții nocive.</w:t>
            </w:r>
          </w:p>
          <w:p w14:paraId="015F7D8E"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Totodată, trebuie analizate accidentele de muncă soldate cu incapacitate temporară de muncă, invaliditate, pierderea capacității de muncă sau alte consecințe asupra sănătății angajaților.</w:t>
            </w:r>
          </w:p>
          <w:p w14:paraId="4760664F"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Aceste date trebuie colectate separat pe instituții și domenii de activitate: apărare, afaceri interne, sistem penitenciar, carabinieri, securitate, ordine publică, intervenții operative și alte structuri similare.</w:t>
            </w:r>
          </w:p>
          <w:p w14:paraId="5841C79B"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Fără o asemenea evidență, nu poate fi evaluat corect gradul real de risc profesional, iar diminuarea garanțiilor sociale ar fi prematură și insuficient fundamentată.</w:t>
            </w:r>
          </w:p>
        </w:tc>
        <w:tc>
          <w:tcPr>
            <w:tcW w:w="5880" w:type="dxa"/>
            <w:tcBorders>
              <w:top w:val="nil"/>
              <w:left w:val="nil"/>
              <w:bottom w:val="single" w:sz="6" w:space="0" w:color="000000"/>
              <w:right w:val="single" w:sz="6" w:space="0" w:color="999999"/>
            </w:tcBorders>
            <w:tcMar>
              <w:top w:w="0" w:type="dxa"/>
              <w:left w:w="100" w:type="dxa"/>
              <w:bottom w:w="0" w:type="dxa"/>
              <w:right w:w="100" w:type="dxa"/>
            </w:tcMar>
          </w:tcPr>
          <w:p w14:paraId="6E93619E"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 xml:space="preserve">Se ia act. </w:t>
            </w:r>
          </w:p>
        </w:tc>
      </w:tr>
      <w:tr w:rsidR="00315874" w14:paraId="21B8831B" w14:textId="77777777">
        <w:trPr>
          <w:trHeight w:val="1185"/>
        </w:trPr>
        <w:tc>
          <w:tcPr>
            <w:tcW w:w="870" w:type="dxa"/>
            <w:vMerge/>
            <w:tcBorders>
              <w:top w:val="nil"/>
              <w:left w:val="single" w:sz="6" w:space="0" w:color="999999"/>
              <w:bottom w:val="single" w:sz="6" w:space="0" w:color="999999"/>
              <w:right w:val="single" w:sz="6" w:space="0" w:color="999999"/>
            </w:tcBorders>
            <w:tcMar>
              <w:top w:w="0" w:type="dxa"/>
              <w:left w:w="100" w:type="dxa"/>
              <w:bottom w:w="0" w:type="dxa"/>
              <w:right w:w="100" w:type="dxa"/>
            </w:tcMar>
          </w:tcPr>
          <w:p w14:paraId="6736F62D" w14:textId="77777777" w:rsidR="00315874" w:rsidRDefault="00315874">
            <w:pPr>
              <w:spacing w:line="240" w:lineRule="auto"/>
              <w:jc w:val="center"/>
              <w:rPr>
                <w:rFonts w:ascii="Times New Roman" w:eastAsia="Times New Roman" w:hAnsi="Times New Roman" w:cs="Times New Roman"/>
                <w:b/>
                <w:bCs/>
                <w:sz w:val="24"/>
                <w:szCs w:val="24"/>
                <w:highlight w:val="white"/>
              </w:rPr>
            </w:pPr>
          </w:p>
        </w:tc>
        <w:tc>
          <w:tcPr>
            <w:tcW w:w="2730" w:type="dxa"/>
            <w:vMerge/>
            <w:tcBorders>
              <w:top w:val="nil"/>
              <w:left w:val="nil"/>
              <w:bottom w:val="single" w:sz="6" w:space="0" w:color="999999"/>
              <w:right w:val="single" w:sz="6" w:space="0" w:color="999999"/>
            </w:tcBorders>
            <w:tcMar>
              <w:top w:w="0" w:type="dxa"/>
              <w:left w:w="100" w:type="dxa"/>
              <w:bottom w:w="0" w:type="dxa"/>
              <w:right w:w="100" w:type="dxa"/>
            </w:tcMar>
          </w:tcPr>
          <w:p w14:paraId="428EFDE8" w14:textId="77777777" w:rsidR="00315874" w:rsidRDefault="00315874">
            <w:pPr>
              <w:spacing w:line="240" w:lineRule="auto"/>
              <w:jc w:val="center"/>
              <w:rPr>
                <w:rFonts w:ascii="Times New Roman" w:eastAsia="Times New Roman" w:hAnsi="Times New Roman" w:cs="Times New Roman"/>
                <w:sz w:val="24"/>
                <w:szCs w:val="24"/>
                <w:highlight w:val="white"/>
              </w:rPr>
            </w:pPr>
          </w:p>
        </w:tc>
        <w:tc>
          <w:tcPr>
            <w:tcW w:w="5550" w:type="dxa"/>
            <w:tcBorders>
              <w:top w:val="nil"/>
              <w:left w:val="nil"/>
              <w:bottom w:val="single" w:sz="6" w:space="0" w:color="000000"/>
              <w:right w:val="single" w:sz="6" w:space="0" w:color="999999"/>
            </w:tcBorders>
            <w:tcMar>
              <w:top w:w="0" w:type="dxa"/>
              <w:left w:w="100" w:type="dxa"/>
              <w:bottom w:w="0" w:type="dxa"/>
              <w:right w:w="100" w:type="dxa"/>
            </w:tcMar>
          </w:tcPr>
          <w:p w14:paraId="02AF73CB"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9. Protecția familiilor persoanelor decedate sau afectate în legătură cu serviciul</w:t>
            </w:r>
          </w:p>
          <w:p w14:paraId="1FF9E34D"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Eventualele modificări legislative nu trebuie să diminueze protecția acordată familiilor militarilor și funcționarilor publici cu statut special decedați sau afectați în legătură cu exercitarea atribuțiilor de serviciu.</w:t>
            </w:r>
          </w:p>
          <w:p w14:paraId="5091CF6D"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Statul are obligația morală și juridică de a asigura protecție efectivă familiilor persoanelor care au suportat consecințe grave în timpul exercitării serviciului. Aceste garanții trebuie menținute, iar, după caz, consolidate.</w:t>
            </w:r>
          </w:p>
        </w:tc>
        <w:tc>
          <w:tcPr>
            <w:tcW w:w="5880" w:type="dxa"/>
            <w:tcBorders>
              <w:top w:val="nil"/>
              <w:left w:val="nil"/>
              <w:bottom w:val="single" w:sz="6" w:space="0" w:color="000000"/>
              <w:right w:val="single" w:sz="6" w:space="0" w:color="999999"/>
            </w:tcBorders>
            <w:tcMar>
              <w:top w:w="0" w:type="dxa"/>
              <w:left w:w="100" w:type="dxa"/>
              <w:bottom w:w="0" w:type="dxa"/>
              <w:right w:w="100" w:type="dxa"/>
            </w:tcMar>
          </w:tcPr>
          <w:p w14:paraId="04CF59E6"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 xml:space="preserve">Se ia act. </w:t>
            </w:r>
          </w:p>
        </w:tc>
      </w:tr>
      <w:tr w:rsidR="00315874" w14:paraId="4BBB1C58" w14:textId="77777777">
        <w:trPr>
          <w:trHeight w:val="1185"/>
        </w:trPr>
        <w:tc>
          <w:tcPr>
            <w:tcW w:w="870" w:type="dxa"/>
            <w:vMerge/>
            <w:tcBorders>
              <w:top w:val="nil"/>
              <w:left w:val="single" w:sz="6" w:space="0" w:color="999999"/>
              <w:bottom w:val="single" w:sz="6" w:space="0" w:color="999999"/>
              <w:right w:val="single" w:sz="6" w:space="0" w:color="999999"/>
            </w:tcBorders>
            <w:tcMar>
              <w:top w:w="0" w:type="dxa"/>
              <w:left w:w="100" w:type="dxa"/>
              <w:bottom w:w="0" w:type="dxa"/>
              <w:right w:w="100" w:type="dxa"/>
            </w:tcMar>
          </w:tcPr>
          <w:p w14:paraId="3E8A5F47" w14:textId="77777777" w:rsidR="00315874" w:rsidRDefault="00315874">
            <w:pPr>
              <w:spacing w:line="240" w:lineRule="auto"/>
              <w:jc w:val="center"/>
              <w:rPr>
                <w:rFonts w:ascii="Times New Roman" w:eastAsia="Times New Roman" w:hAnsi="Times New Roman" w:cs="Times New Roman"/>
                <w:b/>
                <w:bCs/>
                <w:sz w:val="24"/>
                <w:szCs w:val="24"/>
                <w:highlight w:val="white"/>
              </w:rPr>
            </w:pPr>
          </w:p>
        </w:tc>
        <w:tc>
          <w:tcPr>
            <w:tcW w:w="2730" w:type="dxa"/>
            <w:vMerge/>
            <w:tcBorders>
              <w:top w:val="nil"/>
              <w:left w:val="nil"/>
              <w:bottom w:val="single" w:sz="6" w:space="0" w:color="999999"/>
              <w:right w:val="single" w:sz="6" w:space="0" w:color="999999"/>
            </w:tcBorders>
            <w:tcMar>
              <w:top w:w="0" w:type="dxa"/>
              <w:left w:w="100" w:type="dxa"/>
              <w:bottom w:w="0" w:type="dxa"/>
              <w:right w:w="100" w:type="dxa"/>
            </w:tcMar>
          </w:tcPr>
          <w:p w14:paraId="5D75F0AC" w14:textId="77777777" w:rsidR="00315874" w:rsidRDefault="00315874">
            <w:pPr>
              <w:spacing w:line="240" w:lineRule="auto"/>
              <w:jc w:val="center"/>
              <w:rPr>
                <w:rFonts w:ascii="Times New Roman" w:eastAsia="Times New Roman" w:hAnsi="Times New Roman" w:cs="Times New Roman"/>
                <w:sz w:val="24"/>
                <w:szCs w:val="24"/>
                <w:highlight w:val="white"/>
              </w:rPr>
            </w:pPr>
          </w:p>
        </w:tc>
        <w:tc>
          <w:tcPr>
            <w:tcW w:w="5550" w:type="dxa"/>
            <w:tcBorders>
              <w:top w:val="nil"/>
              <w:left w:val="nil"/>
              <w:bottom w:val="single" w:sz="6" w:space="0" w:color="000000"/>
              <w:right w:val="single" w:sz="6" w:space="0" w:color="999999"/>
            </w:tcBorders>
            <w:tcMar>
              <w:top w:w="0" w:type="dxa"/>
              <w:left w:w="100" w:type="dxa"/>
              <w:bottom w:w="0" w:type="dxa"/>
              <w:right w:w="100" w:type="dxa"/>
            </w:tcMar>
          </w:tcPr>
          <w:p w14:paraId="109ED413"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10. Necesitatea unor norme tranzitorii clare</w:t>
            </w:r>
          </w:p>
          <w:p w14:paraId="383A8B5C"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În cazul în care proiectul va conține modificări care afectează regimul actual al garanțiilor sociale, este necesară includerea unor norme tranzitorii clare, care să protejeze persoanele aflate deja în serviciu.</w:t>
            </w:r>
          </w:p>
          <w:p w14:paraId="39011393"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Se propune ca modificările să nu se aplice retroactiv și să fie prevăzute mecanisme de protecție pentru:</w:t>
            </w:r>
          </w:p>
          <w:p w14:paraId="7958CF5B"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persoanele care au acumulat deja o anumită vechime în serviciu;</w:t>
            </w:r>
          </w:p>
          <w:p w14:paraId="5F17D7E8"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persoanele aflate în apropierea vârstei sau vechimii necesare pentru pensionare;</w:t>
            </w:r>
          </w:p>
          <w:p w14:paraId="30C2D73E"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persoanele care au activat în condiții speciale, nocive sau cu risc sporit;</w:t>
            </w:r>
          </w:p>
          <w:p w14:paraId="3DC837F2"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familiile persoanelor decedate sau afectate în legătură cu serviciul.</w:t>
            </w:r>
          </w:p>
          <w:p w14:paraId="45171143"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Lipsa unor norme tranzitorii poate genera insecuritate juridică, demotivare, litigii și pierderea încrederii angajaților în stabilitatea garanțiilor oferite de stat.</w:t>
            </w:r>
          </w:p>
        </w:tc>
        <w:tc>
          <w:tcPr>
            <w:tcW w:w="5880" w:type="dxa"/>
            <w:tcBorders>
              <w:top w:val="nil"/>
              <w:left w:val="nil"/>
              <w:bottom w:val="single" w:sz="6" w:space="0" w:color="000000"/>
              <w:right w:val="single" w:sz="6" w:space="0" w:color="999999"/>
            </w:tcBorders>
            <w:tcMar>
              <w:top w:w="0" w:type="dxa"/>
              <w:left w:w="100" w:type="dxa"/>
              <w:bottom w:w="0" w:type="dxa"/>
              <w:right w:w="100" w:type="dxa"/>
            </w:tcMar>
          </w:tcPr>
          <w:p w14:paraId="20FE02B8"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Se acceptă. </w:t>
            </w:r>
            <w:r>
              <w:rPr>
                <w:rFonts w:ascii="Times New Roman" w:eastAsia="Times New Roman" w:hAnsi="Times New Roman" w:cs="Times New Roman"/>
                <w:sz w:val="24"/>
                <w:szCs w:val="24"/>
                <w:highlight w:val="white"/>
              </w:rPr>
              <w:t>Modificările propuse nu se aplică retroactiv: drepturile la concediu deja dobândite și neutilizate până la intrarea în vigoare a legii sunt protejate integral prin dispozițiile tranzitorii (a se vedea pct. 3, avizul Cancelariei de Stat).</w:t>
            </w:r>
          </w:p>
        </w:tc>
      </w:tr>
      <w:tr w:rsidR="00315874" w14:paraId="16C0E685" w14:textId="77777777">
        <w:trPr>
          <w:trHeight w:val="1185"/>
        </w:trPr>
        <w:tc>
          <w:tcPr>
            <w:tcW w:w="870" w:type="dxa"/>
            <w:vMerge/>
            <w:tcBorders>
              <w:top w:val="nil"/>
              <w:left w:val="single" w:sz="6" w:space="0" w:color="999999"/>
              <w:bottom w:val="single" w:sz="6" w:space="0" w:color="999999"/>
              <w:right w:val="single" w:sz="6" w:space="0" w:color="999999"/>
            </w:tcBorders>
            <w:tcMar>
              <w:top w:w="0" w:type="dxa"/>
              <w:left w:w="100" w:type="dxa"/>
              <w:bottom w:w="0" w:type="dxa"/>
              <w:right w:w="100" w:type="dxa"/>
            </w:tcMar>
          </w:tcPr>
          <w:p w14:paraId="643B2B17" w14:textId="77777777" w:rsidR="00315874" w:rsidRDefault="00315874">
            <w:pPr>
              <w:spacing w:line="240" w:lineRule="auto"/>
              <w:jc w:val="center"/>
              <w:rPr>
                <w:rFonts w:ascii="Times New Roman" w:eastAsia="Times New Roman" w:hAnsi="Times New Roman" w:cs="Times New Roman"/>
                <w:b/>
                <w:bCs/>
                <w:sz w:val="24"/>
                <w:szCs w:val="24"/>
                <w:highlight w:val="white"/>
              </w:rPr>
            </w:pPr>
          </w:p>
        </w:tc>
        <w:tc>
          <w:tcPr>
            <w:tcW w:w="2730" w:type="dxa"/>
            <w:vMerge/>
            <w:tcBorders>
              <w:top w:val="nil"/>
              <w:left w:val="nil"/>
              <w:bottom w:val="single" w:sz="6" w:space="0" w:color="999999"/>
              <w:right w:val="single" w:sz="6" w:space="0" w:color="999999"/>
            </w:tcBorders>
            <w:tcMar>
              <w:top w:w="0" w:type="dxa"/>
              <w:left w:w="100" w:type="dxa"/>
              <w:bottom w:w="0" w:type="dxa"/>
              <w:right w:w="100" w:type="dxa"/>
            </w:tcMar>
          </w:tcPr>
          <w:p w14:paraId="4CF10A5D" w14:textId="77777777" w:rsidR="00315874" w:rsidRDefault="00315874">
            <w:pPr>
              <w:spacing w:line="240" w:lineRule="auto"/>
              <w:jc w:val="center"/>
              <w:rPr>
                <w:rFonts w:ascii="Times New Roman" w:eastAsia="Times New Roman" w:hAnsi="Times New Roman" w:cs="Times New Roman"/>
                <w:sz w:val="24"/>
                <w:szCs w:val="24"/>
                <w:highlight w:val="white"/>
              </w:rPr>
            </w:pPr>
          </w:p>
        </w:tc>
        <w:tc>
          <w:tcPr>
            <w:tcW w:w="5550" w:type="dxa"/>
            <w:tcBorders>
              <w:top w:val="nil"/>
              <w:left w:val="nil"/>
              <w:bottom w:val="single" w:sz="6" w:space="0" w:color="000000"/>
              <w:right w:val="single" w:sz="6" w:space="0" w:color="999999"/>
            </w:tcBorders>
            <w:tcMar>
              <w:top w:w="0" w:type="dxa"/>
              <w:left w:w="100" w:type="dxa"/>
              <w:bottom w:w="0" w:type="dxa"/>
              <w:right w:w="100" w:type="dxa"/>
            </w:tcMar>
          </w:tcPr>
          <w:p w14:paraId="56277909"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11. Corelarea cu politica salarială nu poate substitui garanțiile sociale</w:t>
            </w:r>
          </w:p>
          <w:p w14:paraId="435B33A6"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Creșterea veniturilor salariale este un obiectiv necesar și binevenit, însă aceasta nu trebuie utilizată ca argument pentru excluderea sau diminuarea garanțiilor sociale.</w:t>
            </w:r>
          </w:p>
          <w:p w14:paraId="1CD937EE"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Salariul, concediul suplimentar, indemnizațiile, compensațiile și drepturile de pensionare au natură juridică și scopuri diferite. Salariul remunerează munca prestată lunar, în timp ce garanțiile sociale compensează riscurile, uzura profesională, restrângerile de drepturi și consecințele pe termen lung ale serviciului în condiții speciale.</w:t>
            </w:r>
          </w:p>
          <w:p w14:paraId="54436A05"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Prin urmare, majorarea sau ajustarea salariilor nu trebuie să conducă automat la eliminarea altor</w:t>
            </w:r>
          </w:p>
          <w:p w14:paraId="39472360"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garanții sociale.</w:t>
            </w:r>
          </w:p>
        </w:tc>
        <w:tc>
          <w:tcPr>
            <w:tcW w:w="5880" w:type="dxa"/>
            <w:tcBorders>
              <w:top w:val="nil"/>
              <w:left w:val="nil"/>
              <w:bottom w:val="single" w:sz="6" w:space="0" w:color="000000"/>
              <w:right w:val="single" w:sz="6" w:space="0" w:color="999999"/>
            </w:tcBorders>
            <w:tcMar>
              <w:top w:w="0" w:type="dxa"/>
              <w:left w:w="100" w:type="dxa"/>
              <w:bottom w:w="0" w:type="dxa"/>
              <w:right w:w="100" w:type="dxa"/>
            </w:tcMar>
          </w:tcPr>
          <w:p w14:paraId="7924E061"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 xml:space="preserve">Nu se acceptă argumentul potrivit căruia recunoașterea prin salarizare nu poate substitui garanțiile aferente concediului. Poziția Ministerului, expusă la pct. 8 și pct. 13 din prezenta Sinteză, este exact aceasta: recunoașterea vechimii și a specificului activității se realizează prin sistemul de </w:t>
            </w:r>
            <w:r>
              <w:rPr>
                <w:rFonts w:ascii="Times New Roman" w:eastAsia="Times New Roman" w:hAnsi="Times New Roman" w:cs="Times New Roman"/>
                <w:sz w:val="24"/>
                <w:szCs w:val="24"/>
                <w:highlight w:val="white"/>
              </w:rPr>
              <w:lastRenderedPageBreak/>
              <w:t>salarizare, iar concediul de odihnă își păstrează funcția de odihnă efectivă, fără a fi diminuat sub standardul minim.</w:t>
            </w:r>
          </w:p>
        </w:tc>
      </w:tr>
      <w:tr w:rsidR="00315874" w14:paraId="26BD3BC3" w14:textId="77777777">
        <w:trPr>
          <w:trHeight w:val="1185"/>
        </w:trPr>
        <w:tc>
          <w:tcPr>
            <w:tcW w:w="870" w:type="dxa"/>
            <w:vMerge/>
            <w:tcBorders>
              <w:top w:val="nil"/>
              <w:left w:val="single" w:sz="6" w:space="0" w:color="999999"/>
              <w:bottom w:val="single" w:sz="6" w:space="0" w:color="999999"/>
              <w:right w:val="single" w:sz="6" w:space="0" w:color="999999"/>
            </w:tcBorders>
            <w:tcMar>
              <w:top w:w="0" w:type="dxa"/>
              <w:left w:w="100" w:type="dxa"/>
              <w:bottom w:w="0" w:type="dxa"/>
              <w:right w:w="100" w:type="dxa"/>
            </w:tcMar>
          </w:tcPr>
          <w:p w14:paraId="01584AC5" w14:textId="77777777" w:rsidR="00315874" w:rsidRDefault="00315874">
            <w:pPr>
              <w:spacing w:line="240" w:lineRule="auto"/>
              <w:jc w:val="center"/>
              <w:rPr>
                <w:rFonts w:ascii="Times New Roman" w:eastAsia="Times New Roman" w:hAnsi="Times New Roman" w:cs="Times New Roman"/>
                <w:b/>
                <w:bCs/>
                <w:sz w:val="24"/>
                <w:szCs w:val="24"/>
                <w:highlight w:val="white"/>
              </w:rPr>
            </w:pPr>
          </w:p>
        </w:tc>
        <w:tc>
          <w:tcPr>
            <w:tcW w:w="2730" w:type="dxa"/>
            <w:vMerge/>
            <w:tcBorders>
              <w:top w:val="nil"/>
              <w:left w:val="nil"/>
              <w:bottom w:val="single" w:sz="6" w:space="0" w:color="999999"/>
              <w:right w:val="single" w:sz="6" w:space="0" w:color="999999"/>
            </w:tcBorders>
            <w:tcMar>
              <w:top w:w="0" w:type="dxa"/>
              <w:left w:w="100" w:type="dxa"/>
              <w:bottom w:w="0" w:type="dxa"/>
              <w:right w:w="100" w:type="dxa"/>
            </w:tcMar>
          </w:tcPr>
          <w:p w14:paraId="333921DD" w14:textId="77777777" w:rsidR="00315874" w:rsidRDefault="00315874">
            <w:pPr>
              <w:spacing w:line="240" w:lineRule="auto"/>
              <w:jc w:val="center"/>
              <w:rPr>
                <w:rFonts w:ascii="Times New Roman" w:eastAsia="Times New Roman" w:hAnsi="Times New Roman" w:cs="Times New Roman"/>
                <w:sz w:val="24"/>
                <w:szCs w:val="24"/>
                <w:highlight w:val="white"/>
              </w:rPr>
            </w:pPr>
          </w:p>
        </w:tc>
        <w:tc>
          <w:tcPr>
            <w:tcW w:w="5550" w:type="dxa"/>
            <w:tcBorders>
              <w:top w:val="nil"/>
              <w:left w:val="nil"/>
              <w:bottom w:val="single" w:sz="6" w:space="0" w:color="000000"/>
              <w:right w:val="single" w:sz="6" w:space="0" w:color="999999"/>
            </w:tcBorders>
            <w:tcMar>
              <w:top w:w="0" w:type="dxa"/>
              <w:left w:w="100" w:type="dxa"/>
              <w:bottom w:w="0" w:type="dxa"/>
              <w:right w:w="100" w:type="dxa"/>
            </w:tcMar>
          </w:tcPr>
          <w:p w14:paraId="31D4DAE7"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12. Propunere de abordare legislativă</w:t>
            </w:r>
          </w:p>
          <w:p w14:paraId="4DDE9710"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Se propune ca, înainte de definitivarea proiectului de lege, autorii să instituie un mecanism de consultare distinctă cu autoritățile care au în subordine militari și funcționari publici cu statut special, precum și cu reprezentanții angajaților.</w:t>
            </w:r>
          </w:p>
          <w:p w14:paraId="6F56196A"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Totodată, proiectul trebuie să fie însoțit de:</w:t>
            </w:r>
          </w:p>
          <w:p w14:paraId="5519DC83"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analiză de impact financiar;</w:t>
            </w:r>
          </w:p>
          <w:p w14:paraId="5C2D61BC"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analiză de impact social;</w:t>
            </w:r>
          </w:p>
          <w:p w14:paraId="540B4276"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analiză de impact instituțional;</w:t>
            </w:r>
          </w:p>
          <w:p w14:paraId="4F01888D"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date statistice privind funcțiile vacante;</w:t>
            </w:r>
          </w:p>
          <w:p w14:paraId="08E06158"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date privind fluctuația de personal;</w:t>
            </w:r>
          </w:p>
          <w:p w14:paraId="23031176"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date privind decesele și accidentele de muncă;</w:t>
            </w:r>
          </w:p>
          <w:p w14:paraId="47C1A0F3"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date privind bolile profesionale și invaliditățile;</w:t>
            </w:r>
          </w:p>
          <w:p w14:paraId="6A48763F"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analiza duratei reale de viață a pensionarilor din structurile de forță;</w:t>
            </w:r>
          </w:p>
          <w:p w14:paraId="78ED4545"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propuneri de norme tranzitorii;</w:t>
            </w:r>
          </w:p>
          <w:p w14:paraId="418767F8"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 evaluarea riscului de demotivare și plecare a personalului din sistem.</w:t>
            </w:r>
          </w:p>
        </w:tc>
        <w:tc>
          <w:tcPr>
            <w:tcW w:w="5880" w:type="dxa"/>
            <w:tcBorders>
              <w:top w:val="nil"/>
              <w:left w:val="nil"/>
              <w:bottom w:val="single" w:sz="6" w:space="0" w:color="000000"/>
              <w:right w:val="single" w:sz="6" w:space="0" w:color="999999"/>
            </w:tcBorders>
            <w:tcMar>
              <w:top w:w="0" w:type="dxa"/>
              <w:left w:w="100" w:type="dxa"/>
              <w:bottom w:w="0" w:type="dxa"/>
              <w:right w:w="100" w:type="dxa"/>
            </w:tcMar>
          </w:tcPr>
          <w:p w14:paraId="02AC7156"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Se acceptă parțial.</w:t>
            </w:r>
          </w:p>
          <w:p w14:paraId="2C84945C" w14:textId="6973957D" w:rsidR="0009241B" w:rsidRDefault="00000000" w:rsidP="0009241B">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highlight w:val="white"/>
              </w:rPr>
              <w:t xml:space="preserve"> </w:t>
            </w:r>
            <w:r>
              <w:rPr>
                <w:rFonts w:ascii="Times New Roman" w:eastAsia="Times New Roman" w:hAnsi="Times New Roman" w:cs="Times New Roman"/>
                <w:sz w:val="24"/>
                <w:szCs w:val="24"/>
                <w:highlight w:val="white"/>
              </w:rPr>
              <w:t xml:space="preserve">Proiectul a fost supus procedurii de consultare, inclusiv autorităților cu personal din structurile de forță și partenerilor sociali, iar observațiile formulate sunt examinate punctual în prezenta Sinteză. </w:t>
            </w:r>
          </w:p>
          <w:p w14:paraId="753C5607" w14:textId="12A94A64" w:rsidR="0021239A" w:rsidRDefault="0021239A">
            <w:pPr>
              <w:shd w:val="clear" w:color="auto" w:fill="FFFFFF"/>
              <w:jc w:val="both"/>
              <w:rPr>
                <w:rFonts w:ascii="Times New Roman" w:eastAsia="Times New Roman" w:hAnsi="Times New Roman" w:cs="Times New Roman"/>
                <w:sz w:val="24"/>
                <w:szCs w:val="24"/>
                <w:highlight w:val="white"/>
              </w:rPr>
            </w:pPr>
          </w:p>
        </w:tc>
      </w:tr>
      <w:tr w:rsidR="00315874" w14:paraId="2ECBB9CE" w14:textId="77777777">
        <w:trPr>
          <w:trHeight w:val="1185"/>
        </w:trPr>
        <w:tc>
          <w:tcPr>
            <w:tcW w:w="870" w:type="dxa"/>
            <w:vMerge w:val="restart"/>
            <w:tcBorders>
              <w:top w:val="nil"/>
              <w:left w:val="single" w:sz="6" w:space="0" w:color="999999"/>
              <w:bottom w:val="single" w:sz="6" w:space="0" w:color="999999"/>
              <w:right w:val="single" w:sz="6" w:space="0" w:color="999999"/>
            </w:tcBorders>
            <w:tcMar>
              <w:top w:w="0" w:type="dxa"/>
              <w:left w:w="100" w:type="dxa"/>
              <w:bottom w:w="0" w:type="dxa"/>
              <w:right w:w="100" w:type="dxa"/>
            </w:tcMar>
          </w:tcPr>
          <w:p w14:paraId="44AA6D00" w14:textId="77777777" w:rsidR="00315874" w:rsidRDefault="00000000">
            <w:pPr>
              <w:spacing w:line="240" w:lineRule="auto"/>
              <w:jc w:val="center"/>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2.</w:t>
            </w:r>
          </w:p>
        </w:tc>
        <w:tc>
          <w:tcPr>
            <w:tcW w:w="2730" w:type="dxa"/>
            <w:vMerge w:val="restart"/>
            <w:tcBorders>
              <w:top w:val="nil"/>
              <w:left w:val="nil"/>
              <w:bottom w:val="single" w:sz="6" w:space="0" w:color="999999"/>
              <w:right w:val="single" w:sz="6" w:space="0" w:color="999999"/>
            </w:tcBorders>
            <w:tcMar>
              <w:top w:w="0" w:type="dxa"/>
              <w:left w:w="100" w:type="dxa"/>
              <w:bottom w:w="0" w:type="dxa"/>
              <w:right w:w="100" w:type="dxa"/>
            </w:tcMar>
          </w:tcPr>
          <w:p w14:paraId="59246593" w14:textId="77777777" w:rsidR="00315874" w:rsidRDefault="00000000">
            <w:pPr>
              <w:spacing w:line="240" w:lineRule="auto"/>
              <w:jc w:val="center"/>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Leu Denis</w:t>
            </w:r>
          </w:p>
          <w:p w14:paraId="6459AAAB" w14:textId="77777777" w:rsidR="00315874" w:rsidRDefault="00000000">
            <w:pPr>
              <w:spacing w:line="240" w:lineRule="auto"/>
              <w:jc w:val="center"/>
              <w:rPr>
                <w:rFonts w:ascii="Times New Roman" w:eastAsia="Times New Roman" w:hAnsi="Times New Roman" w:cs="Times New Roman"/>
                <w:i/>
                <w:iCs/>
                <w:sz w:val="24"/>
                <w:szCs w:val="24"/>
                <w:highlight w:val="white"/>
              </w:rPr>
            </w:pPr>
            <w:r>
              <w:rPr>
                <w:rFonts w:ascii="Times New Roman" w:eastAsia="Times New Roman" w:hAnsi="Times New Roman" w:cs="Times New Roman"/>
                <w:i/>
                <w:iCs/>
                <w:sz w:val="24"/>
                <w:szCs w:val="24"/>
                <w:highlight w:val="white"/>
              </w:rPr>
              <w:t>22.06.2026</w:t>
            </w:r>
          </w:p>
          <w:p w14:paraId="5EF53C09" w14:textId="77777777" w:rsidR="00315874" w:rsidRDefault="00315874">
            <w:pPr>
              <w:spacing w:line="240" w:lineRule="auto"/>
              <w:jc w:val="center"/>
              <w:rPr>
                <w:rFonts w:ascii="Times New Roman" w:eastAsia="Times New Roman" w:hAnsi="Times New Roman" w:cs="Times New Roman"/>
                <w:sz w:val="24"/>
                <w:szCs w:val="24"/>
                <w:highlight w:val="white"/>
              </w:rPr>
            </w:pPr>
          </w:p>
          <w:p w14:paraId="010CFDEA" w14:textId="77777777" w:rsidR="00315874" w:rsidRDefault="00315874">
            <w:pPr>
              <w:spacing w:line="240" w:lineRule="auto"/>
              <w:jc w:val="center"/>
              <w:rPr>
                <w:rFonts w:ascii="Times New Roman" w:eastAsia="Times New Roman" w:hAnsi="Times New Roman" w:cs="Times New Roman"/>
                <w:sz w:val="24"/>
                <w:szCs w:val="24"/>
                <w:highlight w:val="white"/>
              </w:rPr>
            </w:pPr>
          </w:p>
          <w:p w14:paraId="6A75A8E9" w14:textId="77777777" w:rsidR="00315874" w:rsidRDefault="00315874">
            <w:pPr>
              <w:spacing w:line="240" w:lineRule="auto"/>
              <w:jc w:val="center"/>
              <w:rPr>
                <w:rFonts w:ascii="Times New Roman" w:eastAsia="Times New Roman" w:hAnsi="Times New Roman" w:cs="Times New Roman"/>
                <w:sz w:val="24"/>
                <w:szCs w:val="24"/>
                <w:highlight w:val="white"/>
              </w:rPr>
            </w:pPr>
          </w:p>
          <w:p w14:paraId="3EDDE79C" w14:textId="77777777" w:rsidR="00315874" w:rsidRDefault="00315874">
            <w:pPr>
              <w:spacing w:line="240" w:lineRule="auto"/>
              <w:jc w:val="center"/>
              <w:rPr>
                <w:rFonts w:ascii="Times New Roman" w:eastAsia="Times New Roman" w:hAnsi="Times New Roman" w:cs="Times New Roman"/>
                <w:sz w:val="24"/>
                <w:szCs w:val="24"/>
                <w:highlight w:val="white"/>
              </w:rPr>
            </w:pPr>
          </w:p>
          <w:p w14:paraId="620B1F5D" w14:textId="77777777" w:rsidR="00315874" w:rsidRDefault="00315874">
            <w:pPr>
              <w:spacing w:line="240" w:lineRule="auto"/>
              <w:jc w:val="center"/>
              <w:rPr>
                <w:rFonts w:ascii="Times New Roman" w:eastAsia="Times New Roman" w:hAnsi="Times New Roman" w:cs="Times New Roman"/>
                <w:sz w:val="24"/>
                <w:szCs w:val="24"/>
                <w:highlight w:val="white"/>
              </w:rPr>
            </w:pPr>
          </w:p>
          <w:p w14:paraId="5FBF2EDD" w14:textId="77777777" w:rsidR="00315874" w:rsidRDefault="00315874">
            <w:pPr>
              <w:spacing w:line="240" w:lineRule="auto"/>
              <w:jc w:val="center"/>
              <w:rPr>
                <w:rFonts w:ascii="Times New Roman" w:eastAsia="Times New Roman" w:hAnsi="Times New Roman" w:cs="Times New Roman"/>
                <w:sz w:val="24"/>
                <w:szCs w:val="24"/>
                <w:highlight w:val="white"/>
              </w:rPr>
            </w:pPr>
          </w:p>
          <w:p w14:paraId="4475CCB2" w14:textId="77777777" w:rsidR="00315874" w:rsidRDefault="00315874">
            <w:pPr>
              <w:spacing w:line="240" w:lineRule="auto"/>
              <w:jc w:val="center"/>
              <w:rPr>
                <w:rFonts w:ascii="Times New Roman" w:eastAsia="Times New Roman" w:hAnsi="Times New Roman" w:cs="Times New Roman"/>
                <w:sz w:val="24"/>
                <w:szCs w:val="24"/>
                <w:highlight w:val="white"/>
              </w:rPr>
            </w:pPr>
          </w:p>
          <w:p w14:paraId="763A9E87" w14:textId="77777777" w:rsidR="00315874" w:rsidRDefault="00315874">
            <w:pPr>
              <w:spacing w:line="240" w:lineRule="auto"/>
              <w:jc w:val="center"/>
              <w:rPr>
                <w:rFonts w:ascii="Times New Roman" w:eastAsia="Times New Roman" w:hAnsi="Times New Roman" w:cs="Times New Roman"/>
                <w:sz w:val="24"/>
                <w:szCs w:val="24"/>
                <w:highlight w:val="white"/>
              </w:rPr>
            </w:pPr>
          </w:p>
          <w:p w14:paraId="41E0A764" w14:textId="77777777" w:rsidR="00315874" w:rsidRDefault="00315874">
            <w:pPr>
              <w:spacing w:line="240" w:lineRule="auto"/>
              <w:jc w:val="center"/>
              <w:rPr>
                <w:rFonts w:ascii="Times New Roman" w:eastAsia="Times New Roman" w:hAnsi="Times New Roman" w:cs="Times New Roman"/>
                <w:sz w:val="24"/>
                <w:szCs w:val="24"/>
                <w:highlight w:val="white"/>
              </w:rPr>
            </w:pPr>
          </w:p>
          <w:p w14:paraId="62827507" w14:textId="77777777" w:rsidR="00315874" w:rsidRDefault="00315874">
            <w:pPr>
              <w:spacing w:line="240" w:lineRule="auto"/>
              <w:jc w:val="center"/>
              <w:rPr>
                <w:rFonts w:ascii="Times New Roman" w:eastAsia="Times New Roman" w:hAnsi="Times New Roman" w:cs="Times New Roman"/>
                <w:sz w:val="24"/>
                <w:szCs w:val="24"/>
                <w:highlight w:val="white"/>
              </w:rPr>
            </w:pPr>
          </w:p>
          <w:p w14:paraId="41D0753E" w14:textId="77777777" w:rsidR="00315874" w:rsidRDefault="00315874">
            <w:pPr>
              <w:spacing w:line="240" w:lineRule="auto"/>
              <w:jc w:val="center"/>
              <w:rPr>
                <w:rFonts w:ascii="Times New Roman" w:eastAsia="Times New Roman" w:hAnsi="Times New Roman" w:cs="Times New Roman"/>
                <w:sz w:val="24"/>
                <w:szCs w:val="24"/>
                <w:highlight w:val="white"/>
              </w:rPr>
            </w:pPr>
          </w:p>
          <w:p w14:paraId="752EB458" w14:textId="77777777" w:rsidR="00315874" w:rsidRDefault="00315874">
            <w:pPr>
              <w:spacing w:line="240" w:lineRule="auto"/>
              <w:jc w:val="center"/>
              <w:rPr>
                <w:rFonts w:ascii="Times New Roman" w:eastAsia="Times New Roman" w:hAnsi="Times New Roman" w:cs="Times New Roman"/>
                <w:sz w:val="24"/>
                <w:szCs w:val="24"/>
                <w:highlight w:val="white"/>
              </w:rPr>
            </w:pPr>
          </w:p>
          <w:p w14:paraId="1BC99898" w14:textId="77777777" w:rsidR="00315874" w:rsidRDefault="00315874">
            <w:pPr>
              <w:spacing w:line="240" w:lineRule="auto"/>
              <w:jc w:val="center"/>
              <w:rPr>
                <w:rFonts w:ascii="Times New Roman" w:eastAsia="Times New Roman" w:hAnsi="Times New Roman" w:cs="Times New Roman"/>
                <w:sz w:val="24"/>
                <w:szCs w:val="24"/>
                <w:highlight w:val="white"/>
              </w:rPr>
            </w:pPr>
          </w:p>
          <w:p w14:paraId="1FEFC62E" w14:textId="77777777" w:rsidR="00315874" w:rsidRDefault="00315874">
            <w:pPr>
              <w:spacing w:line="240" w:lineRule="auto"/>
              <w:jc w:val="center"/>
              <w:rPr>
                <w:rFonts w:ascii="Times New Roman" w:eastAsia="Times New Roman" w:hAnsi="Times New Roman" w:cs="Times New Roman"/>
                <w:sz w:val="24"/>
                <w:szCs w:val="24"/>
                <w:highlight w:val="white"/>
              </w:rPr>
            </w:pPr>
          </w:p>
          <w:p w14:paraId="4C9286B6" w14:textId="77777777" w:rsidR="00315874" w:rsidRDefault="00315874">
            <w:pPr>
              <w:spacing w:line="240" w:lineRule="auto"/>
              <w:jc w:val="center"/>
              <w:rPr>
                <w:rFonts w:ascii="Times New Roman" w:eastAsia="Times New Roman" w:hAnsi="Times New Roman" w:cs="Times New Roman"/>
                <w:sz w:val="24"/>
                <w:szCs w:val="24"/>
                <w:highlight w:val="white"/>
              </w:rPr>
            </w:pPr>
          </w:p>
          <w:p w14:paraId="2C46D035" w14:textId="77777777" w:rsidR="00315874" w:rsidRDefault="00315874">
            <w:pPr>
              <w:spacing w:line="240" w:lineRule="auto"/>
              <w:jc w:val="center"/>
              <w:rPr>
                <w:rFonts w:ascii="Times New Roman" w:eastAsia="Times New Roman" w:hAnsi="Times New Roman" w:cs="Times New Roman"/>
                <w:sz w:val="24"/>
                <w:szCs w:val="24"/>
                <w:highlight w:val="white"/>
              </w:rPr>
            </w:pPr>
          </w:p>
          <w:p w14:paraId="33AE3DCC" w14:textId="77777777" w:rsidR="00315874" w:rsidRDefault="00315874">
            <w:pPr>
              <w:spacing w:line="240" w:lineRule="auto"/>
              <w:jc w:val="center"/>
              <w:rPr>
                <w:rFonts w:ascii="Times New Roman" w:eastAsia="Times New Roman" w:hAnsi="Times New Roman" w:cs="Times New Roman"/>
                <w:sz w:val="24"/>
                <w:szCs w:val="24"/>
                <w:highlight w:val="white"/>
              </w:rPr>
            </w:pPr>
          </w:p>
          <w:p w14:paraId="3E858BF5" w14:textId="77777777" w:rsidR="00315874" w:rsidRDefault="00315874">
            <w:pPr>
              <w:spacing w:line="240" w:lineRule="auto"/>
              <w:jc w:val="center"/>
              <w:rPr>
                <w:rFonts w:ascii="Times New Roman" w:eastAsia="Times New Roman" w:hAnsi="Times New Roman" w:cs="Times New Roman"/>
                <w:sz w:val="24"/>
                <w:szCs w:val="24"/>
                <w:highlight w:val="white"/>
              </w:rPr>
            </w:pPr>
          </w:p>
          <w:p w14:paraId="24570F78" w14:textId="77777777" w:rsidR="00315874" w:rsidRDefault="00000000">
            <w:pPr>
              <w:spacing w:line="240" w:lineRule="auto"/>
              <w:jc w:val="center"/>
              <w:rPr>
                <w:rFonts w:ascii="Times New Roman" w:eastAsia="Times New Roman" w:hAnsi="Times New Roman" w:cs="Times New Roman"/>
                <w:i/>
                <w:iCs/>
                <w:sz w:val="24"/>
                <w:szCs w:val="24"/>
                <w:highlight w:val="white"/>
              </w:rPr>
            </w:pPr>
            <w:r>
              <w:rPr>
                <w:rFonts w:ascii="Times New Roman" w:eastAsia="Times New Roman" w:hAnsi="Times New Roman" w:cs="Times New Roman"/>
                <w:i/>
                <w:iCs/>
                <w:sz w:val="24"/>
                <w:szCs w:val="24"/>
                <w:highlight w:val="white"/>
              </w:rPr>
              <w:t>23.06.2026</w:t>
            </w:r>
          </w:p>
        </w:tc>
        <w:tc>
          <w:tcPr>
            <w:tcW w:w="5550" w:type="dxa"/>
            <w:tcBorders>
              <w:top w:val="nil"/>
              <w:left w:val="nil"/>
              <w:bottom w:val="single" w:sz="6" w:space="0" w:color="000000"/>
              <w:right w:val="single" w:sz="6" w:space="0" w:color="999999"/>
            </w:tcBorders>
            <w:tcMar>
              <w:top w:w="0" w:type="dxa"/>
              <w:left w:w="100" w:type="dxa"/>
              <w:bottom w:w="0" w:type="dxa"/>
              <w:right w:w="100" w:type="dxa"/>
            </w:tcMar>
          </w:tcPr>
          <w:p w14:paraId="3AF943CA"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Principala schimbare este trecerea de la zile calendaristice la zile lucrătoare pentru concedii și anumite termene. Aceasta face calculul mai clar, mai echitabil și mai apropiat de modul real de organizare a muncii. Însă aceste modificări sunt în mare parte benefice și aduc mai multă claritate și predictibilitate în relațiile de muncă, însă vor necesita o perioadă de adaptare atât pentru angajatori, cât și pentru salariați.</w:t>
            </w:r>
          </w:p>
        </w:tc>
        <w:tc>
          <w:tcPr>
            <w:tcW w:w="5880" w:type="dxa"/>
            <w:tcBorders>
              <w:top w:val="nil"/>
              <w:left w:val="nil"/>
              <w:bottom w:val="single" w:sz="6" w:space="0" w:color="000000"/>
              <w:right w:val="single" w:sz="6" w:space="0" w:color="999999"/>
            </w:tcBorders>
            <w:tcMar>
              <w:top w:w="0" w:type="dxa"/>
              <w:left w:w="100" w:type="dxa"/>
              <w:bottom w:w="0" w:type="dxa"/>
              <w:right w:w="100" w:type="dxa"/>
            </w:tcMar>
          </w:tcPr>
          <w:p w14:paraId="07AA6405"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Principala schimbare este trecerea de la calcularea concediilor și a anumitor termene în zile calendaristice la calcularea acestora în zile lucrătoare. Această modificare face sistemul mai clar, mai echitabil și mai apropiat de modul real de organizare a muncii. Totodată, proiectul prevede o perioadă de tranziție care să asigure implementarea graduală a noilor reguli. Astfel, legea va intra în vigoare la 1 ianuarie 2027, iar concediile de odihnă anuale acumulate și neutilizate până la această dată vor continua să fie acordate și calculate în zile calendaristice, conform regulilor aplicabile la momentul dobândirii lor. În plus, Guvernul va avea la dispoziție șase luni de la publicarea legii pentru a armoniza cadrul normativ necesar aplicării noilor prevederi. Per ansamblu, modificările sunt benefice și aduc mai multă claritate și predictibilitate în relațiile de muncă, oferind în același timp angajatorilor și salariaților timpul necesar pentru adaptare.</w:t>
            </w:r>
          </w:p>
        </w:tc>
      </w:tr>
      <w:tr w:rsidR="00315874" w14:paraId="7926D09C" w14:textId="77777777">
        <w:trPr>
          <w:trHeight w:val="1185"/>
        </w:trPr>
        <w:tc>
          <w:tcPr>
            <w:tcW w:w="870" w:type="dxa"/>
            <w:vMerge/>
            <w:tcBorders>
              <w:top w:val="nil"/>
              <w:left w:val="single" w:sz="6" w:space="0" w:color="999999"/>
              <w:bottom w:val="single" w:sz="6" w:space="0" w:color="999999"/>
              <w:right w:val="single" w:sz="6" w:space="0" w:color="999999"/>
            </w:tcBorders>
            <w:tcMar>
              <w:top w:w="0" w:type="dxa"/>
              <w:left w:w="100" w:type="dxa"/>
              <w:bottom w:w="0" w:type="dxa"/>
              <w:right w:w="100" w:type="dxa"/>
            </w:tcMar>
          </w:tcPr>
          <w:p w14:paraId="58A3F132" w14:textId="77777777" w:rsidR="00315874" w:rsidRDefault="00315874">
            <w:pPr>
              <w:spacing w:line="240" w:lineRule="auto"/>
              <w:jc w:val="center"/>
              <w:rPr>
                <w:rFonts w:ascii="Times New Roman" w:eastAsia="Times New Roman" w:hAnsi="Times New Roman" w:cs="Times New Roman"/>
                <w:b/>
                <w:bCs/>
                <w:sz w:val="24"/>
                <w:szCs w:val="24"/>
                <w:highlight w:val="white"/>
              </w:rPr>
            </w:pPr>
          </w:p>
        </w:tc>
        <w:tc>
          <w:tcPr>
            <w:tcW w:w="2730" w:type="dxa"/>
            <w:vMerge/>
            <w:tcBorders>
              <w:top w:val="nil"/>
              <w:left w:val="nil"/>
              <w:bottom w:val="single" w:sz="6" w:space="0" w:color="999999"/>
              <w:right w:val="single" w:sz="6" w:space="0" w:color="999999"/>
            </w:tcBorders>
            <w:tcMar>
              <w:top w:w="0" w:type="dxa"/>
              <w:left w:w="100" w:type="dxa"/>
              <w:bottom w:w="0" w:type="dxa"/>
              <w:right w:w="100" w:type="dxa"/>
            </w:tcMar>
          </w:tcPr>
          <w:p w14:paraId="2468F171" w14:textId="77777777" w:rsidR="00315874" w:rsidRDefault="00315874">
            <w:pPr>
              <w:spacing w:line="240" w:lineRule="auto"/>
              <w:jc w:val="center"/>
              <w:rPr>
                <w:rFonts w:ascii="Times New Roman" w:eastAsia="Times New Roman" w:hAnsi="Times New Roman" w:cs="Times New Roman"/>
                <w:sz w:val="24"/>
                <w:szCs w:val="24"/>
                <w:highlight w:val="white"/>
              </w:rPr>
            </w:pPr>
          </w:p>
        </w:tc>
        <w:tc>
          <w:tcPr>
            <w:tcW w:w="5550" w:type="dxa"/>
            <w:tcBorders>
              <w:top w:val="nil"/>
              <w:left w:val="nil"/>
              <w:bottom w:val="single" w:sz="6" w:space="0" w:color="000000"/>
              <w:right w:val="single" w:sz="6" w:space="0" w:color="999999"/>
            </w:tcBorders>
            <w:tcMar>
              <w:top w:w="0" w:type="dxa"/>
              <w:left w:w="100" w:type="dxa"/>
              <w:bottom w:w="0" w:type="dxa"/>
              <w:right w:w="100" w:type="dxa"/>
            </w:tcMar>
          </w:tcPr>
          <w:p w14:paraId="69035391"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Nu am observat nimic despre lucrătorii carea ctivează în ture, în cazul salariaților care lucrează în schimburi (ture) sau conform unui program individual de muncă, zilele lucrătoare aferente concediului anual de odihnă se determină în funcție de graficul de muncă aprobat pentru salariat. Se consideră zile de concediu numai zilele în </w:t>
            </w:r>
            <w:r>
              <w:rPr>
                <w:rFonts w:ascii="Times New Roman" w:eastAsia="Times New Roman" w:hAnsi="Times New Roman" w:cs="Times New Roman"/>
                <w:sz w:val="24"/>
                <w:szCs w:val="24"/>
                <w:highlight w:val="white"/>
              </w:rPr>
              <w:lastRenderedPageBreak/>
              <w:t>care salariatul era programat să presteze muncă potrivit graficului respectiv.</w:t>
            </w:r>
          </w:p>
          <w:p w14:paraId="3FA9C182"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Probabil sar dori introducerea unei definiții clare de exemplu:</w:t>
            </w:r>
          </w:p>
          <w:p w14:paraId="6E717E47"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„Prin zi lucrătoare se înțelege ziua în care salariatul era obligat să presteze muncă potrivit contractului individual de muncă și programului (graficului) de lucru stabilit de angajator.”</w:t>
            </w:r>
          </w:p>
          <w:p w14:paraId="130652C5"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Iar norma privind calcularea termenelor ar putea fi completată astfel:</w:t>
            </w:r>
          </w:p>
          <w:p w14:paraId="74A21579"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„Pentru salariații care activează în ture sau conform unui program de lucru inegal, calcularea zilelor lucrătoare se efectuează în raport cu graficul individual de muncă al acestora.”</w:t>
            </w:r>
          </w:p>
        </w:tc>
        <w:tc>
          <w:tcPr>
            <w:tcW w:w="5880" w:type="dxa"/>
            <w:tcBorders>
              <w:top w:val="nil"/>
              <w:left w:val="nil"/>
              <w:bottom w:val="single" w:sz="6" w:space="0" w:color="000000"/>
              <w:right w:val="single" w:sz="6" w:space="0" w:color="999999"/>
            </w:tcBorders>
            <w:tcMar>
              <w:top w:w="0" w:type="dxa"/>
              <w:left w:w="100" w:type="dxa"/>
              <w:bottom w:w="0" w:type="dxa"/>
              <w:right w:w="100" w:type="dxa"/>
            </w:tcMar>
          </w:tcPr>
          <w:p w14:paraId="091EAEDC"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lastRenderedPageBreak/>
              <w:t xml:space="preserve">Se acceptă. </w:t>
            </w:r>
            <w:r>
              <w:rPr>
                <w:rFonts w:ascii="Times New Roman" w:eastAsia="Times New Roman" w:hAnsi="Times New Roman" w:cs="Times New Roman"/>
                <w:sz w:val="24"/>
                <w:szCs w:val="24"/>
                <w:highlight w:val="white"/>
              </w:rPr>
              <w:t xml:space="preserve">A se vedea răspunsul consolidat de la pct. 12 (avizul Asociației Businessului European) </w:t>
            </w:r>
          </w:p>
        </w:tc>
      </w:tr>
      <w:tr w:rsidR="00315874" w14:paraId="54D97758" w14:textId="77777777">
        <w:trPr>
          <w:trHeight w:val="1185"/>
        </w:trPr>
        <w:tc>
          <w:tcPr>
            <w:tcW w:w="870" w:type="dxa"/>
            <w:tcBorders>
              <w:top w:val="nil"/>
              <w:left w:val="single" w:sz="6" w:space="0" w:color="999999"/>
              <w:bottom w:val="single" w:sz="6" w:space="0" w:color="999999"/>
              <w:right w:val="single" w:sz="6" w:space="0" w:color="999999"/>
            </w:tcBorders>
            <w:tcMar>
              <w:top w:w="0" w:type="dxa"/>
              <w:left w:w="100" w:type="dxa"/>
              <w:bottom w:w="0" w:type="dxa"/>
              <w:right w:w="100" w:type="dxa"/>
            </w:tcMar>
          </w:tcPr>
          <w:p w14:paraId="611DF4B2" w14:textId="77777777" w:rsidR="00315874" w:rsidRDefault="00000000">
            <w:pPr>
              <w:spacing w:line="240" w:lineRule="auto"/>
              <w:jc w:val="center"/>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3.</w:t>
            </w:r>
          </w:p>
        </w:tc>
        <w:tc>
          <w:tcPr>
            <w:tcW w:w="2730" w:type="dxa"/>
            <w:tcBorders>
              <w:top w:val="nil"/>
              <w:left w:val="nil"/>
              <w:bottom w:val="single" w:sz="6" w:space="0" w:color="999999"/>
              <w:right w:val="single" w:sz="6" w:space="0" w:color="999999"/>
            </w:tcBorders>
            <w:tcMar>
              <w:top w:w="0" w:type="dxa"/>
              <w:left w:w="100" w:type="dxa"/>
              <w:bottom w:w="0" w:type="dxa"/>
              <w:right w:w="100" w:type="dxa"/>
            </w:tcMar>
          </w:tcPr>
          <w:p w14:paraId="55412C9A" w14:textId="77777777" w:rsidR="00315874" w:rsidRDefault="00000000">
            <w:pPr>
              <w:spacing w:line="240" w:lineRule="auto"/>
              <w:jc w:val="center"/>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Ciobanu Oxana</w:t>
            </w:r>
          </w:p>
          <w:p w14:paraId="4058E4EA" w14:textId="77777777" w:rsidR="00315874" w:rsidRDefault="00000000">
            <w:pPr>
              <w:spacing w:line="240" w:lineRule="auto"/>
              <w:jc w:val="center"/>
              <w:rPr>
                <w:rFonts w:ascii="Times New Roman" w:eastAsia="Times New Roman" w:hAnsi="Times New Roman" w:cs="Times New Roman"/>
                <w:i/>
                <w:iCs/>
                <w:sz w:val="24"/>
                <w:szCs w:val="24"/>
                <w:highlight w:val="white"/>
              </w:rPr>
            </w:pPr>
            <w:r>
              <w:rPr>
                <w:rFonts w:ascii="Times New Roman" w:eastAsia="Times New Roman" w:hAnsi="Times New Roman" w:cs="Times New Roman"/>
                <w:i/>
                <w:iCs/>
                <w:sz w:val="24"/>
                <w:szCs w:val="24"/>
                <w:highlight w:val="white"/>
              </w:rPr>
              <w:t>23.06.2026</w:t>
            </w:r>
          </w:p>
        </w:tc>
        <w:tc>
          <w:tcPr>
            <w:tcW w:w="5550" w:type="dxa"/>
            <w:tcBorders>
              <w:top w:val="nil"/>
              <w:left w:val="nil"/>
              <w:bottom w:val="single" w:sz="6" w:space="0" w:color="000000"/>
              <w:right w:val="single" w:sz="6" w:space="0" w:color="999999"/>
            </w:tcBorders>
            <w:tcMar>
              <w:top w:w="0" w:type="dxa"/>
              <w:left w:w="100" w:type="dxa"/>
              <w:bottom w:w="0" w:type="dxa"/>
              <w:right w:w="100" w:type="dxa"/>
            </w:tcMar>
          </w:tcPr>
          <w:p w14:paraId="2D52BE19"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Da, într-adevăr, prin acest proiect se exclud careva interpretări de perioade si acordarea neuniforma a zilelor de concedii. Va fi necesar de ceva timp pentru acomodare la norme noi.</w:t>
            </w:r>
          </w:p>
        </w:tc>
        <w:tc>
          <w:tcPr>
            <w:tcW w:w="5880" w:type="dxa"/>
            <w:tcBorders>
              <w:top w:val="nil"/>
              <w:left w:val="nil"/>
              <w:bottom w:val="single" w:sz="6" w:space="0" w:color="000000"/>
              <w:right w:val="single" w:sz="6" w:space="0" w:color="999999"/>
            </w:tcBorders>
            <w:tcMar>
              <w:top w:w="0" w:type="dxa"/>
              <w:left w:w="100" w:type="dxa"/>
              <w:bottom w:w="0" w:type="dxa"/>
              <w:right w:w="100" w:type="dxa"/>
            </w:tcMar>
          </w:tcPr>
          <w:p w14:paraId="5A539DCC"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Se ia act.</w:t>
            </w:r>
          </w:p>
        </w:tc>
      </w:tr>
      <w:tr w:rsidR="00315874" w14:paraId="6CEBE8EB" w14:textId="77777777">
        <w:trPr>
          <w:trHeight w:val="1185"/>
        </w:trPr>
        <w:tc>
          <w:tcPr>
            <w:tcW w:w="870" w:type="dxa"/>
            <w:tcBorders>
              <w:top w:val="nil"/>
              <w:left w:val="single" w:sz="6" w:space="0" w:color="999999"/>
              <w:bottom w:val="single" w:sz="6" w:space="0" w:color="999999"/>
              <w:right w:val="single" w:sz="6" w:space="0" w:color="999999"/>
            </w:tcBorders>
            <w:tcMar>
              <w:top w:w="0" w:type="dxa"/>
              <w:left w:w="100" w:type="dxa"/>
              <w:bottom w:w="0" w:type="dxa"/>
              <w:right w:w="100" w:type="dxa"/>
            </w:tcMar>
          </w:tcPr>
          <w:p w14:paraId="35C45BD0" w14:textId="77777777" w:rsidR="00315874" w:rsidRDefault="00000000">
            <w:pPr>
              <w:spacing w:line="240" w:lineRule="auto"/>
              <w:jc w:val="center"/>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4.</w:t>
            </w:r>
          </w:p>
        </w:tc>
        <w:tc>
          <w:tcPr>
            <w:tcW w:w="2730" w:type="dxa"/>
            <w:tcBorders>
              <w:top w:val="nil"/>
              <w:left w:val="nil"/>
              <w:bottom w:val="single" w:sz="6" w:space="0" w:color="999999"/>
              <w:right w:val="single" w:sz="6" w:space="0" w:color="999999"/>
            </w:tcBorders>
            <w:tcMar>
              <w:top w:w="0" w:type="dxa"/>
              <w:left w:w="100" w:type="dxa"/>
              <w:bottom w:w="0" w:type="dxa"/>
              <w:right w:w="100" w:type="dxa"/>
            </w:tcMar>
          </w:tcPr>
          <w:p w14:paraId="4903032B" w14:textId="77777777" w:rsidR="00315874" w:rsidRDefault="00000000">
            <w:pPr>
              <w:spacing w:line="240" w:lineRule="auto"/>
              <w:jc w:val="center"/>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Turcanu Ilona</w:t>
            </w:r>
          </w:p>
          <w:p w14:paraId="139D62D6" w14:textId="77777777" w:rsidR="00315874" w:rsidRDefault="00000000">
            <w:pPr>
              <w:spacing w:line="240" w:lineRule="auto"/>
              <w:jc w:val="center"/>
              <w:rPr>
                <w:rFonts w:ascii="Times New Roman" w:eastAsia="Times New Roman" w:hAnsi="Times New Roman" w:cs="Times New Roman"/>
                <w:i/>
                <w:iCs/>
                <w:sz w:val="24"/>
                <w:szCs w:val="24"/>
                <w:highlight w:val="white"/>
              </w:rPr>
            </w:pPr>
            <w:r>
              <w:rPr>
                <w:rFonts w:ascii="Times New Roman" w:eastAsia="Times New Roman" w:hAnsi="Times New Roman" w:cs="Times New Roman"/>
                <w:i/>
                <w:iCs/>
                <w:sz w:val="24"/>
                <w:szCs w:val="24"/>
                <w:highlight w:val="white"/>
              </w:rPr>
              <w:t>24.06.2026</w:t>
            </w:r>
          </w:p>
        </w:tc>
        <w:tc>
          <w:tcPr>
            <w:tcW w:w="5550" w:type="dxa"/>
            <w:tcBorders>
              <w:top w:val="nil"/>
              <w:left w:val="nil"/>
              <w:bottom w:val="single" w:sz="6" w:space="0" w:color="000000"/>
              <w:right w:val="single" w:sz="6" w:space="0" w:color="999999"/>
            </w:tcBorders>
            <w:tcMar>
              <w:top w:w="0" w:type="dxa"/>
              <w:left w:w="100" w:type="dxa"/>
              <w:bottom w:w="0" w:type="dxa"/>
              <w:right w:w="100" w:type="dxa"/>
            </w:tcMar>
          </w:tcPr>
          <w:p w14:paraId="17E579E5"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Articolul 103 – Munca de noapte necesită, de asemenea, revizuire. Textul actual conține prevederi contradictorii: pe de o parte, se stipulează explicit că durata timpului de muncă nu va depăși 8 ore, iar pe de altă parte se menționează că durata schimbului pentru salariații de noapte se reduce cu 1 oră. Nu este clar din ce durată se face această reducere – din cele 8 ore care de fapt se permit? Din această cauză, articolul generează dificultăți semnificative de interpretare pentru un număr mare de specialiști HR.</w:t>
            </w:r>
          </w:p>
        </w:tc>
        <w:tc>
          <w:tcPr>
            <w:tcW w:w="5880" w:type="dxa"/>
            <w:tcBorders>
              <w:top w:val="nil"/>
              <w:left w:val="nil"/>
              <w:bottom w:val="single" w:sz="6" w:space="0" w:color="000000"/>
              <w:right w:val="single" w:sz="6" w:space="0" w:color="999999"/>
            </w:tcBorders>
            <w:tcMar>
              <w:top w:w="0" w:type="dxa"/>
              <w:left w:w="100" w:type="dxa"/>
              <w:bottom w:w="0" w:type="dxa"/>
              <w:right w:w="100" w:type="dxa"/>
            </w:tcMar>
          </w:tcPr>
          <w:p w14:paraId="59820AF9"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Se ia act. </w:t>
            </w:r>
            <w:r>
              <w:rPr>
                <w:rFonts w:ascii="Times New Roman" w:eastAsia="Times New Roman" w:hAnsi="Times New Roman" w:cs="Times New Roman"/>
                <w:sz w:val="24"/>
                <w:szCs w:val="24"/>
                <w:highlight w:val="white"/>
              </w:rPr>
              <w:t>Observația vizează art. 103 din Codul muncii (durata muncii de noapte), care nu face obiectul prezentului proiect de lege. Clarificarea semnalată poate fi examinată separat, într-o viitoare inițiativă legislativă privind regimul muncii de noapte.</w:t>
            </w:r>
          </w:p>
        </w:tc>
      </w:tr>
      <w:tr w:rsidR="00315874" w14:paraId="60B76C44" w14:textId="77777777">
        <w:trPr>
          <w:trHeight w:val="1185"/>
        </w:trPr>
        <w:tc>
          <w:tcPr>
            <w:tcW w:w="870" w:type="dxa"/>
            <w:tcBorders>
              <w:top w:val="nil"/>
              <w:left w:val="single" w:sz="6" w:space="0" w:color="999999"/>
              <w:bottom w:val="single" w:sz="6" w:space="0" w:color="999999"/>
              <w:right w:val="single" w:sz="6" w:space="0" w:color="999999"/>
            </w:tcBorders>
            <w:tcMar>
              <w:top w:w="0" w:type="dxa"/>
              <w:left w:w="100" w:type="dxa"/>
              <w:bottom w:w="0" w:type="dxa"/>
              <w:right w:w="100" w:type="dxa"/>
            </w:tcMar>
          </w:tcPr>
          <w:p w14:paraId="31535FE1" w14:textId="77777777" w:rsidR="00315874" w:rsidRDefault="00000000">
            <w:pPr>
              <w:spacing w:line="240" w:lineRule="auto"/>
              <w:jc w:val="center"/>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5.</w:t>
            </w:r>
          </w:p>
        </w:tc>
        <w:tc>
          <w:tcPr>
            <w:tcW w:w="2730" w:type="dxa"/>
            <w:tcBorders>
              <w:top w:val="nil"/>
              <w:left w:val="nil"/>
              <w:bottom w:val="single" w:sz="6" w:space="0" w:color="999999"/>
              <w:right w:val="single" w:sz="6" w:space="0" w:color="999999"/>
            </w:tcBorders>
            <w:tcMar>
              <w:top w:w="0" w:type="dxa"/>
              <w:left w:w="100" w:type="dxa"/>
              <w:bottom w:w="0" w:type="dxa"/>
              <w:right w:w="100" w:type="dxa"/>
            </w:tcMar>
          </w:tcPr>
          <w:p w14:paraId="669212C7" w14:textId="77777777" w:rsidR="00315874" w:rsidRDefault="00000000">
            <w:pPr>
              <w:spacing w:line="240" w:lineRule="auto"/>
              <w:jc w:val="center"/>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Svetlana Postolache</w:t>
            </w:r>
          </w:p>
          <w:p w14:paraId="0CE7468B" w14:textId="77777777" w:rsidR="00315874" w:rsidRDefault="00000000">
            <w:pPr>
              <w:spacing w:line="240" w:lineRule="auto"/>
              <w:jc w:val="center"/>
              <w:rPr>
                <w:rFonts w:ascii="Times New Roman" w:eastAsia="Times New Roman" w:hAnsi="Times New Roman" w:cs="Times New Roman"/>
                <w:i/>
                <w:iCs/>
                <w:sz w:val="24"/>
                <w:szCs w:val="24"/>
                <w:highlight w:val="white"/>
              </w:rPr>
            </w:pPr>
            <w:r>
              <w:rPr>
                <w:rFonts w:ascii="Times New Roman" w:eastAsia="Times New Roman" w:hAnsi="Times New Roman" w:cs="Times New Roman"/>
                <w:i/>
                <w:iCs/>
                <w:sz w:val="24"/>
                <w:szCs w:val="24"/>
                <w:highlight w:val="white"/>
              </w:rPr>
              <w:t>25.06.2026</w:t>
            </w:r>
          </w:p>
        </w:tc>
        <w:tc>
          <w:tcPr>
            <w:tcW w:w="5550" w:type="dxa"/>
            <w:tcBorders>
              <w:top w:val="nil"/>
              <w:left w:val="nil"/>
              <w:bottom w:val="single" w:sz="6" w:space="0" w:color="000000"/>
              <w:right w:val="single" w:sz="6" w:space="0" w:color="999999"/>
            </w:tcBorders>
            <w:tcMar>
              <w:top w:w="0" w:type="dxa"/>
              <w:left w:w="100" w:type="dxa"/>
              <w:bottom w:w="0" w:type="dxa"/>
              <w:right w:w="100" w:type="dxa"/>
            </w:tcMar>
          </w:tcPr>
          <w:p w14:paraId="1F8A0BB4"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Cum se vor calcula zilele concediului pentru salariații care prestează munca în schimburi (2 și 4) cu durata zilnică a timpului de muncă de 12 ore?</w:t>
            </w:r>
          </w:p>
        </w:tc>
        <w:tc>
          <w:tcPr>
            <w:tcW w:w="5880" w:type="dxa"/>
            <w:tcBorders>
              <w:top w:val="nil"/>
              <w:left w:val="nil"/>
              <w:bottom w:val="single" w:sz="6" w:space="0" w:color="000000"/>
              <w:right w:val="single" w:sz="6" w:space="0" w:color="999999"/>
            </w:tcBorders>
            <w:tcMar>
              <w:top w:w="0" w:type="dxa"/>
              <w:left w:w="100" w:type="dxa"/>
              <w:bottom w:w="0" w:type="dxa"/>
              <w:right w:w="100" w:type="dxa"/>
            </w:tcMar>
          </w:tcPr>
          <w:p w14:paraId="0DEFBDA1"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Se acceptă parțial</w:t>
            </w:r>
          </w:p>
          <w:p w14:paraId="414A76AC"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 se vedea răspunsul consolidat de la pct. 12 (avizul Asociației Businessului European).</w:t>
            </w:r>
          </w:p>
        </w:tc>
      </w:tr>
      <w:tr w:rsidR="00315874" w14:paraId="5500EE01" w14:textId="77777777">
        <w:trPr>
          <w:trHeight w:val="1185"/>
        </w:trPr>
        <w:tc>
          <w:tcPr>
            <w:tcW w:w="870" w:type="dxa"/>
            <w:tcBorders>
              <w:top w:val="nil"/>
              <w:left w:val="single" w:sz="6" w:space="0" w:color="999999"/>
              <w:bottom w:val="single" w:sz="6" w:space="0" w:color="999999"/>
              <w:right w:val="single" w:sz="6" w:space="0" w:color="999999"/>
            </w:tcBorders>
            <w:tcMar>
              <w:top w:w="0" w:type="dxa"/>
              <w:left w:w="100" w:type="dxa"/>
              <w:bottom w:w="0" w:type="dxa"/>
              <w:right w:w="100" w:type="dxa"/>
            </w:tcMar>
          </w:tcPr>
          <w:p w14:paraId="77C146FD" w14:textId="77777777" w:rsidR="00315874" w:rsidRDefault="00000000">
            <w:pPr>
              <w:spacing w:line="240" w:lineRule="auto"/>
              <w:jc w:val="center"/>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6.</w:t>
            </w:r>
          </w:p>
        </w:tc>
        <w:tc>
          <w:tcPr>
            <w:tcW w:w="2730" w:type="dxa"/>
            <w:tcBorders>
              <w:top w:val="nil"/>
              <w:left w:val="nil"/>
              <w:bottom w:val="single" w:sz="6" w:space="0" w:color="999999"/>
              <w:right w:val="single" w:sz="6" w:space="0" w:color="999999"/>
            </w:tcBorders>
            <w:tcMar>
              <w:top w:w="0" w:type="dxa"/>
              <w:left w:w="100" w:type="dxa"/>
              <w:bottom w:w="0" w:type="dxa"/>
              <w:right w:w="100" w:type="dxa"/>
            </w:tcMar>
          </w:tcPr>
          <w:p w14:paraId="4CCD5364" w14:textId="77777777" w:rsidR="00315874" w:rsidRDefault="00000000">
            <w:pPr>
              <w:spacing w:line="240" w:lineRule="auto"/>
              <w:jc w:val="center"/>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Frija Vasile</w:t>
            </w:r>
          </w:p>
          <w:p w14:paraId="7C050A5A" w14:textId="77777777" w:rsidR="00315874" w:rsidRDefault="00000000">
            <w:pPr>
              <w:spacing w:line="240" w:lineRule="auto"/>
              <w:jc w:val="center"/>
              <w:rPr>
                <w:rFonts w:ascii="Times New Roman" w:eastAsia="Times New Roman" w:hAnsi="Times New Roman" w:cs="Times New Roman"/>
                <w:i/>
                <w:iCs/>
                <w:sz w:val="24"/>
                <w:szCs w:val="24"/>
                <w:highlight w:val="white"/>
              </w:rPr>
            </w:pPr>
            <w:r>
              <w:rPr>
                <w:rFonts w:ascii="Times New Roman" w:eastAsia="Times New Roman" w:hAnsi="Times New Roman" w:cs="Times New Roman"/>
                <w:i/>
                <w:iCs/>
                <w:sz w:val="24"/>
                <w:szCs w:val="24"/>
                <w:highlight w:val="white"/>
              </w:rPr>
              <w:t>25.06.2026</w:t>
            </w:r>
          </w:p>
        </w:tc>
        <w:tc>
          <w:tcPr>
            <w:tcW w:w="5550" w:type="dxa"/>
            <w:tcBorders>
              <w:top w:val="nil"/>
              <w:left w:val="nil"/>
              <w:bottom w:val="single" w:sz="6" w:space="0" w:color="000000"/>
              <w:right w:val="single" w:sz="6" w:space="0" w:color="999999"/>
            </w:tcBorders>
            <w:tcMar>
              <w:top w:w="0" w:type="dxa"/>
              <w:left w:w="100" w:type="dxa"/>
              <w:bottom w:w="0" w:type="dxa"/>
              <w:right w:w="100" w:type="dxa"/>
            </w:tcMar>
          </w:tcPr>
          <w:p w14:paraId="686B1588"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b/>
                <w:bCs/>
                <w:sz w:val="24"/>
                <w:szCs w:val="24"/>
                <w:highlight w:val="white"/>
              </w:rPr>
              <w:t>Art. V</w:t>
            </w:r>
            <w:r>
              <w:rPr>
                <w:rFonts w:ascii="Times New Roman" w:eastAsia="Times New Roman" w:hAnsi="Times New Roman" w:cs="Times New Roman"/>
                <w:sz w:val="24"/>
                <w:szCs w:val="24"/>
                <w:highlight w:val="white"/>
              </w:rPr>
              <w:t>. – Codul muncii al Republicii Moldova nr. 154/2003 (Monitorul Oficial al Republicii Moldova, 2003, nr. 159–162, art. 648), cu modificările ulterioare, se modifică după cum urmează:</w:t>
            </w:r>
          </w:p>
          <w:p w14:paraId="6F25DF8A" w14:textId="77777777" w:rsidR="00315874" w:rsidRDefault="00000000">
            <w:pPr>
              <w:numPr>
                <w:ilvl w:val="0"/>
                <w:numId w:val="1"/>
              </w:num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Articolul 113</w:t>
            </w:r>
            <w:r>
              <w:rPr>
                <w:rFonts w:ascii="Times New Roman" w:eastAsia="Times New Roman" w:hAnsi="Times New Roman" w:cs="Times New Roman"/>
                <w:sz w:val="24"/>
                <w:szCs w:val="24"/>
                <w:highlight w:val="white"/>
                <w:vertAlign w:val="superscript"/>
              </w:rPr>
              <w:t>1</w:t>
            </w:r>
            <w:r>
              <w:rPr>
                <w:rFonts w:ascii="Times New Roman" w:eastAsia="Times New Roman" w:hAnsi="Times New Roman" w:cs="Times New Roman"/>
                <w:sz w:val="24"/>
                <w:szCs w:val="24"/>
                <w:highlight w:val="white"/>
              </w:rPr>
              <w:t>:</w:t>
            </w:r>
          </w:p>
          <w:p w14:paraId="1AFDA8DF"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alineatul (1) va avea următorul cuprins:</w:t>
            </w:r>
          </w:p>
          <w:p w14:paraId="104430AE"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„(1) Anul de muncă pentru care se acordă concediul de odihnă anual începe cu data angajării până la 31 decembrie și ulterior 12 luni calendaristice de la data 01 ianuarie, pentru anul următor”.</w:t>
            </w:r>
          </w:p>
          <w:p w14:paraId="230C497F"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Astfel va mai clar, programarea concediilor de odihnă anuale și punerea în aplicare a modificărilor la Codul muncii.</w:t>
            </w:r>
          </w:p>
          <w:p w14:paraId="296C4F26"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p>
        </w:tc>
        <w:tc>
          <w:tcPr>
            <w:tcW w:w="5880" w:type="dxa"/>
            <w:tcBorders>
              <w:top w:val="nil"/>
              <w:left w:val="nil"/>
              <w:bottom w:val="single" w:sz="6" w:space="0" w:color="000000"/>
              <w:right w:val="single" w:sz="6" w:space="0" w:color="999999"/>
            </w:tcBorders>
            <w:tcMar>
              <w:top w:w="0" w:type="dxa"/>
              <w:left w:w="100" w:type="dxa"/>
              <w:bottom w:w="0" w:type="dxa"/>
              <w:right w:w="100" w:type="dxa"/>
            </w:tcMar>
          </w:tcPr>
          <w:p w14:paraId="3B253F9E" w14:textId="63270ECF" w:rsidR="00315874" w:rsidRDefault="0009241B">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Nu s</w:t>
            </w:r>
            <w:r w:rsidR="00000000">
              <w:rPr>
                <w:rFonts w:ascii="Times New Roman" w:eastAsia="Times New Roman" w:hAnsi="Times New Roman" w:cs="Times New Roman"/>
                <w:b/>
                <w:bCs/>
                <w:sz w:val="24"/>
                <w:szCs w:val="24"/>
                <w:highlight w:val="white"/>
              </w:rPr>
              <w:t>e acceptă</w:t>
            </w:r>
          </w:p>
          <w:p w14:paraId="1F066FEF" w14:textId="57DBF5A2" w:rsidR="0021239A" w:rsidRDefault="00000000">
            <w:pPr>
              <w:shd w:val="clear" w:color="auto" w:fill="FFFFFF"/>
              <w:jc w:val="both"/>
              <w:rPr>
                <w:rFonts w:ascii="Times New Roman" w:eastAsia="Times New Roman" w:hAnsi="Times New Roman" w:cs="Times New Roman"/>
                <w:sz w:val="24"/>
                <w:szCs w:val="24"/>
                <w:highlight w:val="white"/>
              </w:rPr>
            </w:pPr>
            <w:r w:rsidRPr="0009241B">
              <w:rPr>
                <w:rFonts w:ascii="Times New Roman" w:eastAsia="Times New Roman" w:hAnsi="Times New Roman" w:cs="Times New Roman"/>
                <w:sz w:val="24"/>
                <w:szCs w:val="24"/>
                <w:highlight w:val="white"/>
              </w:rPr>
              <w:t>Proiectul raportează anul de muncă la anul calendaristic, cu acordarea proporțională a concediului pentru perioadele incomplete.</w:t>
            </w:r>
          </w:p>
        </w:tc>
      </w:tr>
      <w:tr w:rsidR="00315874" w14:paraId="6883254B" w14:textId="77777777">
        <w:trPr>
          <w:trHeight w:val="1185"/>
        </w:trPr>
        <w:tc>
          <w:tcPr>
            <w:tcW w:w="870" w:type="dxa"/>
            <w:tcBorders>
              <w:top w:val="nil"/>
              <w:left w:val="single" w:sz="6" w:space="0" w:color="999999"/>
              <w:bottom w:val="single" w:sz="6" w:space="0" w:color="999999"/>
              <w:right w:val="single" w:sz="6" w:space="0" w:color="999999"/>
            </w:tcBorders>
            <w:tcMar>
              <w:top w:w="0" w:type="dxa"/>
              <w:left w:w="100" w:type="dxa"/>
              <w:bottom w:w="0" w:type="dxa"/>
              <w:right w:w="100" w:type="dxa"/>
            </w:tcMar>
          </w:tcPr>
          <w:p w14:paraId="1FB76F76" w14:textId="77777777" w:rsidR="00315874" w:rsidRDefault="00000000">
            <w:pPr>
              <w:spacing w:line="240" w:lineRule="auto"/>
              <w:jc w:val="center"/>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7.</w:t>
            </w:r>
          </w:p>
        </w:tc>
        <w:tc>
          <w:tcPr>
            <w:tcW w:w="2730" w:type="dxa"/>
            <w:tcBorders>
              <w:top w:val="nil"/>
              <w:left w:val="nil"/>
              <w:bottom w:val="single" w:sz="6" w:space="0" w:color="999999"/>
              <w:right w:val="single" w:sz="6" w:space="0" w:color="999999"/>
            </w:tcBorders>
            <w:tcMar>
              <w:top w:w="0" w:type="dxa"/>
              <w:left w:w="100" w:type="dxa"/>
              <w:bottom w:w="0" w:type="dxa"/>
              <w:right w:w="100" w:type="dxa"/>
            </w:tcMar>
          </w:tcPr>
          <w:p w14:paraId="5B3BC633" w14:textId="77777777" w:rsidR="00315874" w:rsidRDefault="00000000">
            <w:pPr>
              <w:spacing w:line="240" w:lineRule="auto"/>
              <w:jc w:val="center"/>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Efros Silvia</w:t>
            </w:r>
          </w:p>
          <w:p w14:paraId="1F2F858B" w14:textId="77777777" w:rsidR="00315874" w:rsidRDefault="00000000">
            <w:pPr>
              <w:spacing w:line="240" w:lineRule="auto"/>
              <w:jc w:val="center"/>
              <w:rPr>
                <w:rFonts w:ascii="Times New Roman" w:eastAsia="Times New Roman" w:hAnsi="Times New Roman" w:cs="Times New Roman"/>
                <w:i/>
                <w:iCs/>
                <w:sz w:val="24"/>
                <w:szCs w:val="24"/>
                <w:highlight w:val="white"/>
              </w:rPr>
            </w:pPr>
            <w:r>
              <w:rPr>
                <w:rFonts w:ascii="Times New Roman" w:eastAsia="Times New Roman" w:hAnsi="Times New Roman" w:cs="Times New Roman"/>
                <w:i/>
                <w:iCs/>
                <w:sz w:val="24"/>
                <w:szCs w:val="24"/>
                <w:highlight w:val="white"/>
              </w:rPr>
              <w:t>26.06.2026</w:t>
            </w:r>
          </w:p>
        </w:tc>
        <w:tc>
          <w:tcPr>
            <w:tcW w:w="5550" w:type="dxa"/>
            <w:tcBorders>
              <w:top w:val="nil"/>
              <w:left w:val="nil"/>
              <w:bottom w:val="single" w:sz="6" w:space="0" w:color="000000"/>
              <w:right w:val="single" w:sz="6" w:space="0" w:color="999999"/>
            </w:tcBorders>
            <w:tcMar>
              <w:top w:w="0" w:type="dxa"/>
              <w:left w:w="100" w:type="dxa"/>
              <w:bottom w:w="0" w:type="dxa"/>
              <w:right w:w="100" w:type="dxa"/>
            </w:tcMar>
          </w:tcPr>
          <w:p w14:paraId="7D22F85D"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Dacă angajatul are program parțial (să zicem 3 zile din 5), atunci dacă se vor acorda zile de concediu doar pentru cele care sunt în programul individual ar iesi că concediul va dura in timp aproape sub 2 luni, iar indemnizația pentru aceste aproximativ 2 luni ar trebui să fie egală cu un salariu mediu al său. Pentru că sensul unei indemnizații întregi de concediu este să fie echivalentă unui salariu mediu. Deci nu este concordanță între timp și remunerare, adică scoți angajatul din procesul de lucru aproape 2 luni iar plată </w:t>
            </w:r>
            <w:r>
              <w:rPr>
                <w:rFonts w:ascii="Times New Roman" w:eastAsia="Times New Roman" w:hAnsi="Times New Roman" w:cs="Times New Roman"/>
                <w:sz w:val="24"/>
                <w:szCs w:val="24"/>
                <w:highlight w:val="white"/>
              </w:rPr>
              <w:lastRenderedPageBreak/>
              <w:t>îi acorzi doar 1 salariu mediu. Momentul care complică aceste cazuri specifice apare cînd zilele lucrătoare din programul individual coincid cu cele de sîmbătă și duminică. În care din zilele din săptămână să îi acorzi concediu?</w:t>
            </w:r>
          </w:p>
        </w:tc>
        <w:tc>
          <w:tcPr>
            <w:tcW w:w="5880" w:type="dxa"/>
            <w:tcBorders>
              <w:top w:val="nil"/>
              <w:left w:val="nil"/>
              <w:bottom w:val="single" w:sz="6" w:space="0" w:color="000000"/>
              <w:right w:val="single" w:sz="6" w:space="0" w:color="999999"/>
            </w:tcBorders>
            <w:tcMar>
              <w:top w:w="0" w:type="dxa"/>
              <w:left w:w="100" w:type="dxa"/>
              <w:bottom w:w="0" w:type="dxa"/>
              <w:right w:w="100" w:type="dxa"/>
            </w:tcMar>
          </w:tcPr>
          <w:p w14:paraId="419F03F1"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 xml:space="preserve">Se acceptă parțial. </w:t>
            </w:r>
          </w:p>
          <w:p w14:paraId="0C670DA5" w14:textId="77777777" w:rsidR="00315874" w:rsidRDefault="00000000">
            <w:pPr>
              <w:spacing w:before="144"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Proiectul precizează că zilele de repaus stabilite prin programul de muncă al salariaților care lucrează în ture sau schimburi nu se includ în concediul de odihnă anual. Din soldul concediului se deduc zilele în care salariatul ar fi trebuit să muncească potrivit graficului. Astfel, o sâmbătă sau o duminică programată ca zi de muncă poate reprezenta o zi de concediu, în timp ce o zi de repaus stabilită în cursul săptămânii nu se deduce din sold. Regimul zilelor de sărbătoare nelucrătoare </w:t>
            </w:r>
            <w:r>
              <w:rPr>
                <w:rFonts w:ascii="Times New Roman" w:eastAsia="Times New Roman" w:hAnsi="Times New Roman" w:cs="Times New Roman"/>
                <w:sz w:val="24"/>
                <w:szCs w:val="24"/>
              </w:rPr>
              <w:t>trebuie corelat cu excluderea acestora din durata concediulu</w:t>
            </w:r>
            <w:r>
              <w:rPr>
                <w:rFonts w:ascii="Times New Roman" w:eastAsia="Times New Roman" w:hAnsi="Times New Roman" w:cs="Times New Roman"/>
                <w:sz w:val="24"/>
                <w:szCs w:val="24"/>
                <w:highlight w:val="white"/>
              </w:rPr>
              <w:t xml:space="preserve">i anual. Indiferent de </w:t>
            </w:r>
            <w:r>
              <w:rPr>
                <w:rFonts w:ascii="Times New Roman" w:eastAsia="Times New Roman" w:hAnsi="Times New Roman" w:cs="Times New Roman"/>
                <w:sz w:val="24"/>
                <w:szCs w:val="24"/>
                <w:highlight w:val="white"/>
              </w:rPr>
              <w:lastRenderedPageBreak/>
              <w:t>repartizarea turelor, se aplică durata minimă prevăzută la art. 113 alin. (1) din Codul muncii.</w:t>
            </w:r>
          </w:p>
        </w:tc>
      </w:tr>
      <w:tr w:rsidR="00315874" w14:paraId="2F1CB50C" w14:textId="77777777">
        <w:trPr>
          <w:trHeight w:val="1185"/>
        </w:trPr>
        <w:tc>
          <w:tcPr>
            <w:tcW w:w="870" w:type="dxa"/>
            <w:vMerge w:val="restart"/>
            <w:tcBorders>
              <w:top w:val="nil"/>
              <w:left w:val="single" w:sz="6" w:space="0" w:color="999999"/>
              <w:bottom w:val="single" w:sz="6" w:space="0" w:color="999999"/>
              <w:right w:val="single" w:sz="6" w:space="0" w:color="999999"/>
            </w:tcBorders>
            <w:tcMar>
              <w:top w:w="0" w:type="dxa"/>
              <w:left w:w="100" w:type="dxa"/>
              <w:bottom w:w="0" w:type="dxa"/>
              <w:right w:w="100" w:type="dxa"/>
            </w:tcMar>
          </w:tcPr>
          <w:p w14:paraId="0A3A8A7D" w14:textId="77777777" w:rsidR="00315874" w:rsidRDefault="00000000">
            <w:pPr>
              <w:spacing w:line="240" w:lineRule="auto"/>
              <w:jc w:val="center"/>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8.</w:t>
            </w:r>
          </w:p>
        </w:tc>
        <w:tc>
          <w:tcPr>
            <w:tcW w:w="2730" w:type="dxa"/>
            <w:vMerge w:val="restart"/>
            <w:tcBorders>
              <w:top w:val="nil"/>
              <w:left w:val="nil"/>
              <w:bottom w:val="single" w:sz="6" w:space="0" w:color="999999"/>
              <w:right w:val="single" w:sz="6" w:space="0" w:color="999999"/>
            </w:tcBorders>
            <w:tcMar>
              <w:top w:w="0" w:type="dxa"/>
              <w:left w:w="100" w:type="dxa"/>
              <w:bottom w:w="0" w:type="dxa"/>
              <w:right w:w="100" w:type="dxa"/>
            </w:tcMar>
          </w:tcPr>
          <w:p w14:paraId="02DF8188" w14:textId="77777777" w:rsidR="00315874" w:rsidRDefault="00000000">
            <w:pPr>
              <w:spacing w:line="240" w:lineRule="auto"/>
              <w:jc w:val="center"/>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Federația Sindicatelor din Moldova „SINDLEX”</w:t>
            </w:r>
          </w:p>
          <w:p w14:paraId="5378E0A6" w14:textId="77777777" w:rsidR="00315874" w:rsidRDefault="00000000">
            <w:pPr>
              <w:spacing w:line="240" w:lineRule="auto"/>
              <w:jc w:val="center"/>
              <w:rPr>
                <w:rFonts w:ascii="Times New Roman" w:eastAsia="Times New Roman" w:hAnsi="Times New Roman" w:cs="Times New Roman"/>
                <w:i/>
                <w:iCs/>
                <w:sz w:val="24"/>
                <w:szCs w:val="24"/>
                <w:highlight w:val="white"/>
              </w:rPr>
            </w:pPr>
            <w:r>
              <w:rPr>
                <w:rFonts w:ascii="Times New Roman" w:eastAsia="Times New Roman" w:hAnsi="Times New Roman" w:cs="Times New Roman"/>
                <w:i/>
                <w:iCs/>
                <w:sz w:val="24"/>
                <w:szCs w:val="24"/>
                <w:highlight w:val="white"/>
              </w:rPr>
              <w:t>Nr. 03-01/ 210 din 29.06.2026</w:t>
            </w:r>
          </w:p>
        </w:tc>
        <w:tc>
          <w:tcPr>
            <w:tcW w:w="5550" w:type="dxa"/>
            <w:tcBorders>
              <w:top w:val="nil"/>
              <w:left w:val="nil"/>
              <w:bottom w:val="single" w:sz="6" w:space="0" w:color="000000"/>
              <w:right w:val="single" w:sz="6" w:space="0" w:color="999999"/>
            </w:tcBorders>
            <w:tcMar>
              <w:top w:w="0" w:type="dxa"/>
              <w:left w:w="100" w:type="dxa"/>
              <w:bottom w:w="0" w:type="dxa"/>
              <w:right w:w="100" w:type="dxa"/>
            </w:tcMar>
          </w:tcPr>
          <w:p w14:paraId="5F4F1A85"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Deși autorul proiectului încearcă să justifice aceste modificări ca pe o ”aliniere la practicile moderne europene” și o ”uniformizare a regimului concediilor de odihnă”, omite să considere că tratarea ofițerilor anticorupție din cadrul CNA, funcționarilor publici cu statut special din cadrul MAI, ANP MJ, în același mod cu funcționarii publici de rând ignoră natura distinctă, restrictivă și de risc a serviciului. </w:t>
            </w:r>
          </w:p>
          <w:p w14:paraId="78B94577"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Statutul special implică un șir de restricții ale drepturilor și libertăților precum interdicția de a avea alte surse de venit (cumulul de funcții/activități economice), expunerea constantă la un grad înalt de risc pentru viață și sănătate, un regim de muncă neregulat și disponibilitate permanentă. </w:t>
            </w:r>
          </w:p>
          <w:p w14:paraId="76AAEEAC"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Funcționarii publici cu statut special, ofițerii anticorupție exercită atribuții cu un grad sporit de responsabilitate, expunere profesională și solicitare psihologică, fiind supuși unui regim sever de incompatibilități, restricții și obligații specifice funcției publice cu statut special. Prin urmare, garanțiile sociale instituite pentru această categorie de personal nu constituie un privilegiu nejustificat, ci reprezintă un mecanism compensatoriu asumat de către stat pentru </w:t>
            </w:r>
            <w:r>
              <w:rPr>
                <w:rFonts w:ascii="Times New Roman" w:eastAsia="Times New Roman" w:hAnsi="Times New Roman" w:cs="Times New Roman"/>
                <w:sz w:val="24"/>
                <w:szCs w:val="24"/>
                <w:highlight w:val="white"/>
              </w:rPr>
              <w:lastRenderedPageBreak/>
              <w:t xml:space="preserve">aceste privări. În acest context, acordarea concediului suplimentar proporțional cu vechimea în muncă reprezintă o contraprestație legală și morală, având scopul de a asigura recuperarea capacității de muncă pe măsură ce uzura profesională crește și recompensarea a contribuției pe termen lung a angajaților la realizarea misiunii instituționale. Eliminarea acestui drept dobândit contravine principiului previzibilității normative și subminează grav securitatea raporturilor juridice. </w:t>
            </w:r>
          </w:p>
          <w:p w14:paraId="169333D9"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Pe plan practic, excluderea acestei garanții va diminua atractivitatea și competitivitatea funcțiilor cu statut special din cadrul MAI, ANP MJ,CNA, agravând dificultățile curente privind atragerea și menținerea personalului înalt calificat. Subliniem că, formarea profesională a unui funcționar public cu statut special, a unui ofițer anticorupție implică investiții considerabile din partea statului, respectiv menținerea unui nivel adecvat al garanțiilor sociale contribuie la fidelizarea personalului, reducerea fluctuației de cadre și valorificarea experienței profesionale acumulate. </w:t>
            </w:r>
          </w:p>
          <w:p w14:paraId="2838CCF2"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Prin urmare, modificările propuse prin proiect la articolul III sunt excesive și abuzive, având un impact negativ asupra dreptului funcționarilor cu statut special din MAI, ANP MJ, ofițerului anticorupție din cadrul CNA la concediu de odihnă anual, care reprezintă un element indispensabil al dreptului său la muncă și, în consecință, afectează buna funcționare a autorității în </w:t>
            </w:r>
            <w:r>
              <w:rPr>
                <w:rFonts w:ascii="Times New Roman" w:eastAsia="Times New Roman" w:hAnsi="Times New Roman" w:cs="Times New Roman"/>
                <w:sz w:val="24"/>
                <w:szCs w:val="24"/>
                <w:highlight w:val="white"/>
              </w:rPr>
              <w:lastRenderedPageBreak/>
              <w:t xml:space="preserve">cazul în care există funcții vacante persistente și fluctuații de personal etc. </w:t>
            </w:r>
          </w:p>
        </w:tc>
        <w:tc>
          <w:tcPr>
            <w:tcW w:w="5880" w:type="dxa"/>
            <w:tcBorders>
              <w:top w:val="nil"/>
              <w:left w:val="nil"/>
              <w:bottom w:val="single" w:sz="6" w:space="0" w:color="000000"/>
              <w:right w:val="single" w:sz="6" w:space="0" w:color="999999"/>
            </w:tcBorders>
            <w:tcMar>
              <w:top w:w="0" w:type="dxa"/>
              <w:left w:w="100" w:type="dxa"/>
              <w:bottom w:w="0" w:type="dxa"/>
              <w:right w:w="100" w:type="dxa"/>
            </w:tcMar>
          </w:tcPr>
          <w:p w14:paraId="261B33D6"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 xml:space="preserve">Nu se acceptă. </w:t>
            </w:r>
          </w:p>
          <w:p w14:paraId="7CA05D00"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Argumentele reiau cele formulate de Centrul Național Anticorupție (pct. 30) și de Confederația Națională a Sindicatelor din Moldova (pct. 33); poziția Ministerului este cea expusă la pct. 30 din prezenta Sinteză, aplicabilă mutatis mutandis.</w:t>
            </w:r>
          </w:p>
        </w:tc>
      </w:tr>
      <w:tr w:rsidR="00315874" w14:paraId="254B962C" w14:textId="77777777">
        <w:trPr>
          <w:trHeight w:val="1185"/>
        </w:trPr>
        <w:tc>
          <w:tcPr>
            <w:tcW w:w="870" w:type="dxa"/>
            <w:vMerge/>
            <w:tcBorders>
              <w:top w:val="nil"/>
              <w:left w:val="single" w:sz="6" w:space="0" w:color="999999"/>
              <w:bottom w:val="single" w:sz="6" w:space="0" w:color="999999"/>
              <w:right w:val="single" w:sz="6" w:space="0" w:color="999999"/>
            </w:tcBorders>
            <w:tcMar>
              <w:top w:w="0" w:type="dxa"/>
              <w:left w:w="100" w:type="dxa"/>
              <w:bottom w:w="0" w:type="dxa"/>
              <w:right w:w="100" w:type="dxa"/>
            </w:tcMar>
          </w:tcPr>
          <w:p w14:paraId="7B5A647F" w14:textId="77777777" w:rsidR="00315874" w:rsidRDefault="00315874">
            <w:pPr>
              <w:spacing w:line="240" w:lineRule="auto"/>
              <w:jc w:val="center"/>
              <w:rPr>
                <w:rFonts w:ascii="Times New Roman" w:eastAsia="Times New Roman" w:hAnsi="Times New Roman" w:cs="Times New Roman"/>
                <w:b/>
                <w:bCs/>
                <w:sz w:val="24"/>
                <w:szCs w:val="24"/>
                <w:highlight w:val="white"/>
              </w:rPr>
            </w:pPr>
          </w:p>
        </w:tc>
        <w:tc>
          <w:tcPr>
            <w:tcW w:w="2730" w:type="dxa"/>
            <w:vMerge/>
            <w:tcBorders>
              <w:top w:val="nil"/>
              <w:left w:val="nil"/>
              <w:bottom w:val="single" w:sz="6" w:space="0" w:color="999999"/>
              <w:right w:val="single" w:sz="6" w:space="0" w:color="999999"/>
            </w:tcBorders>
            <w:tcMar>
              <w:top w:w="0" w:type="dxa"/>
              <w:left w:w="100" w:type="dxa"/>
              <w:bottom w:w="0" w:type="dxa"/>
              <w:right w:w="100" w:type="dxa"/>
            </w:tcMar>
          </w:tcPr>
          <w:p w14:paraId="55CE65DB" w14:textId="77777777" w:rsidR="00315874" w:rsidRDefault="00315874">
            <w:pPr>
              <w:spacing w:line="240" w:lineRule="auto"/>
              <w:jc w:val="center"/>
              <w:rPr>
                <w:rFonts w:ascii="Times New Roman" w:eastAsia="Times New Roman" w:hAnsi="Times New Roman" w:cs="Times New Roman"/>
                <w:sz w:val="24"/>
                <w:szCs w:val="24"/>
                <w:highlight w:val="white"/>
              </w:rPr>
            </w:pPr>
          </w:p>
        </w:tc>
        <w:tc>
          <w:tcPr>
            <w:tcW w:w="5550" w:type="dxa"/>
            <w:tcBorders>
              <w:top w:val="nil"/>
              <w:left w:val="nil"/>
              <w:bottom w:val="single" w:sz="6" w:space="0" w:color="000000"/>
              <w:right w:val="single" w:sz="6" w:space="0" w:color="999999"/>
            </w:tcBorders>
            <w:tcMar>
              <w:top w:w="0" w:type="dxa"/>
              <w:left w:w="100" w:type="dxa"/>
              <w:bottom w:w="0" w:type="dxa"/>
              <w:right w:w="100" w:type="dxa"/>
            </w:tcMar>
          </w:tcPr>
          <w:p w14:paraId="6A265700"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Argumentul autorului privind ”costurile financiare” generate de aceste concedii este superficial și lipsit de o analiză de impact privind fluctuația resurselor umane. Eliminarea beneficiilor corelate cu vechimea în muncă afectează direct segmentul cel mai valoros de personal, precum ofițerii cu o experiență acumulată de 5-20 de ani. </w:t>
            </w:r>
          </w:p>
          <w:p w14:paraId="5BE49009"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Afirmația din nota de fundamentare referitoare la ”acumularea unor solduri semnificative de concedii neutilizate” demonstrează un deficit sistemic de personal operațional și o suprasolicitare a efectivului existent, iar nu o rea-intenție sau un refuz al angajaților de a se odihni. Penalizarea acestora prin anularea dreptului la concediu pentru vechime în muncă este o măsură disproporționată, inechitabilă și de natură să accentueze problema funcțiilor vacante persistente. </w:t>
            </w:r>
          </w:p>
        </w:tc>
        <w:tc>
          <w:tcPr>
            <w:tcW w:w="5880" w:type="dxa"/>
            <w:tcBorders>
              <w:top w:val="nil"/>
              <w:left w:val="nil"/>
              <w:bottom w:val="single" w:sz="6" w:space="0" w:color="000000"/>
              <w:right w:val="single" w:sz="6" w:space="0" w:color="999999"/>
            </w:tcBorders>
            <w:tcMar>
              <w:top w:w="0" w:type="dxa"/>
              <w:left w:w="100" w:type="dxa"/>
              <w:bottom w:w="0" w:type="dxa"/>
              <w:right w:w="100" w:type="dxa"/>
            </w:tcMar>
          </w:tcPr>
          <w:p w14:paraId="6A769ED4"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 xml:space="preserve">Nu se acceptă. </w:t>
            </w:r>
          </w:p>
          <w:p w14:paraId="63B82AFE"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2B563568"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Argumentele reiau cele formulate de Centrul Național Anticorupție (pct. 30) și de Confederația Națională a Sindicatelor din Moldova (pct. 33); poziția Ministerului este cea expusă la pct. 30 din prezenta Sinteză, aplicabilă mutatis mutandis.</w:t>
            </w:r>
          </w:p>
        </w:tc>
      </w:tr>
      <w:tr w:rsidR="00315874" w14:paraId="0EB68141" w14:textId="77777777">
        <w:trPr>
          <w:trHeight w:val="1185"/>
        </w:trPr>
        <w:tc>
          <w:tcPr>
            <w:tcW w:w="870" w:type="dxa"/>
            <w:vMerge/>
            <w:tcBorders>
              <w:top w:val="nil"/>
              <w:left w:val="single" w:sz="6" w:space="0" w:color="999999"/>
              <w:bottom w:val="single" w:sz="6" w:space="0" w:color="999999"/>
              <w:right w:val="single" w:sz="6" w:space="0" w:color="999999"/>
            </w:tcBorders>
            <w:tcMar>
              <w:top w:w="0" w:type="dxa"/>
              <w:left w:w="100" w:type="dxa"/>
              <w:bottom w:w="0" w:type="dxa"/>
              <w:right w:w="100" w:type="dxa"/>
            </w:tcMar>
          </w:tcPr>
          <w:p w14:paraId="5FCCE315" w14:textId="77777777" w:rsidR="00315874" w:rsidRDefault="00315874">
            <w:pPr>
              <w:spacing w:line="240" w:lineRule="auto"/>
              <w:jc w:val="center"/>
              <w:rPr>
                <w:rFonts w:ascii="Times New Roman" w:eastAsia="Times New Roman" w:hAnsi="Times New Roman" w:cs="Times New Roman"/>
                <w:b/>
                <w:bCs/>
                <w:sz w:val="24"/>
                <w:szCs w:val="24"/>
                <w:highlight w:val="white"/>
              </w:rPr>
            </w:pPr>
          </w:p>
        </w:tc>
        <w:tc>
          <w:tcPr>
            <w:tcW w:w="2730" w:type="dxa"/>
            <w:vMerge/>
            <w:tcBorders>
              <w:top w:val="nil"/>
              <w:left w:val="nil"/>
              <w:bottom w:val="single" w:sz="6" w:space="0" w:color="999999"/>
              <w:right w:val="single" w:sz="6" w:space="0" w:color="999999"/>
            </w:tcBorders>
            <w:tcMar>
              <w:top w:w="0" w:type="dxa"/>
              <w:left w:w="100" w:type="dxa"/>
              <w:bottom w:w="0" w:type="dxa"/>
              <w:right w:w="100" w:type="dxa"/>
            </w:tcMar>
          </w:tcPr>
          <w:p w14:paraId="5230994F" w14:textId="77777777" w:rsidR="00315874" w:rsidRDefault="00315874">
            <w:pPr>
              <w:spacing w:line="240" w:lineRule="auto"/>
              <w:jc w:val="center"/>
              <w:rPr>
                <w:rFonts w:ascii="Times New Roman" w:eastAsia="Times New Roman" w:hAnsi="Times New Roman" w:cs="Times New Roman"/>
                <w:sz w:val="24"/>
                <w:szCs w:val="24"/>
                <w:highlight w:val="white"/>
              </w:rPr>
            </w:pPr>
          </w:p>
        </w:tc>
        <w:tc>
          <w:tcPr>
            <w:tcW w:w="5550" w:type="dxa"/>
            <w:tcBorders>
              <w:top w:val="nil"/>
              <w:left w:val="nil"/>
              <w:bottom w:val="single" w:sz="6" w:space="0" w:color="000000"/>
              <w:right w:val="single" w:sz="6" w:space="0" w:color="999999"/>
            </w:tcBorders>
            <w:tcMar>
              <w:top w:w="0" w:type="dxa"/>
              <w:left w:w="100" w:type="dxa"/>
              <w:bottom w:w="0" w:type="dxa"/>
              <w:right w:w="100" w:type="dxa"/>
            </w:tcMar>
          </w:tcPr>
          <w:p w14:paraId="2D764F21"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Prin raportare la textul constituțional, concediul suplimentar acordat proporțional vechimii în muncă funcționarilor publici cu statut special din cadrul MAI, ANP MJ, ofițerilor anticorupție din cadrul CNA se încadrează în categoria măsurilor de protecție pentru ”situații specifice” și ”condiții grele” de muncă. Diminuarea arbitrară a acestor garanții, sub pretextul unor rațiuni pur financiare, reprezintă o afectare directă </w:t>
            </w:r>
            <w:r>
              <w:rPr>
                <w:rFonts w:ascii="Times New Roman" w:eastAsia="Times New Roman" w:hAnsi="Times New Roman" w:cs="Times New Roman"/>
                <w:sz w:val="24"/>
                <w:szCs w:val="24"/>
                <w:highlight w:val="white"/>
              </w:rPr>
              <w:lastRenderedPageBreak/>
              <w:t xml:space="preserve">a substanței dreptului constituțional la protecția muncii. Potrivit compartimentului VII Concediu anual din Comunicarea interpretativă a Comisiei Europene privind Directiva 2003/88/CE a Parlamentului European și a Consiliului privind anumite aspecte ale organizării timpului de lucru Comisiei Europene (2023/C 109/01), Comisia a notat că, ”Ținând seama de faptul că dreptul la concediu anual plătit consacrat la articolul 7 din directivă este de asemenea un drept fundamental consacrat la articolul 31 alineatul (2) din Carta drepturilor fundamentale, Curtea a precizat în mod expres că limitările acestui drept trebuie să respecte condițiile stricte prevăzute la articolul 52 alineatul (1) din cartă și în special conținutul esențial al dreptului menționat”. Comisia Europeană a precizat în mod expres că statele membre dispun de o anumită marjă de manevră exclusiv în ceea ce privește reglementarea modului în care poate fi exercitat dreptul la concediu anual plătit, iar nu în sensul diminuării sau anulării lui. Potrivit articolului 52 alineatul (1) din Carta Drepturilor Fundamentale a Uniunii Europene, ”Orice restrângere a exercițiului drepturilor și libertăților recunoscute prin prezenta cartă trebuie să fie prevăzută de lege și să respecte substanța acestor drepturi și libertăți. Prin respectarea principiului proporționalității, pot fi impuse restrângeri numai în cazul în care acestea sunt necesare și numai dacă răspund efectiv obiectivelor de interes general recunoscute de Uniune sau necesității protejării </w:t>
            </w:r>
            <w:r>
              <w:rPr>
                <w:rFonts w:ascii="Times New Roman" w:eastAsia="Times New Roman" w:hAnsi="Times New Roman" w:cs="Times New Roman"/>
                <w:sz w:val="24"/>
                <w:szCs w:val="24"/>
                <w:highlight w:val="white"/>
              </w:rPr>
              <w:lastRenderedPageBreak/>
              <w:t xml:space="preserve">drepturilor și libertăților celorlalți.” Reducerea drepturilor compensatorii pentru funcționarii publici cu statut special din MAI, ANP MJ, ofițerii anticorupție din cadrul CNA, prin privarea de concedii suplimentare în raport cu vechimea în muncă, fără o justificare de interes general superior, afectează substanța însăși a normei de protecție. Prin urmare, nicio normă sau practică europeană nu susține limitarea drepturilor la concediu de odihnă anual plătit, ci, din contră, dreptul Uniunii Europene obligă la protejarea substanței acestui drept fundamental. Proiectul este fundamentat pe o analiză exclusiv economico-financiară, ignorând faptul că reducerea substanțială a zilelor de odihnă nu va eficientiza activitatea, ci va genera o stare de epuizare profesională în rândul ofițerilor anticorupție. Acest fapt va crește iminent marja de eroare în misiuni critice, cu consecințe negative directe asupra securității naționale și ordinii publice. </w:t>
            </w:r>
          </w:p>
        </w:tc>
        <w:tc>
          <w:tcPr>
            <w:tcW w:w="5880" w:type="dxa"/>
            <w:tcBorders>
              <w:top w:val="nil"/>
              <w:left w:val="nil"/>
              <w:bottom w:val="single" w:sz="6" w:space="0" w:color="000000"/>
              <w:right w:val="single" w:sz="6" w:space="0" w:color="999999"/>
            </w:tcBorders>
            <w:tcMar>
              <w:top w:w="0" w:type="dxa"/>
              <w:left w:w="100" w:type="dxa"/>
              <w:bottom w:w="0" w:type="dxa"/>
              <w:right w:w="100" w:type="dxa"/>
            </w:tcMar>
          </w:tcPr>
          <w:p w14:paraId="2EC68041"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 xml:space="preserve">Nu se acceptă. </w:t>
            </w:r>
          </w:p>
          <w:p w14:paraId="1032FA3C"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Argumentele reiau cele formulate de Centrul Național Anticorupție (pct. 30) și de Confederația Națională a Sindicatelor din Moldova (pct. 33); poziția Ministerului este cea expusă la pct. 30 din prezenta Sinteză, aplicabilă mutatis mutandis.</w:t>
            </w:r>
          </w:p>
        </w:tc>
      </w:tr>
      <w:tr w:rsidR="00315874" w14:paraId="4FC72F18" w14:textId="77777777">
        <w:trPr>
          <w:trHeight w:val="1185"/>
        </w:trPr>
        <w:tc>
          <w:tcPr>
            <w:tcW w:w="870" w:type="dxa"/>
            <w:vMerge/>
            <w:tcBorders>
              <w:top w:val="nil"/>
              <w:left w:val="single" w:sz="6" w:space="0" w:color="999999"/>
              <w:bottom w:val="single" w:sz="6" w:space="0" w:color="999999"/>
              <w:right w:val="single" w:sz="6" w:space="0" w:color="999999"/>
            </w:tcBorders>
            <w:tcMar>
              <w:top w:w="0" w:type="dxa"/>
              <w:left w:w="100" w:type="dxa"/>
              <w:bottom w:w="0" w:type="dxa"/>
              <w:right w:w="100" w:type="dxa"/>
            </w:tcMar>
          </w:tcPr>
          <w:p w14:paraId="0A894999" w14:textId="77777777" w:rsidR="00315874" w:rsidRDefault="00315874">
            <w:pPr>
              <w:spacing w:line="240" w:lineRule="auto"/>
              <w:jc w:val="center"/>
              <w:rPr>
                <w:rFonts w:ascii="Times New Roman" w:eastAsia="Times New Roman" w:hAnsi="Times New Roman" w:cs="Times New Roman"/>
                <w:b/>
                <w:bCs/>
                <w:sz w:val="24"/>
                <w:szCs w:val="24"/>
                <w:highlight w:val="white"/>
              </w:rPr>
            </w:pPr>
          </w:p>
        </w:tc>
        <w:tc>
          <w:tcPr>
            <w:tcW w:w="2730" w:type="dxa"/>
            <w:vMerge/>
            <w:tcBorders>
              <w:top w:val="nil"/>
              <w:left w:val="nil"/>
              <w:bottom w:val="single" w:sz="6" w:space="0" w:color="999999"/>
              <w:right w:val="single" w:sz="6" w:space="0" w:color="999999"/>
            </w:tcBorders>
            <w:tcMar>
              <w:top w:w="0" w:type="dxa"/>
              <w:left w:w="100" w:type="dxa"/>
              <w:bottom w:w="0" w:type="dxa"/>
              <w:right w:w="100" w:type="dxa"/>
            </w:tcMar>
          </w:tcPr>
          <w:p w14:paraId="4FD921C9" w14:textId="77777777" w:rsidR="00315874" w:rsidRDefault="00315874">
            <w:pPr>
              <w:spacing w:line="240" w:lineRule="auto"/>
              <w:jc w:val="center"/>
              <w:rPr>
                <w:rFonts w:ascii="Times New Roman" w:eastAsia="Times New Roman" w:hAnsi="Times New Roman" w:cs="Times New Roman"/>
                <w:sz w:val="24"/>
                <w:szCs w:val="24"/>
                <w:highlight w:val="white"/>
              </w:rPr>
            </w:pPr>
          </w:p>
        </w:tc>
        <w:tc>
          <w:tcPr>
            <w:tcW w:w="5550" w:type="dxa"/>
            <w:tcBorders>
              <w:top w:val="nil"/>
              <w:left w:val="nil"/>
              <w:bottom w:val="single" w:sz="6" w:space="0" w:color="000000"/>
              <w:right w:val="single" w:sz="6" w:space="0" w:color="999999"/>
            </w:tcBorders>
            <w:tcMar>
              <w:top w:w="0" w:type="dxa"/>
              <w:left w:w="100" w:type="dxa"/>
              <w:bottom w:w="0" w:type="dxa"/>
              <w:right w:w="100" w:type="dxa"/>
            </w:tcMar>
          </w:tcPr>
          <w:p w14:paraId="57F2067E"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Mai mult, deși proiectul majorează durata concediului de bază cu doar 4 zile, stabilind-o la 28 de zile lucrătoare, acesta conduce, concomitent, la eliminarea mecanismului actual de acordare a concediului suplimentar în funcție de vechimea în muncă. În consecință, se reduce diferențierea între personalul nou-angajat și personalul care a acumulat o experiență profesională îndelungată în cadrul instituției, fiind afectat unul dintre instrumentele de stimulare și fidelizare a personalului. </w:t>
            </w:r>
          </w:p>
          <w:p w14:paraId="7AEFEDE1"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 xml:space="preserve">Suplimentar, activitatea de combatere a corupției este asociată în mod constant cu stres profesional ridicat, presiune operațională, termene procesuale restrictive și o responsabilitate sporită pentru rezultatele activității. În ultimii ani, conceptul de sănătate ocupațională și prevenire a sindromului de ardere profesională a devenit un element important al politicilor de resurse umane în instituțiile de aplicare a legii. </w:t>
            </w:r>
          </w:p>
        </w:tc>
        <w:tc>
          <w:tcPr>
            <w:tcW w:w="5880" w:type="dxa"/>
            <w:tcBorders>
              <w:top w:val="nil"/>
              <w:left w:val="nil"/>
              <w:bottom w:val="single" w:sz="6" w:space="0" w:color="000000"/>
              <w:right w:val="single" w:sz="6" w:space="0" w:color="999999"/>
            </w:tcBorders>
            <w:tcMar>
              <w:top w:w="0" w:type="dxa"/>
              <w:left w:w="100" w:type="dxa"/>
              <w:bottom w:w="0" w:type="dxa"/>
              <w:right w:w="100" w:type="dxa"/>
            </w:tcMar>
          </w:tcPr>
          <w:p w14:paraId="6185D655"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 xml:space="preserve">Nu se acceptă. </w:t>
            </w:r>
          </w:p>
          <w:p w14:paraId="667C75FC"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Argumentele reiau cele formulate de Centrul Național Anticorupție (pct. 30) și de Confederația Națională a Sindicatelor din Moldova (pct. 33); poziția Ministerului este cea expusă la pct. 30 din prezenta Sinteză, aplicabilă mutatis mutandis.</w:t>
            </w:r>
          </w:p>
        </w:tc>
      </w:tr>
      <w:tr w:rsidR="00315874" w14:paraId="46D0BA40" w14:textId="77777777">
        <w:trPr>
          <w:trHeight w:val="1185"/>
        </w:trPr>
        <w:tc>
          <w:tcPr>
            <w:tcW w:w="870" w:type="dxa"/>
            <w:vMerge/>
            <w:tcBorders>
              <w:top w:val="nil"/>
              <w:left w:val="single" w:sz="6" w:space="0" w:color="999999"/>
              <w:bottom w:val="single" w:sz="6" w:space="0" w:color="999999"/>
              <w:right w:val="single" w:sz="6" w:space="0" w:color="999999"/>
            </w:tcBorders>
            <w:tcMar>
              <w:top w:w="0" w:type="dxa"/>
              <w:left w:w="100" w:type="dxa"/>
              <w:bottom w:w="0" w:type="dxa"/>
              <w:right w:w="100" w:type="dxa"/>
            </w:tcMar>
          </w:tcPr>
          <w:p w14:paraId="276690CD" w14:textId="77777777" w:rsidR="00315874" w:rsidRDefault="00315874">
            <w:pPr>
              <w:spacing w:line="240" w:lineRule="auto"/>
              <w:jc w:val="center"/>
              <w:rPr>
                <w:rFonts w:ascii="Times New Roman" w:eastAsia="Times New Roman" w:hAnsi="Times New Roman" w:cs="Times New Roman"/>
                <w:b/>
                <w:bCs/>
                <w:sz w:val="24"/>
                <w:szCs w:val="24"/>
                <w:highlight w:val="white"/>
              </w:rPr>
            </w:pPr>
          </w:p>
        </w:tc>
        <w:tc>
          <w:tcPr>
            <w:tcW w:w="2730" w:type="dxa"/>
            <w:vMerge/>
            <w:tcBorders>
              <w:top w:val="nil"/>
              <w:left w:val="nil"/>
              <w:bottom w:val="single" w:sz="6" w:space="0" w:color="999999"/>
              <w:right w:val="single" w:sz="6" w:space="0" w:color="999999"/>
            </w:tcBorders>
            <w:tcMar>
              <w:top w:w="0" w:type="dxa"/>
              <w:left w:w="100" w:type="dxa"/>
              <w:bottom w:w="0" w:type="dxa"/>
              <w:right w:w="100" w:type="dxa"/>
            </w:tcMar>
          </w:tcPr>
          <w:p w14:paraId="24CDBD39" w14:textId="77777777" w:rsidR="00315874" w:rsidRDefault="00315874">
            <w:pPr>
              <w:spacing w:line="240" w:lineRule="auto"/>
              <w:jc w:val="center"/>
              <w:rPr>
                <w:rFonts w:ascii="Times New Roman" w:eastAsia="Times New Roman" w:hAnsi="Times New Roman" w:cs="Times New Roman"/>
                <w:sz w:val="24"/>
                <w:szCs w:val="24"/>
                <w:highlight w:val="white"/>
              </w:rPr>
            </w:pPr>
          </w:p>
        </w:tc>
        <w:tc>
          <w:tcPr>
            <w:tcW w:w="5550" w:type="dxa"/>
            <w:tcBorders>
              <w:top w:val="nil"/>
              <w:left w:val="nil"/>
              <w:bottom w:val="single" w:sz="6" w:space="0" w:color="000000"/>
              <w:right w:val="single" w:sz="6" w:space="0" w:color="999999"/>
            </w:tcBorders>
            <w:tcMar>
              <w:top w:w="0" w:type="dxa"/>
              <w:left w:w="100" w:type="dxa"/>
              <w:bottom w:w="0" w:type="dxa"/>
              <w:right w:w="100" w:type="dxa"/>
            </w:tcMar>
          </w:tcPr>
          <w:p w14:paraId="03E108C1"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Prin urmare, durata concediului anual trebuie analizată nu doar ca o garanție socială, ci și ca un instrument de menținere a capacității profesionale a personalului. Nota de fundamentare argumentează necesitatea uniformizării regimului concediilor pentru diferite categorii de personal, însă nu conține o analiză distinctă privind impactul eliminării concediilor suplimentare acordate pentru vechime în muncă funcționarilor publici cu statut special din MAI, ANP MJ, ofițerilor anticorupție din CNA, și nici o evaluare a efectelor asupra retenției personalului și continuității instituționale. </w:t>
            </w:r>
          </w:p>
          <w:p w14:paraId="6B198DCE"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În contextul renunțării la concediile suplimentare și având în vedere caracterul complex al atribuțiilor exercitate de categoriile enunțate de personal, gradul sporit de responsabilitate, nivelul ridicat de solicitare psihică și emoțională, precum și necesitatea menținerii unui corp profesional stabil și calificat, se consideră oportună reexaminarea duratei concediului de odihnă anual prevăzute la articolul III din proiect, prin </w:t>
            </w:r>
            <w:r>
              <w:rPr>
                <w:rFonts w:ascii="Times New Roman" w:eastAsia="Times New Roman" w:hAnsi="Times New Roman" w:cs="Times New Roman"/>
                <w:sz w:val="24"/>
                <w:szCs w:val="24"/>
                <w:highlight w:val="white"/>
              </w:rPr>
              <w:lastRenderedPageBreak/>
              <w:t xml:space="preserve">majorarea acesteia pentru funcționarii publici cu statut special din cadrul MAI ( art.40 din Legea 288 /2016); din cadrul ANP MJ ( art. 59 din Legea 300/2017), ofițerii anticorupție din cadrul CNA ( art.43 din Legea 1104/2002) de la 28 la 35 de zile lucrătoare. </w:t>
            </w:r>
          </w:p>
        </w:tc>
        <w:tc>
          <w:tcPr>
            <w:tcW w:w="5880" w:type="dxa"/>
            <w:tcBorders>
              <w:top w:val="nil"/>
              <w:left w:val="nil"/>
              <w:bottom w:val="single" w:sz="6" w:space="0" w:color="000000"/>
              <w:right w:val="single" w:sz="6" w:space="0" w:color="999999"/>
            </w:tcBorders>
            <w:tcMar>
              <w:top w:w="0" w:type="dxa"/>
              <w:left w:w="100" w:type="dxa"/>
              <w:bottom w:w="0" w:type="dxa"/>
              <w:right w:w="100" w:type="dxa"/>
            </w:tcMar>
          </w:tcPr>
          <w:p w14:paraId="4E6212CB"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 xml:space="preserve">Nu se acceptă. </w:t>
            </w:r>
          </w:p>
          <w:p w14:paraId="2377D26F"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Argumentele reiau cele formulate de Centrul Național Anticorupție (pct. 30) și de Confederația Națională a Sindicatelor din Moldova (pct. 33); poziția Ministerului este cea expusă la pct. 30 din prezenta Sinteză, aplicabilă mutatis mutandis.</w:t>
            </w:r>
          </w:p>
        </w:tc>
      </w:tr>
      <w:tr w:rsidR="00315874" w14:paraId="099E9536" w14:textId="77777777">
        <w:trPr>
          <w:trHeight w:val="1185"/>
        </w:trPr>
        <w:tc>
          <w:tcPr>
            <w:tcW w:w="870" w:type="dxa"/>
            <w:vMerge w:val="restart"/>
            <w:tcBorders>
              <w:top w:val="nil"/>
              <w:left w:val="single" w:sz="6" w:space="0" w:color="999999"/>
              <w:bottom w:val="single" w:sz="6" w:space="0" w:color="999999"/>
              <w:right w:val="single" w:sz="6" w:space="0" w:color="999999"/>
            </w:tcBorders>
            <w:tcMar>
              <w:top w:w="0" w:type="dxa"/>
              <w:left w:w="100" w:type="dxa"/>
              <w:bottom w:w="0" w:type="dxa"/>
              <w:right w:w="100" w:type="dxa"/>
            </w:tcMar>
          </w:tcPr>
          <w:p w14:paraId="5085FF7E" w14:textId="77777777" w:rsidR="00315874" w:rsidRDefault="00000000">
            <w:pPr>
              <w:spacing w:line="240" w:lineRule="auto"/>
              <w:jc w:val="center"/>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9.</w:t>
            </w:r>
          </w:p>
        </w:tc>
        <w:tc>
          <w:tcPr>
            <w:tcW w:w="2730" w:type="dxa"/>
            <w:vMerge w:val="restart"/>
            <w:tcBorders>
              <w:top w:val="nil"/>
              <w:left w:val="nil"/>
              <w:bottom w:val="single" w:sz="6" w:space="0" w:color="999999"/>
              <w:right w:val="single" w:sz="6" w:space="0" w:color="999999"/>
            </w:tcBorders>
            <w:tcMar>
              <w:top w:w="0" w:type="dxa"/>
              <w:left w:w="100" w:type="dxa"/>
              <w:bottom w:w="0" w:type="dxa"/>
              <w:right w:w="100" w:type="dxa"/>
            </w:tcMar>
          </w:tcPr>
          <w:p w14:paraId="3FA7613C" w14:textId="77777777" w:rsidR="00315874" w:rsidRDefault="00000000">
            <w:pPr>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Administrația Națională a Penitenciarelor</w:t>
            </w:r>
            <w:r>
              <w:rPr>
                <w:rFonts w:ascii="Times New Roman" w:eastAsia="Times New Roman" w:hAnsi="Times New Roman" w:cs="Times New Roman"/>
                <w:sz w:val="24"/>
                <w:szCs w:val="24"/>
                <w:highlight w:val="white"/>
              </w:rPr>
              <w:t xml:space="preserve"> </w:t>
            </w:r>
          </w:p>
          <w:p w14:paraId="134A1A2F" w14:textId="77777777" w:rsidR="00315874" w:rsidRDefault="00000000">
            <w:pPr>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i/>
                <w:iCs/>
                <w:sz w:val="24"/>
                <w:szCs w:val="24"/>
                <w:highlight w:val="white"/>
              </w:rPr>
              <w:t>Nr. 7-1794 din 02.07.2026</w:t>
            </w:r>
            <w:r>
              <w:rPr>
                <w:rFonts w:ascii="Times New Roman" w:eastAsia="Times New Roman" w:hAnsi="Times New Roman" w:cs="Times New Roman"/>
                <w:sz w:val="24"/>
                <w:szCs w:val="24"/>
                <w:highlight w:val="white"/>
              </w:rPr>
              <w:t xml:space="preserve"> </w:t>
            </w:r>
          </w:p>
        </w:tc>
        <w:tc>
          <w:tcPr>
            <w:tcW w:w="5550" w:type="dxa"/>
            <w:tcBorders>
              <w:top w:val="nil"/>
              <w:left w:val="nil"/>
              <w:bottom w:val="single" w:sz="6" w:space="0" w:color="000000"/>
              <w:right w:val="single" w:sz="6" w:space="0" w:color="999999"/>
            </w:tcBorders>
            <w:tcMar>
              <w:top w:w="0" w:type="dxa"/>
              <w:left w:w="100" w:type="dxa"/>
              <w:bottom w:w="0" w:type="dxa"/>
              <w:right w:w="100" w:type="dxa"/>
            </w:tcMar>
          </w:tcPr>
          <w:p w14:paraId="1CDB3952"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În mod particular, modificările propuse la art. 59 din Legea nr. 300/2017 cu privire la sistemul administrației penitenciare ilustrează efectele practice ale noii abordări. Reglementarea actuală valorifică vechimea în serviciu prin acordarea unui concediu anual diferențiat, recunoscând experiența profesională acumulată și specificul activității desfășurate în instituțiile penitenciare. Prin proiect se propune stabilirea unei durate unice a concediului anual de 30 de zile lucrătoare și eliminarea mecanismului prin care vechimea în serviciu influențează durata concediului de odihnă. </w:t>
            </w:r>
          </w:p>
          <w:p w14:paraId="2132B3C4"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În consecință, personalul cu vechime îndelungată, care și-a desfășurat activitatea timp de decenii în condiții specifice mediului penitenciar, va beneficia de un regim al concediului apropiat de cel aplicabil personalului aflat la începutul carierei. Deși obiectivul uniformizării modului de calcul al concediului anual este unul legitim, se ridică problema dacă eliminarea integrală a componentei aferente vechimii în serviciu reprezintă soluția optimă pentru categoriile de personal care activează în condiții de muncă deosebite. </w:t>
            </w:r>
          </w:p>
          <w:p w14:paraId="312729CA"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Această problemă prezintă o relevanță aparte în sistemul administrației penitenciare, unde activitatea </w:t>
            </w:r>
            <w:r>
              <w:rPr>
                <w:rFonts w:ascii="Times New Roman" w:eastAsia="Times New Roman" w:hAnsi="Times New Roman" w:cs="Times New Roman"/>
                <w:sz w:val="24"/>
                <w:szCs w:val="24"/>
                <w:highlight w:val="white"/>
              </w:rPr>
              <w:lastRenderedPageBreak/>
              <w:t xml:space="preserve">profesională presupune un nivel ridicat de solicitare psihică și emoțională, expunere permanentă la factori de risc, responsabilități sporite în domeniul siguranței și securității, precum și un regim special de muncă. În acest context, concediul suplimentar asociat vechimii în serviciu a constituit unul dintre instrumentele prin care legiuitorul a recunoscut specificul acestor condiții și experiența profesională acumulată. </w:t>
            </w:r>
          </w:p>
          <w:p w14:paraId="467AFE14"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În aceste condiții, se consideră oportună realizarea unei analize distincte a impactului noii reglementări asupra motivării, retenției și stabilității personalului din domenii caracterizate prin condiții de muncă dificile, responsabilități sporite și deficit de personal calificat. Menținerea atractivității serviciului public în asemenea sectoare presupune existența unor mecanisme care să recunoască și să valorifice experiența profesională acumulată, inclusiv prin regimul concediilor de odihnă sau prin alte măsuri compensatorii adecvate. </w:t>
            </w:r>
          </w:p>
        </w:tc>
        <w:tc>
          <w:tcPr>
            <w:tcW w:w="5880" w:type="dxa"/>
            <w:tcBorders>
              <w:top w:val="nil"/>
              <w:left w:val="nil"/>
              <w:bottom w:val="single" w:sz="6" w:space="0" w:color="000000"/>
              <w:right w:val="single" w:sz="6" w:space="0" w:color="999999"/>
            </w:tcBorders>
            <w:tcMar>
              <w:top w:w="0" w:type="dxa"/>
              <w:left w:w="100" w:type="dxa"/>
              <w:bottom w:w="0" w:type="dxa"/>
              <w:right w:w="100" w:type="dxa"/>
            </w:tcMar>
          </w:tcPr>
          <w:p w14:paraId="77721AFB" w14:textId="77777777" w:rsidR="00315874" w:rsidRDefault="00315874">
            <w:pPr>
              <w:shd w:val="clear" w:color="auto" w:fill="FFFFFF"/>
              <w:jc w:val="both"/>
              <w:rPr>
                <w:rFonts w:ascii="Times New Roman" w:eastAsia="Times New Roman" w:hAnsi="Times New Roman" w:cs="Times New Roman"/>
                <w:b/>
                <w:bCs/>
                <w:sz w:val="24"/>
                <w:szCs w:val="24"/>
                <w:highlight w:val="white"/>
              </w:rPr>
            </w:pPr>
          </w:p>
          <w:p w14:paraId="6F820797" w14:textId="477DED65"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Poziția Ministerului privind menținerea excluderii concediului suplimentar pentru vechime este cea expusă la pct. 8 (Ministerul Justiției) și pct. 13 (Ministerul Afacerilor Interne). Specificul activității din sistemul penitenciar este recunoscut prin durata concediului de bază stabilită la 30 de zile lucrătoare, superioară </w:t>
            </w:r>
            <w:r w:rsidRPr="0009241B">
              <w:rPr>
                <w:rFonts w:ascii="Times New Roman" w:eastAsia="Times New Roman" w:hAnsi="Times New Roman" w:cs="Times New Roman"/>
                <w:sz w:val="24"/>
                <w:szCs w:val="24"/>
              </w:rPr>
              <w:t>standardului minim de 24 de zile lucrătoar</w:t>
            </w:r>
            <w:r w:rsidR="0009241B">
              <w:rPr>
                <w:rFonts w:ascii="Times New Roman" w:eastAsia="Times New Roman" w:hAnsi="Times New Roman" w:cs="Times New Roman"/>
                <w:sz w:val="24"/>
                <w:szCs w:val="24"/>
              </w:rPr>
              <w:t>e</w:t>
            </w:r>
            <w:r>
              <w:rPr>
                <w:rFonts w:ascii="Times New Roman" w:eastAsia="Times New Roman" w:hAnsi="Times New Roman" w:cs="Times New Roman"/>
                <w:sz w:val="24"/>
                <w:szCs w:val="24"/>
                <w:highlight w:val="white"/>
              </w:rPr>
              <w:t>.</w:t>
            </w:r>
          </w:p>
          <w:p w14:paraId="6A6A2829"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Argumentele de drept comparat privind practicile europene nu impun menținerea unui mecanism specific de concediu suplimentar pentru vechime; acestea confirmă doar diversitatea opțiunilor naționale în materie, fără a institui un standard unic obligatoriu.</w:t>
            </w:r>
          </w:p>
          <w:p w14:paraId="059393ED" w14:textId="77777777" w:rsidR="00315874" w:rsidRDefault="00315874">
            <w:pPr>
              <w:shd w:val="clear" w:color="auto" w:fill="FFFFFF"/>
              <w:jc w:val="both"/>
              <w:rPr>
                <w:rFonts w:ascii="Times New Roman" w:eastAsia="Times New Roman" w:hAnsi="Times New Roman" w:cs="Times New Roman"/>
                <w:sz w:val="24"/>
                <w:szCs w:val="24"/>
                <w:highlight w:val="white"/>
              </w:rPr>
            </w:pPr>
          </w:p>
        </w:tc>
      </w:tr>
      <w:tr w:rsidR="00315874" w14:paraId="6A6AE11C" w14:textId="77777777">
        <w:trPr>
          <w:trHeight w:val="1185"/>
        </w:trPr>
        <w:tc>
          <w:tcPr>
            <w:tcW w:w="870" w:type="dxa"/>
            <w:vMerge/>
            <w:tcBorders>
              <w:top w:val="nil"/>
              <w:left w:val="single" w:sz="6" w:space="0" w:color="999999"/>
              <w:bottom w:val="single" w:sz="6" w:space="0" w:color="999999"/>
              <w:right w:val="single" w:sz="6" w:space="0" w:color="999999"/>
            </w:tcBorders>
            <w:tcMar>
              <w:top w:w="0" w:type="dxa"/>
              <w:left w:w="100" w:type="dxa"/>
              <w:bottom w:w="0" w:type="dxa"/>
              <w:right w:w="100" w:type="dxa"/>
            </w:tcMar>
          </w:tcPr>
          <w:p w14:paraId="23CEEF3E" w14:textId="77777777" w:rsidR="00315874" w:rsidRDefault="00315874">
            <w:pPr>
              <w:spacing w:line="240" w:lineRule="auto"/>
              <w:jc w:val="center"/>
              <w:rPr>
                <w:rFonts w:ascii="Times New Roman" w:eastAsia="Times New Roman" w:hAnsi="Times New Roman" w:cs="Times New Roman"/>
                <w:b/>
                <w:bCs/>
                <w:sz w:val="24"/>
                <w:szCs w:val="24"/>
                <w:highlight w:val="white"/>
              </w:rPr>
            </w:pPr>
          </w:p>
        </w:tc>
        <w:tc>
          <w:tcPr>
            <w:tcW w:w="2730" w:type="dxa"/>
            <w:vMerge/>
            <w:tcBorders>
              <w:top w:val="nil"/>
              <w:left w:val="nil"/>
              <w:bottom w:val="single" w:sz="6" w:space="0" w:color="999999"/>
              <w:right w:val="single" w:sz="6" w:space="0" w:color="999999"/>
            </w:tcBorders>
            <w:tcMar>
              <w:top w:w="0" w:type="dxa"/>
              <w:left w:w="100" w:type="dxa"/>
              <w:bottom w:w="0" w:type="dxa"/>
              <w:right w:w="100" w:type="dxa"/>
            </w:tcMar>
          </w:tcPr>
          <w:p w14:paraId="54BCE0F5" w14:textId="77777777" w:rsidR="00315874" w:rsidRDefault="00315874">
            <w:pPr>
              <w:spacing w:line="240" w:lineRule="auto"/>
              <w:jc w:val="center"/>
              <w:rPr>
                <w:rFonts w:ascii="Times New Roman" w:eastAsia="Times New Roman" w:hAnsi="Times New Roman" w:cs="Times New Roman"/>
                <w:sz w:val="24"/>
                <w:szCs w:val="24"/>
                <w:highlight w:val="white"/>
              </w:rPr>
            </w:pPr>
          </w:p>
        </w:tc>
        <w:tc>
          <w:tcPr>
            <w:tcW w:w="5550" w:type="dxa"/>
            <w:tcBorders>
              <w:top w:val="nil"/>
              <w:left w:val="nil"/>
              <w:bottom w:val="single" w:sz="6" w:space="0" w:color="000000"/>
              <w:right w:val="single" w:sz="6" w:space="0" w:color="999999"/>
            </w:tcBorders>
            <w:tcMar>
              <w:top w:w="0" w:type="dxa"/>
              <w:left w:w="100" w:type="dxa"/>
              <w:bottom w:w="0" w:type="dxa"/>
              <w:right w:w="100" w:type="dxa"/>
            </w:tcMar>
          </w:tcPr>
          <w:p w14:paraId="6D0F031F"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Totodată, argumentele invocate în Nota de fundamentare prin raportare la experiența statelor europene par să susțină, în principal, utilizarea zilelor lucrătoare ca unitate de calcul a concediului anual. Cu toate acestea, datele prezentate nu demonstrează necesitatea eliminării beneficiilor suplimentare acordate în funcție de vechime sau de specificul anumitor categorii profesionale. Dimpotrivă, în numeroase state europene, nivelul protecției sociale și al timpului de odihnă este asigurat prin mecanisme complementare, </w:t>
            </w:r>
            <w:r>
              <w:rPr>
                <w:rFonts w:ascii="Times New Roman" w:eastAsia="Times New Roman" w:hAnsi="Times New Roman" w:cs="Times New Roman"/>
                <w:sz w:val="24"/>
                <w:szCs w:val="24"/>
                <w:highlight w:val="white"/>
              </w:rPr>
              <w:lastRenderedPageBreak/>
              <w:t xml:space="preserve">inclusiv prin drepturi suplimentare acordate anumitor categorii de personal sau prin instrumente de dialog social. </w:t>
            </w:r>
          </w:p>
        </w:tc>
        <w:tc>
          <w:tcPr>
            <w:tcW w:w="5880" w:type="dxa"/>
            <w:tcBorders>
              <w:top w:val="nil"/>
              <w:left w:val="nil"/>
              <w:bottom w:val="single" w:sz="6" w:space="0" w:color="000000"/>
              <w:right w:val="single" w:sz="6" w:space="0" w:color="999999"/>
            </w:tcBorders>
            <w:tcMar>
              <w:top w:w="0" w:type="dxa"/>
              <w:left w:w="100" w:type="dxa"/>
              <w:bottom w:w="0" w:type="dxa"/>
              <w:right w:w="100" w:type="dxa"/>
            </w:tcMar>
          </w:tcPr>
          <w:p w14:paraId="73F7C095"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 xml:space="preserve">Nu se acceptă. </w:t>
            </w:r>
          </w:p>
          <w:p w14:paraId="02A40BF1"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 se vedea răspunsul consolidat de la punctul precedent din prezentul aviz (Administrația Națională a Penitenciarelor).</w:t>
            </w:r>
          </w:p>
        </w:tc>
      </w:tr>
      <w:tr w:rsidR="00315874" w14:paraId="59FDA5B9" w14:textId="77777777">
        <w:trPr>
          <w:trHeight w:val="1185"/>
        </w:trPr>
        <w:tc>
          <w:tcPr>
            <w:tcW w:w="870" w:type="dxa"/>
            <w:vMerge/>
            <w:tcBorders>
              <w:top w:val="nil"/>
              <w:left w:val="single" w:sz="6" w:space="0" w:color="999999"/>
              <w:bottom w:val="single" w:sz="6" w:space="0" w:color="999999"/>
              <w:right w:val="single" w:sz="6" w:space="0" w:color="999999"/>
            </w:tcBorders>
            <w:tcMar>
              <w:top w:w="0" w:type="dxa"/>
              <w:left w:w="100" w:type="dxa"/>
              <w:bottom w:w="0" w:type="dxa"/>
              <w:right w:w="100" w:type="dxa"/>
            </w:tcMar>
          </w:tcPr>
          <w:p w14:paraId="214AD0BC" w14:textId="77777777" w:rsidR="00315874" w:rsidRDefault="00315874">
            <w:pPr>
              <w:spacing w:line="240" w:lineRule="auto"/>
              <w:jc w:val="center"/>
              <w:rPr>
                <w:rFonts w:ascii="Times New Roman" w:eastAsia="Times New Roman" w:hAnsi="Times New Roman" w:cs="Times New Roman"/>
                <w:b/>
                <w:bCs/>
                <w:sz w:val="24"/>
                <w:szCs w:val="24"/>
                <w:highlight w:val="white"/>
              </w:rPr>
            </w:pPr>
          </w:p>
        </w:tc>
        <w:tc>
          <w:tcPr>
            <w:tcW w:w="2730" w:type="dxa"/>
            <w:vMerge/>
            <w:tcBorders>
              <w:top w:val="nil"/>
              <w:left w:val="nil"/>
              <w:bottom w:val="single" w:sz="6" w:space="0" w:color="999999"/>
              <w:right w:val="single" w:sz="6" w:space="0" w:color="999999"/>
            </w:tcBorders>
            <w:tcMar>
              <w:top w:w="0" w:type="dxa"/>
              <w:left w:w="100" w:type="dxa"/>
              <w:bottom w:w="0" w:type="dxa"/>
              <w:right w:w="100" w:type="dxa"/>
            </w:tcMar>
          </w:tcPr>
          <w:p w14:paraId="4E367372" w14:textId="77777777" w:rsidR="00315874" w:rsidRDefault="00315874">
            <w:pPr>
              <w:spacing w:line="240" w:lineRule="auto"/>
              <w:jc w:val="center"/>
              <w:rPr>
                <w:rFonts w:ascii="Times New Roman" w:eastAsia="Times New Roman" w:hAnsi="Times New Roman" w:cs="Times New Roman"/>
                <w:sz w:val="24"/>
                <w:szCs w:val="24"/>
                <w:highlight w:val="white"/>
              </w:rPr>
            </w:pPr>
          </w:p>
        </w:tc>
        <w:tc>
          <w:tcPr>
            <w:tcW w:w="5550" w:type="dxa"/>
            <w:tcBorders>
              <w:top w:val="nil"/>
              <w:left w:val="nil"/>
              <w:bottom w:val="single" w:sz="6" w:space="0" w:color="000000"/>
              <w:right w:val="single" w:sz="6" w:space="0" w:color="999999"/>
            </w:tcBorders>
            <w:tcMar>
              <w:top w:w="0" w:type="dxa"/>
              <w:left w:w="100" w:type="dxa"/>
              <w:bottom w:w="0" w:type="dxa"/>
              <w:right w:w="100" w:type="dxa"/>
            </w:tcMar>
          </w:tcPr>
          <w:p w14:paraId="19F7AA44"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Din perspectiva calității procesului de fundamentare, se observă că impactul financiar este prezentat într-o manieră agregată, fără o evaluare diferențiată pe categoriile profesionale vizate și fără o analiză distinctă a efectelor asupra persoanelor care beneficiază în prezent de drepturi suplimentare asociate vechimii în serviciu. O asemenea analiză ar permite aprecierea mai exactă a efectelor sociale ale măsurii și ar contribui la identificarea unei soluții normative echilibrate. </w:t>
            </w:r>
          </w:p>
        </w:tc>
        <w:tc>
          <w:tcPr>
            <w:tcW w:w="5880" w:type="dxa"/>
            <w:tcBorders>
              <w:top w:val="nil"/>
              <w:left w:val="nil"/>
              <w:bottom w:val="single" w:sz="6" w:space="0" w:color="000000"/>
              <w:right w:val="single" w:sz="6" w:space="0" w:color="999999"/>
            </w:tcBorders>
            <w:tcMar>
              <w:top w:w="0" w:type="dxa"/>
              <w:left w:w="100" w:type="dxa"/>
              <w:bottom w:w="0" w:type="dxa"/>
              <w:right w:w="100" w:type="dxa"/>
            </w:tcMar>
          </w:tcPr>
          <w:p w14:paraId="4D4BC1FA"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Se ia act</w:t>
            </w:r>
          </w:p>
          <w:p w14:paraId="6E5D7466"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1247726E" w14:textId="77777777" w:rsidR="00315874" w:rsidRDefault="00315874">
            <w:pPr>
              <w:shd w:val="clear" w:color="auto" w:fill="FFFFFF"/>
              <w:jc w:val="both"/>
              <w:rPr>
                <w:rFonts w:ascii="Times New Roman" w:eastAsia="Times New Roman" w:hAnsi="Times New Roman" w:cs="Times New Roman"/>
                <w:sz w:val="24"/>
                <w:szCs w:val="24"/>
                <w:highlight w:val="white"/>
              </w:rPr>
            </w:pPr>
          </w:p>
        </w:tc>
      </w:tr>
      <w:tr w:rsidR="00315874" w14:paraId="42C2F280" w14:textId="77777777">
        <w:trPr>
          <w:trHeight w:val="1185"/>
        </w:trPr>
        <w:tc>
          <w:tcPr>
            <w:tcW w:w="870" w:type="dxa"/>
            <w:vMerge/>
            <w:tcBorders>
              <w:top w:val="nil"/>
              <w:left w:val="single" w:sz="6" w:space="0" w:color="999999"/>
              <w:bottom w:val="single" w:sz="6" w:space="0" w:color="999999"/>
              <w:right w:val="single" w:sz="6" w:space="0" w:color="999999"/>
            </w:tcBorders>
            <w:tcMar>
              <w:top w:w="0" w:type="dxa"/>
              <w:left w:w="100" w:type="dxa"/>
              <w:bottom w:w="0" w:type="dxa"/>
              <w:right w:w="100" w:type="dxa"/>
            </w:tcMar>
          </w:tcPr>
          <w:p w14:paraId="72CB9A26" w14:textId="77777777" w:rsidR="00315874" w:rsidRDefault="00315874">
            <w:pPr>
              <w:spacing w:line="240" w:lineRule="auto"/>
              <w:jc w:val="center"/>
              <w:rPr>
                <w:rFonts w:ascii="Times New Roman" w:eastAsia="Times New Roman" w:hAnsi="Times New Roman" w:cs="Times New Roman"/>
                <w:b/>
                <w:bCs/>
                <w:sz w:val="24"/>
                <w:szCs w:val="24"/>
                <w:highlight w:val="white"/>
              </w:rPr>
            </w:pPr>
          </w:p>
        </w:tc>
        <w:tc>
          <w:tcPr>
            <w:tcW w:w="2730" w:type="dxa"/>
            <w:vMerge/>
            <w:tcBorders>
              <w:top w:val="nil"/>
              <w:left w:val="nil"/>
              <w:bottom w:val="single" w:sz="6" w:space="0" w:color="999999"/>
              <w:right w:val="single" w:sz="6" w:space="0" w:color="999999"/>
            </w:tcBorders>
            <w:tcMar>
              <w:top w:w="0" w:type="dxa"/>
              <w:left w:w="100" w:type="dxa"/>
              <w:bottom w:w="0" w:type="dxa"/>
              <w:right w:w="100" w:type="dxa"/>
            </w:tcMar>
          </w:tcPr>
          <w:p w14:paraId="07E58BE2" w14:textId="77777777" w:rsidR="00315874" w:rsidRDefault="00315874">
            <w:pPr>
              <w:spacing w:line="240" w:lineRule="auto"/>
              <w:jc w:val="center"/>
              <w:rPr>
                <w:rFonts w:ascii="Times New Roman" w:eastAsia="Times New Roman" w:hAnsi="Times New Roman" w:cs="Times New Roman"/>
                <w:sz w:val="24"/>
                <w:szCs w:val="24"/>
                <w:highlight w:val="white"/>
              </w:rPr>
            </w:pPr>
          </w:p>
        </w:tc>
        <w:tc>
          <w:tcPr>
            <w:tcW w:w="5550" w:type="dxa"/>
            <w:tcBorders>
              <w:top w:val="nil"/>
              <w:left w:val="nil"/>
              <w:bottom w:val="single" w:sz="6" w:space="0" w:color="000000"/>
              <w:right w:val="single" w:sz="6" w:space="0" w:color="999999"/>
            </w:tcBorders>
            <w:tcMar>
              <w:top w:w="0" w:type="dxa"/>
              <w:left w:w="100" w:type="dxa"/>
              <w:bottom w:w="0" w:type="dxa"/>
              <w:right w:w="100" w:type="dxa"/>
            </w:tcMar>
          </w:tcPr>
          <w:p w14:paraId="0C341C1F"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De asemenea, având în vedere că efectele cele mai pronunțate ale proiectului se răsfrâng asupra unor categorii specifice de personal, ar fi utilă reflectarea în documentația de fundamentare a unor consultări distincte și documentate cu organizațiile sindicale și structurile reprezentative ale acestora, inclusiv din sistemul administrației penitenciare, domeniul ordinii publice, sistemul vamal și alte sectoare cu statut special. </w:t>
            </w:r>
          </w:p>
        </w:tc>
        <w:tc>
          <w:tcPr>
            <w:tcW w:w="5880" w:type="dxa"/>
            <w:tcBorders>
              <w:top w:val="nil"/>
              <w:left w:val="nil"/>
              <w:bottom w:val="single" w:sz="6" w:space="0" w:color="000000"/>
              <w:right w:val="single" w:sz="6" w:space="0" w:color="999999"/>
            </w:tcBorders>
            <w:tcMar>
              <w:top w:w="0" w:type="dxa"/>
              <w:left w:w="100" w:type="dxa"/>
              <w:bottom w:w="0" w:type="dxa"/>
              <w:right w:w="100" w:type="dxa"/>
            </w:tcMar>
          </w:tcPr>
          <w:p w14:paraId="46277B85"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 xml:space="preserve">Se ia act. </w:t>
            </w:r>
          </w:p>
          <w:p w14:paraId="56096DB7" w14:textId="55E6B19B" w:rsidR="0021239A" w:rsidRDefault="00000000" w:rsidP="0009241B">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Procesul de consultare și avizare a inclus consultarea organizațiilor sindicale reprezentative ale căror observații sunt examinate punctual în prezenta Sinteză.</w:t>
            </w:r>
          </w:p>
        </w:tc>
      </w:tr>
      <w:tr w:rsidR="00315874" w14:paraId="51897930" w14:textId="77777777">
        <w:trPr>
          <w:trHeight w:val="1185"/>
        </w:trPr>
        <w:tc>
          <w:tcPr>
            <w:tcW w:w="870" w:type="dxa"/>
            <w:vMerge/>
            <w:tcBorders>
              <w:top w:val="nil"/>
              <w:left w:val="single" w:sz="6" w:space="0" w:color="999999"/>
              <w:bottom w:val="single" w:sz="6" w:space="0" w:color="999999"/>
              <w:right w:val="single" w:sz="6" w:space="0" w:color="999999"/>
            </w:tcBorders>
            <w:tcMar>
              <w:top w:w="0" w:type="dxa"/>
              <w:left w:w="100" w:type="dxa"/>
              <w:bottom w:w="0" w:type="dxa"/>
              <w:right w:w="100" w:type="dxa"/>
            </w:tcMar>
          </w:tcPr>
          <w:p w14:paraId="4BDDFD5A" w14:textId="77777777" w:rsidR="00315874" w:rsidRDefault="00315874">
            <w:pPr>
              <w:spacing w:line="240" w:lineRule="auto"/>
              <w:jc w:val="center"/>
              <w:rPr>
                <w:rFonts w:ascii="Times New Roman" w:eastAsia="Times New Roman" w:hAnsi="Times New Roman" w:cs="Times New Roman"/>
                <w:b/>
                <w:bCs/>
                <w:sz w:val="24"/>
                <w:szCs w:val="24"/>
                <w:highlight w:val="white"/>
              </w:rPr>
            </w:pPr>
          </w:p>
        </w:tc>
        <w:tc>
          <w:tcPr>
            <w:tcW w:w="2730" w:type="dxa"/>
            <w:vMerge/>
            <w:tcBorders>
              <w:top w:val="nil"/>
              <w:left w:val="nil"/>
              <w:bottom w:val="single" w:sz="6" w:space="0" w:color="999999"/>
              <w:right w:val="single" w:sz="6" w:space="0" w:color="999999"/>
            </w:tcBorders>
            <w:tcMar>
              <w:top w:w="0" w:type="dxa"/>
              <w:left w:w="100" w:type="dxa"/>
              <w:bottom w:w="0" w:type="dxa"/>
              <w:right w:w="100" w:type="dxa"/>
            </w:tcMar>
          </w:tcPr>
          <w:p w14:paraId="1E4D5245" w14:textId="77777777" w:rsidR="00315874" w:rsidRDefault="00315874">
            <w:pPr>
              <w:spacing w:line="240" w:lineRule="auto"/>
              <w:jc w:val="center"/>
              <w:rPr>
                <w:rFonts w:ascii="Times New Roman" w:eastAsia="Times New Roman" w:hAnsi="Times New Roman" w:cs="Times New Roman"/>
                <w:sz w:val="24"/>
                <w:szCs w:val="24"/>
                <w:highlight w:val="white"/>
              </w:rPr>
            </w:pPr>
          </w:p>
        </w:tc>
        <w:tc>
          <w:tcPr>
            <w:tcW w:w="5550" w:type="dxa"/>
            <w:tcBorders>
              <w:top w:val="nil"/>
              <w:left w:val="nil"/>
              <w:bottom w:val="single" w:sz="6" w:space="0" w:color="000000"/>
              <w:right w:val="single" w:sz="6" w:space="0" w:color="999999"/>
            </w:tcBorders>
            <w:tcMar>
              <w:top w:w="0" w:type="dxa"/>
              <w:left w:w="100" w:type="dxa"/>
              <w:bottom w:w="0" w:type="dxa"/>
              <w:right w:w="100" w:type="dxa"/>
            </w:tcMar>
          </w:tcPr>
          <w:p w14:paraId="1759DC1D"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Separat, proiectul propune completarea articolelor 32 și 37 din Codul muncii cu prevederi care instituie obligativitatea solicitării opiniei consultative a Ministerului Finanțelor înainte de inițierea negocierilor colective și înainte de semnarea convențiilor colective care implică alocarea mijloacelor din bugetul public național. </w:t>
            </w:r>
          </w:p>
          <w:p w14:paraId="6D5DFD1B"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 xml:space="preserve">  Deși rolul atribuit Ministerului Finanțelor este calificat drept consultativ, implicarea sa în etapele premergătoare negocierilor și în procesul de validare a rezultatelor acestora poate genera percepția unei influențe instituționale asupra procesului de negociere colectivă. În consecință, există riscul ca autonomia partenerilor sociali și caracterul efectiv al negocierii colective să fie afectate, în special în situațiile în care constrângerile bugetare devin un element determinant al dialogului social. </w:t>
            </w:r>
          </w:p>
          <w:p w14:paraId="49C3D3F8"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Această preocupare este amplificată de modificările propuse la art. 38 alin. (2), care instituie transmiterea convențiilor colective către Ministerul Finanțelor în scop de monitorizare. Analizate în ansamblu, modificările configurează un mecanism de implicare a Ministerului Finanțelor atât anterior inițierii negocierilor colective, înainte de semnarea convențiilor, cât și ulterior încheierii acestora. În lipsa unor delimitări clare ale rolului instituției, există riscul ca acest mecanism să fie perceput ca depășind sfera monitorizării financiare și să influențeze echilibrul relațiilor dintre partenerii sociali. </w:t>
            </w:r>
          </w:p>
        </w:tc>
        <w:tc>
          <w:tcPr>
            <w:tcW w:w="5880" w:type="dxa"/>
            <w:tcBorders>
              <w:top w:val="nil"/>
              <w:left w:val="nil"/>
              <w:bottom w:val="single" w:sz="6" w:space="0" w:color="000000"/>
              <w:right w:val="single" w:sz="6" w:space="0" w:color="999999"/>
            </w:tcBorders>
            <w:tcMar>
              <w:top w:w="0" w:type="dxa"/>
              <w:left w:w="100" w:type="dxa"/>
              <w:bottom w:w="0" w:type="dxa"/>
              <w:right w:w="100" w:type="dxa"/>
            </w:tcMar>
          </w:tcPr>
          <w:p w14:paraId="78A79EF1"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lastRenderedPageBreak/>
              <w:t xml:space="preserve">Nu se acceptă </w:t>
            </w:r>
            <w:r>
              <w:rPr>
                <w:rFonts w:ascii="Times New Roman" w:eastAsia="Times New Roman" w:hAnsi="Times New Roman" w:cs="Times New Roman"/>
                <w:sz w:val="24"/>
                <w:szCs w:val="24"/>
                <w:highlight w:val="white"/>
              </w:rPr>
              <w:t>excluderea prevederilor de la art. 32, 37 și 38 din Codul muncii. Poziția Ministerului este cea expusă la pct. 13 (avizul Ministerului Afacerilor Interne) din prezenta Sinteză.</w:t>
            </w:r>
          </w:p>
        </w:tc>
      </w:tr>
      <w:tr w:rsidR="00315874" w14:paraId="62F16620" w14:textId="77777777">
        <w:trPr>
          <w:trHeight w:val="7057"/>
        </w:trPr>
        <w:tc>
          <w:tcPr>
            <w:tcW w:w="870" w:type="dxa"/>
            <w:vMerge/>
            <w:tcBorders>
              <w:top w:val="nil"/>
              <w:left w:val="single" w:sz="6" w:space="0" w:color="999999"/>
              <w:bottom w:val="single" w:sz="6" w:space="0" w:color="999999"/>
              <w:right w:val="single" w:sz="6" w:space="0" w:color="999999"/>
            </w:tcBorders>
            <w:tcMar>
              <w:top w:w="0" w:type="dxa"/>
              <w:left w:w="100" w:type="dxa"/>
              <w:bottom w:w="0" w:type="dxa"/>
              <w:right w:w="100" w:type="dxa"/>
            </w:tcMar>
          </w:tcPr>
          <w:p w14:paraId="21FB072C" w14:textId="77777777" w:rsidR="00315874" w:rsidRDefault="00315874">
            <w:pPr>
              <w:spacing w:line="240" w:lineRule="auto"/>
              <w:jc w:val="center"/>
              <w:rPr>
                <w:rFonts w:ascii="Times New Roman" w:eastAsia="Times New Roman" w:hAnsi="Times New Roman" w:cs="Times New Roman"/>
                <w:b/>
                <w:bCs/>
                <w:sz w:val="24"/>
                <w:szCs w:val="24"/>
                <w:highlight w:val="white"/>
              </w:rPr>
            </w:pPr>
          </w:p>
        </w:tc>
        <w:tc>
          <w:tcPr>
            <w:tcW w:w="2730" w:type="dxa"/>
            <w:vMerge/>
            <w:tcBorders>
              <w:top w:val="nil"/>
              <w:left w:val="nil"/>
              <w:bottom w:val="single" w:sz="6" w:space="0" w:color="999999"/>
              <w:right w:val="single" w:sz="6" w:space="0" w:color="999999"/>
            </w:tcBorders>
            <w:tcMar>
              <w:top w:w="0" w:type="dxa"/>
              <w:left w:w="100" w:type="dxa"/>
              <w:bottom w:w="0" w:type="dxa"/>
              <w:right w:w="100" w:type="dxa"/>
            </w:tcMar>
          </w:tcPr>
          <w:p w14:paraId="364EE991" w14:textId="77777777" w:rsidR="00315874" w:rsidRDefault="00315874">
            <w:pPr>
              <w:spacing w:line="240" w:lineRule="auto"/>
              <w:jc w:val="center"/>
              <w:rPr>
                <w:rFonts w:ascii="Times New Roman" w:eastAsia="Times New Roman" w:hAnsi="Times New Roman" w:cs="Times New Roman"/>
                <w:sz w:val="24"/>
                <w:szCs w:val="24"/>
                <w:highlight w:val="white"/>
              </w:rPr>
            </w:pPr>
          </w:p>
        </w:tc>
        <w:tc>
          <w:tcPr>
            <w:tcW w:w="5550" w:type="dxa"/>
            <w:tcBorders>
              <w:top w:val="nil"/>
              <w:left w:val="nil"/>
              <w:bottom w:val="single" w:sz="6" w:space="0" w:color="000000"/>
              <w:right w:val="single" w:sz="6" w:space="0" w:color="999999"/>
            </w:tcBorders>
            <w:tcMar>
              <w:top w:w="0" w:type="dxa"/>
              <w:left w:w="100" w:type="dxa"/>
              <w:bottom w:w="0" w:type="dxa"/>
              <w:right w:w="100" w:type="dxa"/>
            </w:tcMar>
          </w:tcPr>
          <w:p w14:paraId="0C633D90"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În ceea ce privește normele tranzitorii, </w:t>
            </w:r>
            <w:r>
              <w:rPr>
                <w:rFonts w:ascii="Times New Roman" w:eastAsia="Times New Roman" w:hAnsi="Times New Roman" w:cs="Times New Roman"/>
                <w:b/>
                <w:bCs/>
                <w:sz w:val="24"/>
                <w:szCs w:val="24"/>
                <w:highlight w:val="white"/>
              </w:rPr>
              <w:t xml:space="preserve">art. XX </w:t>
            </w:r>
            <w:r>
              <w:rPr>
                <w:rFonts w:ascii="Times New Roman" w:eastAsia="Times New Roman" w:hAnsi="Times New Roman" w:cs="Times New Roman"/>
                <w:sz w:val="24"/>
                <w:szCs w:val="24"/>
                <w:highlight w:val="white"/>
              </w:rPr>
              <w:t xml:space="preserve">alin. (2) prevede că zilele de concediu acumulate și nefolosite până la intrarea în vigoare a legii vor continua să fie acordate și calculate în zile calendaristice până la epuizarea acestora. Din perspectiva aplicării practice a noilor reglementări, se consideră oportună completarea dispozițiilor tranzitorii cu precizări suplimentare privind modalitatea de evidență, calcul și acordare a concediilor aferente perioadelor anterioare și ulterioare intrării în vigoare a legii, inclusiv în raport cu categoriile de personal al căror regim al concediilor este reglementat prin legi speciale. În formă actuală, proiectul nu explică în mod clar modul în care se va asigura aplicarea uniformă și previzibilă a noilor reguli, astfel încât să fie evitate dificultățile de interpretare și aplicare în practică. </w:t>
            </w:r>
          </w:p>
          <w:p w14:paraId="563D87A4"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O clarificare în acest sens ar contribui la asigurarea unei aplicări uniforme a noilor dispoziții și la evitarea unor interpretări diferite în practică, în special în cazul personalului pentru care durata concediului de odihnă a fost stabilită până în prezent în baza unor reguli distincte, inclusiv în funcție de vechimea în serviciu. </w:t>
            </w:r>
          </w:p>
        </w:tc>
        <w:tc>
          <w:tcPr>
            <w:tcW w:w="5880" w:type="dxa"/>
            <w:tcBorders>
              <w:top w:val="nil"/>
              <w:left w:val="nil"/>
              <w:bottom w:val="single" w:sz="6" w:space="0" w:color="000000"/>
              <w:right w:val="single" w:sz="6" w:space="0" w:color="999999"/>
            </w:tcBorders>
            <w:tcMar>
              <w:top w:w="0" w:type="dxa"/>
              <w:left w:w="100" w:type="dxa"/>
              <w:bottom w:w="0" w:type="dxa"/>
              <w:right w:w="100" w:type="dxa"/>
            </w:tcMar>
          </w:tcPr>
          <w:p w14:paraId="11897F9D"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Se acceptă parțial.</w:t>
            </w:r>
            <w:r>
              <w:rPr>
                <w:rFonts w:ascii="Times New Roman" w:eastAsia="Times New Roman" w:hAnsi="Times New Roman" w:cs="Times New Roman"/>
                <w:sz w:val="24"/>
                <w:szCs w:val="24"/>
                <w:highlight w:val="white"/>
              </w:rPr>
              <w:t xml:space="preserve"> A se vedea răspunsul consolidat de la pct. 3 (avizul Cancelariei de Stat).</w:t>
            </w:r>
          </w:p>
        </w:tc>
      </w:tr>
      <w:tr w:rsidR="00315874" w14:paraId="34C0EBCD" w14:textId="77777777">
        <w:trPr>
          <w:trHeight w:val="1185"/>
        </w:trPr>
        <w:tc>
          <w:tcPr>
            <w:tcW w:w="870" w:type="dxa"/>
            <w:tcBorders>
              <w:top w:val="nil"/>
              <w:left w:val="single" w:sz="6" w:space="0" w:color="999999"/>
              <w:bottom w:val="single" w:sz="6" w:space="0" w:color="999999"/>
              <w:right w:val="single" w:sz="6" w:space="0" w:color="999999"/>
            </w:tcBorders>
            <w:tcMar>
              <w:top w:w="0" w:type="dxa"/>
              <w:left w:w="100" w:type="dxa"/>
              <w:bottom w:w="0" w:type="dxa"/>
              <w:right w:w="100" w:type="dxa"/>
            </w:tcMar>
          </w:tcPr>
          <w:p w14:paraId="61E7CD63" w14:textId="77777777" w:rsidR="00315874" w:rsidRDefault="00000000">
            <w:pPr>
              <w:spacing w:line="240" w:lineRule="auto"/>
              <w:jc w:val="center"/>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10.</w:t>
            </w:r>
          </w:p>
        </w:tc>
        <w:tc>
          <w:tcPr>
            <w:tcW w:w="2730" w:type="dxa"/>
            <w:tcBorders>
              <w:top w:val="nil"/>
              <w:left w:val="nil"/>
              <w:bottom w:val="single" w:sz="6" w:space="0" w:color="999999"/>
              <w:right w:val="single" w:sz="6" w:space="0" w:color="999999"/>
            </w:tcBorders>
            <w:tcMar>
              <w:top w:w="0" w:type="dxa"/>
              <w:left w:w="100" w:type="dxa"/>
              <w:bottom w:w="0" w:type="dxa"/>
              <w:right w:w="100" w:type="dxa"/>
            </w:tcMar>
          </w:tcPr>
          <w:p w14:paraId="14BF4129" w14:textId="77777777" w:rsidR="00315874" w:rsidRDefault="00000000">
            <w:pPr>
              <w:spacing w:line="240" w:lineRule="auto"/>
              <w:jc w:val="center"/>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Agenția Navală a Republicii Moldova</w:t>
            </w:r>
          </w:p>
          <w:p w14:paraId="08336E7B" w14:textId="77777777" w:rsidR="00315874" w:rsidRDefault="00000000">
            <w:pPr>
              <w:spacing w:line="240" w:lineRule="auto"/>
              <w:jc w:val="center"/>
              <w:rPr>
                <w:rFonts w:ascii="Times New Roman" w:eastAsia="Times New Roman" w:hAnsi="Times New Roman" w:cs="Times New Roman"/>
                <w:i/>
                <w:iCs/>
                <w:sz w:val="24"/>
                <w:szCs w:val="24"/>
                <w:highlight w:val="white"/>
              </w:rPr>
            </w:pPr>
            <w:r>
              <w:rPr>
                <w:rFonts w:ascii="Times New Roman" w:eastAsia="Times New Roman" w:hAnsi="Times New Roman" w:cs="Times New Roman"/>
                <w:i/>
                <w:iCs/>
                <w:sz w:val="24"/>
                <w:szCs w:val="24"/>
                <w:highlight w:val="white"/>
              </w:rPr>
              <w:t>Nr. Nr. 03 – 258 din 01.07.2026</w:t>
            </w:r>
          </w:p>
        </w:tc>
        <w:tc>
          <w:tcPr>
            <w:tcW w:w="5550" w:type="dxa"/>
            <w:tcBorders>
              <w:top w:val="nil"/>
              <w:left w:val="nil"/>
              <w:bottom w:val="single" w:sz="6" w:space="0" w:color="000000"/>
              <w:right w:val="single" w:sz="6" w:space="0" w:color="999999"/>
            </w:tcBorders>
            <w:tcMar>
              <w:top w:w="0" w:type="dxa"/>
              <w:left w:w="100" w:type="dxa"/>
              <w:bottom w:w="0" w:type="dxa"/>
              <w:right w:w="100" w:type="dxa"/>
            </w:tcMar>
          </w:tcPr>
          <w:p w14:paraId="38221B15"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Lipsă de obiecții și propuneri.</w:t>
            </w:r>
          </w:p>
        </w:tc>
        <w:tc>
          <w:tcPr>
            <w:tcW w:w="5880" w:type="dxa"/>
            <w:tcBorders>
              <w:top w:val="nil"/>
              <w:left w:val="nil"/>
              <w:bottom w:val="single" w:sz="6" w:space="0" w:color="000000"/>
              <w:right w:val="single" w:sz="6" w:space="0" w:color="999999"/>
            </w:tcBorders>
            <w:tcMar>
              <w:top w:w="0" w:type="dxa"/>
              <w:left w:w="100" w:type="dxa"/>
              <w:bottom w:w="0" w:type="dxa"/>
              <w:right w:w="100" w:type="dxa"/>
            </w:tcMar>
          </w:tcPr>
          <w:p w14:paraId="0F75C987"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Se ia act.</w:t>
            </w:r>
          </w:p>
        </w:tc>
      </w:tr>
      <w:tr w:rsidR="00315874" w14:paraId="219A589B" w14:textId="77777777">
        <w:trPr>
          <w:trHeight w:val="1185"/>
        </w:trPr>
        <w:tc>
          <w:tcPr>
            <w:tcW w:w="870" w:type="dxa"/>
            <w:vMerge w:val="restart"/>
            <w:tcBorders>
              <w:top w:val="nil"/>
              <w:left w:val="single" w:sz="6" w:space="0" w:color="999999"/>
              <w:bottom w:val="single" w:sz="6" w:space="0" w:color="999999"/>
              <w:right w:val="single" w:sz="6" w:space="0" w:color="999999"/>
            </w:tcBorders>
            <w:tcMar>
              <w:top w:w="0" w:type="dxa"/>
              <w:left w:w="100" w:type="dxa"/>
              <w:bottom w:w="0" w:type="dxa"/>
              <w:right w:w="100" w:type="dxa"/>
            </w:tcMar>
          </w:tcPr>
          <w:p w14:paraId="6822F44F" w14:textId="77777777" w:rsidR="00315874" w:rsidRDefault="00000000">
            <w:pPr>
              <w:spacing w:line="240" w:lineRule="auto"/>
              <w:jc w:val="center"/>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11.</w:t>
            </w:r>
          </w:p>
        </w:tc>
        <w:tc>
          <w:tcPr>
            <w:tcW w:w="2730" w:type="dxa"/>
            <w:vMerge w:val="restart"/>
            <w:tcBorders>
              <w:top w:val="nil"/>
              <w:left w:val="nil"/>
              <w:bottom w:val="single" w:sz="6" w:space="0" w:color="999999"/>
              <w:right w:val="single" w:sz="6" w:space="0" w:color="999999"/>
            </w:tcBorders>
            <w:tcMar>
              <w:top w:w="0" w:type="dxa"/>
              <w:left w:w="100" w:type="dxa"/>
              <w:bottom w:w="0" w:type="dxa"/>
              <w:right w:w="100" w:type="dxa"/>
            </w:tcMar>
          </w:tcPr>
          <w:p w14:paraId="20035690" w14:textId="77777777" w:rsidR="00315874" w:rsidRDefault="00000000">
            <w:pPr>
              <w:spacing w:line="240" w:lineRule="auto"/>
              <w:jc w:val="center"/>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Utilizator - M V</w:t>
            </w:r>
          </w:p>
          <w:p w14:paraId="3B1CA050" w14:textId="77777777" w:rsidR="00315874" w:rsidRDefault="00000000">
            <w:pPr>
              <w:spacing w:line="240" w:lineRule="auto"/>
              <w:jc w:val="center"/>
              <w:rPr>
                <w:rFonts w:ascii="Times New Roman" w:eastAsia="Times New Roman" w:hAnsi="Times New Roman" w:cs="Times New Roman"/>
                <w:i/>
                <w:iCs/>
                <w:sz w:val="24"/>
                <w:szCs w:val="24"/>
                <w:highlight w:val="white"/>
              </w:rPr>
            </w:pPr>
            <w:r>
              <w:rPr>
                <w:rFonts w:ascii="Times New Roman" w:eastAsia="Times New Roman" w:hAnsi="Times New Roman" w:cs="Times New Roman"/>
                <w:i/>
                <w:iCs/>
                <w:sz w:val="24"/>
                <w:szCs w:val="24"/>
                <w:highlight w:val="white"/>
              </w:rPr>
              <w:t>03.07.2026</w:t>
            </w:r>
          </w:p>
          <w:p w14:paraId="543EFA46" w14:textId="77777777" w:rsidR="00315874" w:rsidRDefault="00315874">
            <w:pPr>
              <w:spacing w:line="240" w:lineRule="auto"/>
              <w:jc w:val="center"/>
              <w:rPr>
                <w:rFonts w:ascii="Times New Roman" w:eastAsia="Times New Roman" w:hAnsi="Times New Roman" w:cs="Times New Roman"/>
                <w:sz w:val="24"/>
                <w:szCs w:val="24"/>
                <w:highlight w:val="white"/>
              </w:rPr>
            </w:pPr>
          </w:p>
        </w:tc>
        <w:tc>
          <w:tcPr>
            <w:tcW w:w="5550" w:type="dxa"/>
            <w:tcBorders>
              <w:top w:val="nil"/>
              <w:left w:val="nil"/>
              <w:bottom w:val="single" w:sz="6" w:space="0" w:color="000000"/>
              <w:right w:val="single" w:sz="6" w:space="0" w:color="999999"/>
            </w:tcBorders>
            <w:tcMar>
              <w:top w:w="0" w:type="dxa"/>
              <w:left w:w="100" w:type="dxa"/>
              <w:bottom w:w="0" w:type="dxa"/>
              <w:right w:w="100" w:type="dxa"/>
            </w:tcMar>
          </w:tcPr>
          <w:p w14:paraId="0F1427C6"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Cu referire la concediile suplimentare pentru vechime în muncă</w:t>
            </w:r>
            <w:r>
              <w:rPr>
                <w:rFonts w:ascii="Times New Roman" w:eastAsia="Times New Roman" w:hAnsi="Times New Roman" w:cs="Times New Roman"/>
                <w:b/>
                <w:bCs/>
                <w:sz w:val="24"/>
                <w:szCs w:val="24"/>
                <w:highlight w:val="white"/>
              </w:rPr>
              <w:t xml:space="preserve"> Legea nr. 302/2017 cu privire la Serviciul Vamal</w:t>
            </w:r>
          </w:p>
          <w:p w14:paraId="13469054"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1.</w:t>
            </w:r>
            <w:r>
              <w:rPr>
                <w:rFonts w:ascii="Times New Roman" w:eastAsia="Times New Roman" w:hAnsi="Times New Roman" w:cs="Times New Roman"/>
                <w:sz w:val="14"/>
                <w:szCs w:val="14"/>
                <w:highlight w:val="white"/>
              </w:rPr>
              <w:t xml:space="preserve">  </w:t>
            </w:r>
            <w:r>
              <w:rPr>
                <w:rFonts w:ascii="Times New Roman" w:eastAsia="Times New Roman" w:hAnsi="Times New Roman" w:cs="Times New Roman"/>
                <w:sz w:val="24"/>
                <w:szCs w:val="24"/>
                <w:highlight w:val="white"/>
              </w:rPr>
              <w:t>Treptele concediilor suplimentare deja acumulate pe parcursul carierei se vor păstra?</w:t>
            </w:r>
          </w:p>
          <w:p w14:paraId="151B9F3D"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spre exemplu funcționarul vamal are vechime de 10 ani + ,ulterior intrării în vigoare a legii va beneficia de 32 zile lucrătoare echivalentul a 40 zile calendaristice sau acesta va beneficia doar de 28 zile?</w:t>
            </w:r>
          </w:p>
        </w:tc>
        <w:tc>
          <w:tcPr>
            <w:tcW w:w="5880" w:type="dxa"/>
            <w:tcBorders>
              <w:top w:val="nil"/>
              <w:left w:val="nil"/>
              <w:bottom w:val="single" w:sz="6" w:space="0" w:color="000000"/>
              <w:right w:val="single" w:sz="6" w:space="0" w:color="999999"/>
            </w:tcBorders>
            <w:tcMar>
              <w:top w:w="0" w:type="dxa"/>
              <w:left w:w="100" w:type="dxa"/>
              <w:bottom w:w="0" w:type="dxa"/>
              <w:right w:w="100" w:type="dxa"/>
            </w:tcMar>
          </w:tcPr>
          <w:p w14:paraId="5FB8ADE4"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Nu se acceptă</w:t>
            </w:r>
            <w:r>
              <w:rPr>
                <w:rFonts w:ascii="Times New Roman" w:eastAsia="Times New Roman" w:hAnsi="Times New Roman" w:cs="Times New Roman"/>
                <w:sz w:val="24"/>
                <w:szCs w:val="24"/>
                <w:highlight w:val="white"/>
              </w:rPr>
              <w:t xml:space="preserve"> menținerea treptelor de concediu suplimentar pentru vechime la Serviciul Vamal, pentru considerentele expuse la pct. 8 (Ministerul Justiției) și pct. 13 (Ministerul Afacerilor Interne), aplicabile mutatis mutandis.</w:t>
            </w:r>
          </w:p>
          <w:p w14:paraId="4AF3EFA6"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Cu privire la întrebarea concretă formulată: de la data intrării în vigoare a legii, durata concediului anual pentru funcționarii vamali va fi de 28 de zile lucrătoare pentru toate treptele de vechime, indiferent de vechimea acumulată anterior; treptele suplimentare acumulate în trecut nu se convertesc și nu se păstrează ca drept distinct pentru viitor, întrucât mecanismul care le genera este abrogat.</w:t>
            </w:r>
          </w:p>
          <w:p w14:paraId="0B3D9BC2"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558D1CE5" w14:textId="77777777" w:rsidR="00315874" w:rsidRDefault="00315874">
            <w:pPr>
              <w:shd w:val="clear" w:color="auto" w:fill="FFFFFF"/>
              <w:jc w:val="both"/>
              <w:rPr>
                <w:rFonts w:ascii="Times New Roman" w:eastAsia="Times New Roman" w:hAnsi="Times New Roman" w:cs="Times New Roman"/>
                <w:sz w:val="24"/>
                <w:szCs w:val="24"/>
                <w:highlight w:val="white"/>
              </w:rPr>
            </w:pPr>
          </w:p>
        </w:tc>
      </w:tr>
      <w:tr w:rsidR="00315874" w14:paraId="48AC0441" w14:textId="77777777">
        <w:trPr>
          <w:trHeight w:val="1185"/>
        </w:trPr>
        <w:tc>
          <w:tcPr>
            <w:tcW w:w="870" w:type="dxa"/>
            <w:vMerge/>
            <w:tcBorders>
              <w:top w:val="nil"/>
              <w:left w:val="single" w:sz="6" w:space="0" w:color="999999"/>
              <w:bottom w:val="single" w:sz="6" w:space="0" w:color="999999"/>
              <w:right w:val="single" w:sz="6" w:space="0" w:color="999999"/>
            </w:tcBorders>
            <w:tcMar>
              <w:top w:w="0" w:type="dxa"/>
              <w:left w:w="100" w:type="dxa"/>
              <w:bottom w:w="0" w:type="dxa"/>
              <w:right w:w="100" w:type="dxa"/>
            </w:tcMar>
          </w:tcPr>
          <w:p w14:paraId="3945FCDD" w14:textId="77777777" w:rsidR="00315874" w:rsidRDefault="00315874">
            <w:pPr>
              <w:spacing w:line="240" w:lineRule="auto"/>
              <w:jc w:val="center"/>
              <w:rPr>
                <w:rFonts w:ascii="Times New Roman" w:eastAsia="Times New Roman" w:hAnsi="Times New Roman" w:cs="Times New Roman"/>
                <w:b/>
                <w:bCs/>
                <w:sz w:val="24"/>
                <w:szCs w:val="24"/>
                <w:highlight w:val="white"/>
              </w:rPr>
            </w:pPr>
          </w:p>
        </w:tc>
        <w:tc>
          <w:tcPr>
            <w:tcW w:w="2730" w:type="dxa"/>
            <w:vMerge/>
            <w:tcBorders>
              <w:top w:val="nil"/>
              <w:left w:val="nil"/>
              <w:bottom w:val="single" w:sz="6" w:space="0" w:color="999999"/>
              <w:right w:val="single" w:sz="6" w:space="0" w:color="999999"/>
            </w:tcBorders>
            <w:tcMar>
              <w:top w:w="0" w:type="dxa"/>
              <w:left w:w="100" w:type="dxa"/>
              <w:bottom w:w="0" w:type="dxa"/>
              <w:right w:w="100" w:type="dxa"/>
            </w:tcMar>
          </w:tcPr>
          <w:p w14:paraId="4D0279DC" w14:textId="77777777" w:rsidR="00315874" w:rsidRDefault="00315874">
            <w:pPr>
              <w:spacing w:line="240" w:lineRule="auto"/>
              <w:jc w:val="center"/>
              <w:rPr>
                <w:rFonts w:ascii="Times New Roman" w:eastAsia="Times New Roman" w:hAnsi="Times New Roman" w:cs="Times New Roman"/>
                <w:sz w:val="24"/>
                <w:szCs w:val="24"/>
                <w:highlight w:val="white"/>
              </w:rPr>
            </w:pPr>
          </w:p>
        </w:tc>
        <w:tc>
          <w:tcPr>
            <w:tcW w:w="5550" w:type="dxa"/>
            <w:tcBorders>
              <w:top w:val="nil"/>
              <w:left w:val="nil"/>
              <w:bottom w:val="single" w:sz="6" w:space="0" w:color="000000"/>
              <w:right w:val="single" w:sz="6" w:space="0" w:color="999999"/>
            </w:tcBorders>
            <w:tcMar>
              <w:top w:w="0" w:type="dxa"/>
              <w:left w:w="100" w:type="dxa"/>
              <w:bottom w:w="0" w:type="dxa"/>
              <w:right w:w="100" w:type="dxa"/>
            </w:tcMar>
          </w:tcPr>
          <w:p w14:paraId="7309C303"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Dacă nu se vor păstra aceste trepte deja accumulate se propune includerea în proiect la dispoziții finale și tranzitorii un alineat nou cu următorul conținut:</w:t>
            </w:r>
          </w:p>
          <w:p w14:paraId="588B3EFA" w14:textId="77777777" w:rsidR="00315874" w:rsidRDefault="00000000">
            <w:pPr>
              <w:ind w:left="720"/>
              <w:jc w:val="both"/>
              <w:rPr>
                <w:rFonts w:ascii="Times New Roman" w:eastAsia="Times New Roman" w:hAnsi="Times New Roman" w:cs="Times New Roman"/>
                <w:i/>
                <w:iCs/>
                <w:sz w:val="24"/>
                <w:szCs w:val="24"/>
                <w:highlight w:val="white"/>
              </w:rPr>
            </w:pPr>
            <w:r>
              <w:rPr>
                <w:rFonts w:ascii="Times New Roman" w:eastAsia="Times New Roman" w:hAnsi="Times New Roman" w:cs="Times New Roman"/>
                <w:i/>
                <w:iCs/>
                <w:sz w:val="24"/>
                <w:szCs w:val="24"/>
                <w:highlight w:val="white"/>
              </w:rPr>
              <w:t xml:space="preserve"> </w:t>
            </w:r>
          </w:p>
          <w:p w14:paraId="70FBE472" w14:textId="77777777" w:rsidR="00315874" w:rsidRDefault="00000000">
            <w:pPr>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 xml:space="preserve">  Art. [X]</w:t>
            </w:r>
          </w:p>
          <w:p w14:paraId="0A77CB46"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  (1)</w:t>
            </w:r>
            <w:r>
              <w:rPr>
                <w:rFonts w:ascii="Times New Roman" w:eastAsia="Times New Roman" w:hAnsi="Times New Roman" w:cs="Times New Roman"/>
                <w:sz w:val="24"/>
                <w:szCs w:val="24"/>
                <w:highlight w:val="white"/>
              </w:rPr>
              <w:t xml:space="preserve"> Prin derogare de la noile reguli de calcul stabilite în zile lucrătoare, salariații cu statut special din cadrul Serviciului Vamal care, la data intrării în vigoare a prezentei legi sau pe parcursul perioadei tranzitorii 2027–2029, dețin sau ating vechimea în muncă ce le oferea dreptul la concediu suplimentar conform prevederilor anterioare ale Art. 41 din Legea nr. 302/2017 cu privire la Serviciul Vamal, beneficiază de </w:t>
            </w:r>
            <w:r>
              <w:rPr>
                <w:rFonts w:ascii="Times New Roman" w:eastAsia="Times New Roman" w:hAnsi="Times New Roman" w:cs="Times New Roman"/>
                <w:sz w:val="24"/>
                <w:szCs w:val="24"/>
                <w:highlight w:val="white"/>
              </w:rPr>
              <w:lastRenderedPageBreak/>
              <w:t>garantarea și conservarea acestor drepturi prin acordarea unui coeficient compensatoriu obligatoriu.</w:t>
            </w:r>
          </w:p>
          <w:p w14:paraId="30BDF899"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  (2)</w:t>
            </w:r>
            <w:r>
              <w:rPr>
                <w:rFonts w:ascii="Times New Roman" w:eastAsia="Times New Roman" w:hAnsi="Times New Roman" w:cs="Times New Roman"/>
                <w:sz w:val="24"/>
                <w:szCs w:val="24"/>
                <w:highlight w:val="white"/>
              </w:rPr>
              <w:t xml:space="preserve"> Coeficientul compensatoriu menționat la alin. (1) se acordă sub formă de zile lucrătoare suplimentare adăugate la concediul de bază de 28 de zile lucrătoare, după cum urmează:</w:t>
            </w:r>
          </w:p>
          <w:p w14:paraId="02F6D9F5" w14:textId="77777777" w:rsidR="00315874" w:rsidRDefault="00000000">
            <w:pPr>
              <w:ind w:left="360"/>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a)</w:t>
            </w:r>
            <w:r>
              <w:rPr>
                <w:rFonts w:ascii="Times New Roman" w:eastAsia="Times New Roman" w:hAnsi="Times New Roman" w:cs="Times New Roman"/>
                <w:sz w:val="24"/>
                <w:szCs w:val="24"/>
                <w:highlight w:val="white"/>
              </w:rPr>
              <w:t xml:space="preserve"> pentru o vechime în muncă de peste 10 ani: </w:t>
            </w:r>
            <w:r>
              <w:rPr>
                <w:rFonts w:ascii="Times New Roman" w:eastAsia="Times New Roman" w:hAnsi="Times New Roman" w:cs="Times New Roman"/>
                <w:b/>
                <w:bCs/>
                <w:sz w:val="24"/>
                <w:szCs w:val="24"/>
                <w:highlight w:val="white"/>
              </w:rPr>
              <w:t>+3 zile lucrătoare</w:t>
            </w:r>
            <w:r>
              <w:rPr>
                <w:rFonts w:ascii="Times New Roman" w:eastAsia="Times New Roman" w:hAnsi="Times New Roman" w:cs="Times New Roman"/>
                <w:sz w:val="24"/>
                <w:szCs w:val="24"/>
                <w:highlight w:val="white"/>
              </w:rPr>
              <w:t xml:space="preserve"> suplimentare;</w:t>
            </w:r>
          </w:p>
          <w:p w14:paraId="53142D59" w14:textId="77777777" w:rsidR="00315874" w:rsidRDefault="00000000">
            <w:pPr>
              <w:ind w:left="360"/>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b)</w:t>
            </w:r>
            <w:r>
              <w:rPr>
                <w:rFonts w:ascii="Times New Roman" w:eastAsia="Times New Roman" w:hAnsi="Times New Roman" w:cs="Times New Roman"/>
                <w:sz w:val="24"/>
                <w:szCs w:val="24"/>
                <w:highlight w:val="white"/>
              </w:rPr>
              <w:t xml:space="preserve"> pentru o vechime în muncă de peste 15 ani: </w:t>
            </w:r>
            <w:r>
              <w:rPr>
                <w:rFonts w:ascii="Times New Roman" w:eastAsia="Times New Roman" w:hAnsi="Times New Roman" w:cs="Times New Roman"/>
                <w:b/>
                <w:bCs/>
                <w:sz w:val="24"/>
                <w:szCs w:val="24"/>
                <w:highlight w:val="white"/>
              </w:rPr>
              <w:t>+7 zile lucrătoare</w:t>
            </w:r>
            <w:r>
              <w:rPr>
                <w:rFonts w:ascii="Times New Roman" w:eastAsia="Times New Roman" w:hAnsi="Times New Roman" w:cs="Times New Roman"/>
                <w:sz w:val="24"/>
                <w:szCs w:val="24"/>
                <w:highlight w:val="white"/>
              </w:rPr>
              <w:t xml:space="preserve"> suplimentare;</w:t>
            </w:r>
          </w:p>
          <w:p w14:paraId="481C82A8" w14:textId="77777777" w:rsidR="00315874" w:rsidRDefault="00000000">
            <w:pPr>
              <w:ind w:left="360"/>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c)</w:t>
            </w:r>
            <w:r>
              <w:rPr>
                <w:rFonts w:ascii="Times New Roman" w:eastAsia="Times New Roman" w:hAnsi="Times New Roman" w:cs="Times New Roman"/>
                <w:sz w:val="24"/>
                <w:szCs w:val="24"/>
                <w:highlight w:val="white"/>
              </w:rPr>
              <w:t xml:space="preserve"> pentru o vechime în muncă de peste 20 de ani: </w:t>
            </w:r>
            <w:r>
              <w:rPr>
                <w:rFonts w:ascii="Times New Roman" w:eastAsia="Times New Roman" w:hAnsi="Times New Roman" w:cs="Times New Roman"/>
                <w:b/>
                <w:bCs/>
                <w:sz w:val="24"/>
                <w:szCs w:val="24"/>
                <w:highlight w:val="white"/>
              </w:rPr>
              <w:t>+11 zile lucrătoare</w:t>
            </w:r>
            <w:r>
              <w:rPr>
                <w:rFonts w:ascii="Times New Roman" w:eastAsia="Times New Roman" w:hAnsi="Times New Roman" w:cs="Times New Roman"/>
                <w:sz w:val="24"/>
                <w:szCs w:val="24"/>
                <w:highlight w:val="white"/>
              </w:rPr>
              <w:t xml:space="preserve"> suplimentare.</w:t>
            </w:r>
          </w:p>
          <w:p w14:paraId="08CD30EA"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(3)</w:t>
            </w:r>
            <w:r>
              <w:rPr>
                <w:rFonts w:ascii="Times New Roman" w:eastAsia="Times New Roman" w:hAnsi="Times New Roman" w:cs="Times New Roman"/>
                <w:sz w:val="24"/>
                <w:szCs w:val="24"/>
                <w:highlight w:val="white"/>
              </w:rPr>
              <w:t xml:space="preserve"> Drepturile compensatorii stabilite la alin. (2) sunt considerate drepturi personale câștigate și nu pot fi diminuate sau anulate pe toată durata raporturilor de serviciu ale funcționarului în cadrul Serviciului Vamal.</w:t>
            </w:r>
          </w:p>
        </w:tc>
        <w:tc>
          <w:tcPr>
            <w:tcW w:w="5880" w:type="dxa"/>
            <w:tcBorders>
              <w:top w:val="nil"/>
              <w:left w:val="nil"/>
              <w:bottom w:val="single" w:sz="6" w:space="0" w:color="000000"/>
              <w:right w:val="single" w:sz="6" w:space="0" w:color="999999"/>
            </w:tcBorders>
            <w:tcMar>
              <w:top w:w="0" w:type="dxa"/>
              <w:left w:w="100" w:type="dxa"/>
              <w:bottom w:w="0" w:type="dxa"/>
              <w:right w:w="100" w:type="dxa"/>
            </w:tcMar>
          </w:tcPr>
          <w:p w14:paraId="42DA383B"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lastRenderedPageBreak/>
              <w:t>Nu se acceptă</w:t>
            </w:r>
            <w:r>
              <w:rPr>
                <w:rFonts w:ascii="Times New Roman" w:eastAsia="Times New Roman" w:hAnsi="Times New Roman" w:cs="Times New Roman"/>
                <w:sz w:val="24"/>
                <w:szCs w:val="24"/>
                <w:highlight w:val="white"/>
              </w:rPr>
              <w:t xml:space="preserve"> introducerea unei perioade tranzitorii 2027–2029 de recunoaștere continuă a treptelor pentru viitor. Zilele de concediu suplimentar pentru vechime deja acumulate și neutilizate la data intrării în vigoare a legii rămân protejate și se acordă potrivit dispozițiilor tranzitorii (Art. XX alin. (2)), calculate în zile calendaristice, până la epuizarea soldului restant.</w:t>
            </w:r>
          </w:p>
        </w:tc>
      </w:tr>
      <w:tr w:rsidR="00315874" w14:paraId="41791D9F" w14:textId="77777777">
        <w:tc>
          <w:tcPr>
            <w:tcW w:w="870" w:type="dxa"/>
            <w:vMerge w:val="restart"/>
            <w:tcBorders>
              <w:top w:val="nil"/>
              <w:left w:val="single" w:sz="6" w:space="0" w:color="999999"/>
              <w:bottom w:val="single" w:sz="6" w:space="0" w:color="999999"/>
              <w:right w:val="single" w:sz="6" w:space="0" w:color="999999"/>
            </w:tcBorders>
            <w:tcMar>
              <w:top w:w="0" w:type="dxa"/>
              <w:left w:w="100" w:type="dxa"/>
              <w:bottom w:w="0" w:type="dxa"/>
              <w:right w:w="100" w:type="dxa"/>
            </w:tcMar>
          </w:tcPr>
          <w:p w14:paraId="0A2BFCC5" w14:textId="77777777" w:rsidR="00315874" w:rsidRDefault="00000000">
            <w:pPr>
              <w:spacing w:line="240" w:lineRule="auto"/>
              <w:jc w:val="center"/>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12.</w:t>
            </w:r>
          </w:p>
        </w:tc>
        <w:tc>
          <w:tcPr>
            <w:tcW w:w="2730" w:type="dxa"/>
            <w:vMerge w:val="restart"/>
            <w:tcBorders>
              <w:top w:val="nil"/>
              <w:left w:val="nil"/>
              <w:bottom w:val="single" w:sz="6" w:space="0" w:color="999999"/>
              <w:right w:val="single" w:sz="6" w:space="0" w:color="999999"/>
            </w:tcBorders>
            <w:tcMar>
              <w:top w:w="0" w:type="dxa"/>
              <w:left w:w="100" w:type="dxa"/>
              <w:bottom w:w="0" w:type="dxa"/>
              <w:right w:w="100" w:type="dxa"/>
            </w:tcMar>
          </w:tcPr>
          <w:p w14:paraId="548CCC29" w14:textId="77777777" w:rsidR="00315874" w:rsidRDefault="00000000">
            <w:pPr>
              <w:spacing w:line="240" w:lineRule="auto"/>
              <w:jc w:val="center"/>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Asociația Businessului European (EBA)</w:t>
            </w:r>
          </w:p>
          <w:p w14:paraId="38811C62" w14:textId="77777777" w:rsidR="00315874" w:rsidRDefault="00000000">
            <w:pPr>
              <w:spacing w:line="240" w:lineRule="auto"/>
              <w:jc w:val="center"/>
              <w:rPr>
                <w:rFonts w:ascii="Times New Roman" w:eastAsia="Times New Roman" w:hAnsi="Times New Roman" w:cs="Times New Roman"/>
                <w:i/>
                <w:iCs/>
                <w:sz w:val="24"/>
                <w:szCs w:val="24"/>
                <w:highlight w:val="white"/>
              </w:rPr>
            </w:pPr>
            <w:r>
              <w:rPr>
                <w:rFonts w:ascii="Times New Roman" w:eastAsia="Times New Roman" w:hAnsi="Times New Roman" w:cs="Times New Roman"/>
                <w:i/>
                <w:iCs/>
                <w:sz w:val="24"/>
                <w:szCs w:val="24"/>
                <w:highlight w:val="white"/>
              </w:rPr>
              <w:t>(Nr. 70-26/SD din 06 iulie 2026)</w:t>
            </w:r>
          </w:p>
          <w:p w14:paraId="4C2AAD20" w14:textId="77777777" w:rsidR="00315874" w:rsidRDefault="00315874">
            <w:pPr>
              <w:spacing w:line="240" w:lineRule="auto"/>
              <w:jc w:val="center"/>
              <w:rPr>
                <w:rFonts w:ascii="Times New Roman" w:eastAsia="Times New Roman" w:hAnsi="Times New Roman" w:cs="Times New Roman"/>
                <w:b/>
                <w:bCs/>
                <w:sz w:val="24"/>
                <w:szCs w:val="24"/>
                <w:highlight w:val="white"/>
              </w:rPr>
            </w:pPr>
          </w:p>
        </w:tc>
        <w:tc>
          <w:tcPr>
            <w:tcW w:w="5550" w:type="dxa"/>
            <w:tcBorders>
              <w:top w:val="nil"/>
              <w:left w:val="nil"/>
              <w:bottom w:val="single" w:sz="6" w:space="0" w:color="000000"/>
              <w:right w:val="single" w:sz="6" w:space="0" w:color="999999"/>
            </w:tcBorders>
            <w:tcMar>
              <w:top w:w="0" w:type="dxa"/>
              <w:left w:w="100" w:type="dxa"/>
              <w:bottom w:w="0" w:type="dxa"/>
              <w:right w:w="100" w:type="dxa"/>
            </w:tcMar>
          </w:tcPr>
          <w:p w14:paraId="1C407015"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Salută inițiativa de modernizare a regimului concediilor de odihnă și de trecere de la exprimarea acestora de la zile calendaristice la zile lucrătoare.  Considerăm că o asemenea reformă poate contribui la asigurarea unui repaus uniform/egal pentru salariați, la diminuarea neclarităților de aplicare și la apropierea</w:t>
            </w:r>
          </w:p>
          <w:p w14:paraId="6F1885BB"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cadrului național de practicile europene.</w:t>
            </w:r>
          </w:p>
          <w:p w14:paraId="1ACF484D"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Totodată, în urma consultărilor cu membrii EBA, au fost identificate mai multe aspecte care necesită ajustare sau clarificare, pentru ca noul mecanism să fie predictibil, aplicabil în practică și să nu genereze </w:t>
            </w:r>
            <w:r>
              <w:rPr>
                <w:rFonts w:ascii="Times New Roman" w:eastAsia="Times New Roman" w:hAnsi="Times New Roman" w:cs="Times New Roman"/>
                <w:sz w:val="24"/>
                <w:szCs w:val="24"/>
                <w:highlight w:val="white"/>
              </w:rPr>
              <w:lastRenderedPageBreak/>
              <w:t>extinderea neintenționată a obligațiilor financiare și administrative ale angajatorilor.</w:t>
            </w:r>
          </w:p>
          <w:p w14:paraId="1D158512"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Menționăm că simpla trecere de la exprimarea concediului în zile calendaristice la zile lucrătoare nu este suficientă pentru a asigura aplicarea uniformă și echitabilă a noului mecanism. O asemenea reformă trebuie să răspundă expres la două întrebări esențiale: ce reprezintă </w:t>
            </w:r>
            <w:r>
              <w:rPr>
                <w:rFonts w:ascii="Times New Roman" w:eastAsia="Times New Roman" w:hAnsi="Times New Roman" w:cs="Times New Roman"/>
                <w:i/>
                <w:iCs/>
                <w:sz w:val="24"/>
                <w:szCs w:val="24"/>
                <w:highlight w:val="white"/>
              </w:rPr>
              <w:t>„ziua lucrătoare”</w:t>
            </w:r>
            <w:r>
              <w:rPr>
                <w:rFonts w:ascii="Times New Roman" w:eastAsia="Times New Roman" w:hAnsi="Times New Roman" w:cs="Times New Roman"/>
                <w:sz w:val="24"/>
                <w:szCs w:val="24"/>
                <w:highlight w:val="white"/>
              </w:rPr>
              <w:t xml:space="preserve"> în contextul acordării concediului și cum se corelează durata minimă garantată a concediului cu regimurile de muncă diferite de programul clasic de cinci zile lucrătoare pe săptămână.ali</w:t>
            </w:r>
          </w:p>
          <w:p w14:paraId="5D9EC7DF"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În forma actuală, proiectul nu definește noțiunile de </w:t>
            </w:r>
            <w:r>
              <w:rPr>
                <w:rFonts w:ascii="Times New Roman" w:eastAsia="Times New Roman" w:hAnsi="Times New Roman" w:cs="Times New Roman"/>
                <w:i/>
                <w:iCs/>
                <w:sz w:val="24"/>
                <w:szCs w:val="24"/>
                <w:highlight w:val="white"/>
              </w:rPr>
              <w:t xml:space="preserve">„zi lucrătoare” </w:t>
            </w:r>
            <w:r>
              <w:rPr>
                <w:rFonts w:ascii="Times New Roman" w:eastAsia="Times New Roman" w:hAnsi="Times New Roman" w:cs="Times New Roman"/>
                <w:sz w:val="24"/>
                <w:szCs w:val="24"/>
                <w:highlight w:val="white"/>
              </w:rPr>
              <w:t xml:space="preserve">și </w:t>
            </w:r>
            <w:r>
              <w:rPr>
                <w:rFonts w:ascii="Times New Roman" w:eastAsia="Times New Roman" w:hAnsi="Times New Roman" w:cs="Times New Roman"/>
                <w:i/>
                <w:iCs/>
                <w:sz w:val="24"/>
                <w:szCs w:val="24"/>
                <w:highlight w:val="white"/>
              </w:rPr>
              <w:t>„săptămână lucrătoare”</w:t>
            </w:r>
            <w:r>
              <w:rPr>
                <w:rFonts w:ascii="Times New Roman" w:eastAsia="Times New Roman" w:hAnsi="Times New Roman" w:cs="Times New Roman"/>
                <w:sz w:val="24"/>
                <w:szCs w:val="24"/>
                <w:highlight w:val="white"/>
              </w:rPr>
              <w:t xml:space="preserve"> în materia concediilor și nu instituie reguli suficiente pentru salariații care activează în ture, în regim de evidență sumară, cu timp parțial, cu program individual sau variabil, cu săptămână de muncă redusă ori de șase zile. În lipsa unor asemenea clarificări, aplicarea noilor reguli poate genera practici neuniforme, dificultăți de administrare, litigii de muncă și tratamente inegale între salariații aflați în situații comparabile.</w:t>
            </w:r>
          </w:p>
          <w:p w14:paraId="2F66A907"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Considerăm că, în cazul în care </w:t>
            </w:r>
            <w:r>
              <w:rPr>
                <w:rFonts w:ascii="Times New Roman" w:eastAsia="Times New Roman" w:hAnsi="Times New Roman" w:cs="Times New Roman"/>
                <w:i/>
                <w:iCs/>
                <w:sz w:val="24"/>
                <w:szCs w:val="24"/>
                <w:highlight w:val="white"/>
              </w:rPr>
              <w:t>„ziua lucrătoare”</w:t>
            </w:r>
            <w:r>
              <w:rPr>
                <w:rFonts w:ascii="Times New Roman" w:eastAsia="Times New Roman" w:hAnsi="Times New Roman" w:cs="Times New Roman"/>
                <w:sz w:val="24"/>
                <w:szCs w:val="24"/>
                <w:highlight w:val="white"/>
              </w:rPr>
              <w:t xml:space="preserve"> este raportată la ziua în care salariatul concret prestează sau ar fi trebuit să presteze muncă potrivit programului său individual, este necesară instituirea unui mecanism expres de ajustare proporțională a duratei concediului. În lipsa acestuia, aceeași durată nominală a concediului </w:t>
            </w:r>
            <w:r>
              <w:rPr>
                <w:rFonts w:ascii="Times New Roman" w:eastAsia="Times New Roman" w:hAnsi="Times New Roman" w:cs="Times New Roman"/>
                <w:sz w:val="24"/>
                <w:szCs w:val="24"/>
                <w:highlight w:val="white"/>
              </w:rPr>
              <w:lastRenderedPageBreak/>
              <w:t>poate conduce, în funcție de repartizarea timpului de muncă, fie la perioade excesiv de lungi de absență, fie</w:t>
            </w:r>
          </w:p>
          <w:p w14:paraId="106F446B"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la perioade efective de repaus sub nivelul minim echivalent pentru alte categorii de salariați.</w:t>
            </w:r>
          </w:p>
        </w:tc>
        <w:tc>
          <w:tcPr>
            <w:tcW w:w="5880" w:type="dxa"/>
            <w:tcBorders>
              <w:top w:val="nil"/>
              <w:left w:val="nil"/>
              <w:bottom w:val="single" w:sz="6" w:space="0" w:color="000000"/>
              <w:right w:val="single" w:sz="6" w:space="0" w:color="999999"/>
            </w:tcBorders>
            <w:tcMar>
              <w:top w:w="0" w:type="dxa"/>
              <w:left w:w="100" w:type="dxa"/>
              <w:bottom w:w="0" w:type="dxa"/>
              <w:right w:w="100" w:type="dxa"/>
            </w:tcMar>
          </w:tcPr>
          <w:p w14:paraId="17A06C4E"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Se acceptă parțial.</w:t>
            </w:r>
          </w:p>
          <w:p w14:paraId="00679EFE"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Se propune completarea Codului muncii la art. 113 cu următoarea normă: (1/2) Salariații cu durată redusă a timpului de muncă beneficiază de concediu de odihnă anual cu o durată de cel puțin 22 de zile lucrătoare, exceptând zilele de sărbătoare nelucrătoare. Zilele de repaus stabilite conform programului de muncă pentru salariații care lucrează în ture sau schimburi nu vor fi incluse în concediul de odihnă anual.”</w:t>
            </w:r>
          </w:p>
          <w:p w14:paraId="224B21A9"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 se vedea și explicații suplimentare în acest sens în Nota de fundamentare.</w:t>
            </w:r>
          </w:p>
          <w:p w14:paraId="37570A64"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213676D2" w14:textId="77777777" w:rsidR="00315874" w:rsidRDefault="00315874">
            <w:pPr>
              <w:shd w:val="clear" w:color="auto" w:fill="FFFFFF"/>
              <w:jc w:val="both"/>
              <w:rPr>
                <w:rFonts w:ascii="Times New Roman" w:eastAsia="Times New Roman" w:hAnsi="Times New Roman" w:cs="Times New Roman"/>
                <w:sz w:val="24"/>
                <w:szCs w:val="24"/>
                <w:highlight w:val="white"/>
              </w:rPr>
            </w:pPr>
          </w:p>
        </w:tc>
      </w:tr>
      <w:tr w:rsidR="00315874" w14:paraId="63D93C28" w14:textId="77777777">
        <w:tc>
          <w:tcPr>
            <w:tcW w:w="870" w:type="dxa"/>
            <w:vMerge/>
            <w:tcBorders>
              <w:top w:val="nil"/>
              <w:left w:val="single" w:sz="6" w:space="0" w:color="999999"/>
              <w:bottom w:val="single" w:sz="6" w:space="0" w:color="999999"/>
              <w:right w:val="single" w:sz="6" w:space="0" w:color="999999"/>
            </w:tcBorders>
            <w:tcMar>
              <w:top w:w="0" w:type="dxa"/>
              <w:left w:w="100" w:type="dxa"/>
              <w:bottom w:w="0" w:type="dxa"/>
              <w:right w:w="100" w:type="dxa"/>
            </w:tcMar>
          </w:tcPr>
          <w:p w14:paraId="5E72339A" w14:textId="77777777" w:rsidR="00315874" w:rsidRDefault="00315874">
            <w:pPr>
              <w:spacing w:line="240" w:lineRule="auto"/>
              <w:jc w:val="center"/>
              <w:rPr>
                <w:rFonts w:ascii="Times New Roman" w:eastAsia="Times New Roman" w:hAnsi="Times New Roman" w:cs="Times New Roman"/>
                <w:b/>
                <w:bCs/>
                <w:sz w:val="24"/>
                <w:szCs w:val="24"/>
                <w:highlight w:val="white"/>
              </w:rPr>
            </w:pPr>
          </w:p>
        </w:tc>
        <w:tc>
          <w:tcPr>
            <w:tcW w:w="2730" w:type="dxa"/>
            <w:vMerge/>
            <w:tcBorders>
              <w:top w:val="nil"/>
              <w:left w:val="nil"/>
              <w:bottom w:val="single" w:sz="6" w:space="0" w:color="999999"/>
              <w:right w:val="single" w:sz="6" w:space="0" w:color="999999"/>
            </w:tcBorders>
            <w:tcMar>
              <w:top w:w="0" w:type="dxa"/>
              <w:left w:w="100" w:type="dxa"/>
              <w:bottom w:w="0" w:type="dxa"/>
              <w:right w:w="100" w:type="dxa"/>
            </w:tcMar>
          </w:tcPr>
          <w:p w14:paraId="5E3288CA" w14:textId="77777777" w:rsidR="00315874" w:rsidRDefault="00315874">
            <w:pPr>
              <w:spacing w:line="240" w:lineRule="auto"/>
              <w:jc w:val="center"/>
              <w:rPr>
                <w:rFonts w:ascii="Times New Roman" w:eastAsia="Times New Roman" w:hAnsi="Times New Roman" w:cs="Times New Roman"/>
                <w:sz w:val="24"/>
                <w:szCs w:val="24"/>
                <w:highlight w:val="white"/>
              </w:rPr>
            </w:pPr>
          </w:p>
        </w:tc>
        <w:tc>
          <w:tcPr>
            <w:tcW w:w="5550" w:type="dxa"/>
            <w:tcBorders>
              <w:top w:val="nil"/>
              <w:left w:val="nil"/>
              <w:bottom w:val="single" w:sz="6" w:space="0" w:color="000000"/>
              <w:right w:val="single" w:sz="6" w:space="0" w:color="999999"/>
            </w:tcBorders>
            <w:tcMar>
              <w:top w:w="0" w:type="dxa"/>
              <w:left w:w="100" w:type="dxa"/>
              <w:bottom w:w="0" w:type="dxa"/>
              <w:right w:w="100" w:type="dxa"/>
            </w:tcMar>
          </w:tcPr>
          <w:p w14:paraId="53B69229" w14:textId="77777777" w:rsidR="00315874" w:rsidRDefault="00000000">
            <w:pPr>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 xml:space="preserve">  Revizuirea duratei concediului de odihnă anual plătit</w:t>
            </w:r>
          </w:p>
          <w:p w14:paraId="1E121480"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Reforma menționată propune stabilirea unei durate minime de 22 zile lucrătoare în schimbul celor 28 de zile calendaristice, ceea ce presupune direct majorarea acestuia cu 2 zile adiționale or sub toate calculele 4 săptămânii calendaristice cu 5 zile lucrătoare constituie 20 de zile lucrătoare (fapt similar în peste 2/3 din statele membre UE).</w:t>
            </w:r>
          </w:p>
          <w:p w14:paraId="36A931AA"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Nu putem fi de acord cu argumentarea acestor 22 de zile lucrătoare prin faptul că în unele situații de divizare a concediului în prezent (14 zile + 5 zile + 5 zile + 4 zile) salariatul „poate” efectiv să folosească 34 zile de concediu, din următoarele considerente:</w:t>
            </w:r>
          </w:p>
          <w:p w14:paraId="13E32552"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b/>
                <w:bCs/>
                <w:sz w:val="24"/>
                <w:szCs w:val="24"/>
                <w:highlight w:val="white"/>
              </w:rPr>
              <w:t>a)</w:t>
            </w:r>
            <w:r>
              <w:rPr>
                <w:rFonts w:ascii="Times New Roman" w:eastAsia="Times New Roman" w:hAnsi="Times New Roman" w:cs="Times New Roman"/>
                <w:sz w:val="24"/>
                <w:szCs w:val="24"/>
                <w:highlight w:val="white"/>
              </w:rPr>
              <w:t xml:space="preserve"> conform art. 115 alin. (5) din Codul muncii acordarea concediului se acordă integral</w:t>
            </w:r>
          </w:p>
          <w:p w14:paraId="0C1B771C"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fără a fi divizat și numai în cazul existenței cererii salariatului el poate fi divizat.</w:t>
            </w:r>
          </w:p>
          <w:p w14:paraId="14B5291E" w14:textId="77777777" w:rsidR="00315874" w:rsidRDefault="00000000">
            <w:pPr>
              <w:jc w:val="both"/>
              <w:rPr>
                <w:rFonts w:ascii="Times New Roman" w:eastAsia="Times New Roman" w:hAnsi="Times New Roman" w:cs="Times New Roman"/>
                <w:i/>
                <w:iCs/>
                <w:sz w:val="24"/>
                <w:szCs w:val="24"/>
                <w:highlight w:val="white"/>
              </w:rPr>
            </w:pP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b/>
                <w:bCs/>
                <w:sz w:val="24"/>
                <w:szCs w:val="24"/>
                <w:highlight w:val="white"/>
              </w:rPr>
              <w:t xml:space="preserve"> b)</w:t>
            </w:r>
            <w:r>
              <w:rPr>
                <w:rFonts w:ascii="Times New Roman" w:eastAsia="Times New Roman" w:hAnsi="Times New Roman" w:cs="Times New Roman"/>
                <w:sz w:val="24"/>
                <w:szCs w:val="24"/>
                <w:highlight w:val="white"/>
              </w:rPr>
              <w:t xml:space="preserve"> chiar și în exemplificarea autorilor proiectului, care practic nu este întâlnită în sectorul privat, angajatorului îi revine obligația de achitare a indemnizației de concediu doar pentru 28 de zile. În baza proiectului îi va reveni deja obligația de achitare a indemnizației pentru 30 de zile de absență în baza concediului or nimeni nu a </w:t>
            </w:r>
            <w:r>
              <w:rPr>
                <w:rFonts w:ascii="Times New Roman" w:eastAsia="Times New Roman" w:hAnsi="Times New Roman" w:cs="Times New Roman"/>
                <w:sz w:val="24"/>
                <w:szCs w:val="24"/>
                <w:highlight w:val="white"/>
              </w:rPr>
              <w:lastRenderedPageBreak/>
              <w:t xml:space="preserve">anulat prevederile alin.(1) din art. 117 Codul muncii – </w:t>
            </w:r>
            <w:r>
              <w:rPr>
                <w:rFonts w:ascii="Times New Roman" w:eastAsia="Times New Roman" w:hAnsi="Times New Roman" w:cs="Times New Roman"/>
                <w:i/>
                <w:iCs/>
                <w:sz w:val="24"/>
                <w:szCs w:val="24"/>
                <w:highlight w:val="white"/>
              </w:rPr>
              <w:t>„Pentru perioada concediului de odihnă anual, salariatul beneficiază de o indemnizație de concediu care nu poate fi mai mică decât mărimea salariului mediu pentru perioada respectivă.”.</w:t>
            </w:r>
          </w:p>
          <w:p w14:paraId="04F7235E"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Un simplu calcul matematic cu salariu mediu de 16.000 lei (nici măcar nu 17.400 lei) costă un angajator 945 lei pentru o zi lucrătoare (inclusiv BASS), racordat la 563.800 de salariați angajați în sectorul real al economiei – ar fi de 1 miliard 65 milioane de lei costuri suplimentare anuale – nu această reformă a fost solicitată de mediul de afaceri și nici economia țării nu-și poate permite acest fapt.</w:t>
            </w:r>
          </w:p>
          <w:p w14:paraId="18147ADC"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Dacă totuși calculul de 22 de zile lucrătoare vine din media între tipul săptămânii de muncă (5 zile și 6 zile lucrătoare) – recomandăm autorii proiectului să stabilească 2 durate diferite ale concediului de odihnă anual plătit – minim 20 de zile lucrătoare pentru săptămâna de muncă de 5 zile lucrătoare și de minim 24 de zile lucrătoare pentru săptămâna de muncă de 6 zile lucrătoare.</w:t>
            </w:r>
          </w:p>
          <w:p w14:paraId="64B9F5C1"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Totodată, pentru salariații cu timp parțial, săptămână de muncă redusă, program individual sau repartizare variabilă a timpului de muncă, considerăm necesară instituirea unui mecanism expres de ajustare proporțională a duratei concediului anual. Durata concediului exprimată în zile lucrătoare trebuie corelată cu numărul zilelor în care salariatul are obligația de a </w:t>
            </w:r>
            <w:r>
              <w:rPr>
                <w:rFonts w:ascii="Times New Roman" w:eastAsia="Times New Roman" w:hAnsi="Times New Roman" w:cs="Times New Roman"/>
                <w:sz w:val="24"/>
                <w:szCs w:val="24"/>
                <w:highlight w:val="white"/>
              </w:rPr>
              <w:lastRenderedPageBreak/>
              <w:t>presta muncă, astfel încât perioada efectivă de repaus anual, exprimată în săptămâni calendaristice, să rămână echivalentă pentru toate categoriile de salariați. În lipsa unei asemenea reguli, aplicarea aceleiași durate nominale poate genera atât perioade disproporționat de lungi de absență, cât și tratamente inegale între salariați cu programe de muncă diferite.</w:t>
            </w:r>
          </w:p>
          <w:p w14:paraId="4D15D0EB"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Anume această redacție oglindește întru totul solicitările din partea Asociației EBA și va elimina discrepanțele de acordare a acestora.</w:t>
            </w:r>
          </w:p>
        </w:tc>
        <w:tc>
          <w:tcPr>
            <w:tcW w:w="5880" w:type="dxa"/>
            <w:tcBorders>
              <w:top w:val="nil"/>
              <w:left w:val="nil"/>
              <w:bottom w:val="single" w:sz="6" w:space="0" w:color="000000"/>
              <w:right w:val="single" w:sz="6" w:space="0" w:color="999999"/>
            </w:tcBorders>
            <w:tcMar>
              <w:top w:w="0" w:type="dxa"/>
              <w:left w:w="100" w:type="dxa"/>
              <w:bottom w:w="0" w:type="dxa"/>
              <w:right w:w="100" w:type="dxa"/>
            </w:tcMar>
          </w:tcPr>
          <w:p w14:paraId="58FC9F1C"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lastRenderedPageBreak/>
              <w:t>Nu se acceptă</w:t>
            </w:r>
            <w:r>
              <w:rPr>
                <w:rFonts w:ascii="Times New Roman" w:eastAsia="Times New Roman" w:hAnsi="Times New Roman" w:cs="Times New Roman"/>
                <w:sz w:val="24"/>
                <w:szCs w:val="24"/>
                <w:highlight w:val="white"/>
              </w:rPr>
              <w:t xml:space="preserve"> modificarea duratei minime propuse (22 de zile lucrătoare).</w:t>
            </w:r>
          </w:p>
          <w:p w14:paraId="6E70E9E8"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Durata de 22 de zile lucrătoare reprezintă un compromis deliberat între pragul minim strict aplicabil la săptămâna de muncă de 5 zile (echivalentul a 4 săptămâni, respectiv 20 de zile lucrătoare) și durata efectivă de care beneficiază în prezent o parte a salariaților prin fracționarea concediului de 28 de zile calendaristice (echivalentul practic a până la 24 de zile lucrătoare, semnalat și de Confederația Națională a Sindicatelor la pct. 33 din prezenta Sinteză). Stabilirea duratei la 20 de zile lucrătoare, așa cum se propune, ar coincide cu pragul minim absolut, dar ar fi percepută drept o diminuare a beneficiului efectiv de care dispune în prezent o parte semnificativă a salariaților, contrazicând obiectivul declarat al proiectului de a nu reduce concediul efectiv.</w:t>
            </w:r>
          </w:p>
          <w:p w14:paraId="7CCA6955" w14:textId="378CDB2E"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Nota de fundamentare </w:t>
            </w:r>
            <w:r w:rsidR="0009241B">
              <w:rPr>
                <w:rFonts w:ascii="Times New Roman" w:eastAsia="Times New Roman" w:hAnsi="Times New Roman" w:cs="Times New Roman"/>
                <w:sz w:val="24"/>
                <w:szCs w:val="24"/>
                <w:highlight w:val="white"/>
              </w:rPr>
              <w:t>a fost</w:t>
            </w:r>
            <w:r>
              <w:rPr>
                <w:rFonts w:ascii="Times New Roman" w:eastAsia="Times New Roman" w:hAnsi="Times New Roman" w:cs="Times New Roman"/>
                <w:sz w:val="24"/>
                <w:szCs w:val="24"/>
                <w:highlight w:val="white"/>
              </w:rPr>
              <w:t xml:space="preserve"> completată cu o estimare a impactului financiar al majorării indemnizației de concediu asupra angajatorilor din sectorul privat, inclusiv a costurilor semnalate în prezentul aviz.</w:t>
            </w:r>
          </w:p>
          <w:p w14:paraId="116ED475" w14:textId="31C1349A" w:rsidR="0021239A" w:rsidRDefault="0021239A">
            <w:pPr>
              <w:shd w:val="clear" w:color="auto" w:fill="FFFFFF"/>
              <w:jc w:val="both"/>
              <w:rPr>
                <w:rFonts w:ascii="Times New Roman" w:eastAsia="Times New Roman" w:hAnsi="Times New Roman" w:cs="Times New Roman"/>
                <w:sz w:val="24"/>
                <w:szCs w:val="24"/>
                <w:highlight w:val="white"/>
              </w:rPr>
            </w:pPr>
          </w:p>
        </w:tc>
      </w:tr>
      <w:tr w:rsidR="00315874" w14:paraId="676EDDFD" w14:textId="77777777">
        <w:trPr>
          <w:trHeight w:val="1185"/>
        </w:trPr>
        <w:tc>
          <w:tcPr>
            <w:tcW w:w="870" w:type="dxa"/>
            <w:vMerge/>
            <w:tcBorders>
              <w:top w:val="nil"/>
              <w:left w:val="single" w:sz="6" w:space="0" w:color="999999"/>
              <w:bottom w:val="single" w:sz="6" w:space="0" w:color="999999"/>
              <w:right w:val="single" w:sz="6" w:space="0" w:color="999999"/>
            </w:tcBorders>
            <w:tcMar>
              <w:top w:w="0" w:type="dxa"/>
              <w:left w:w="100" w:type="dxa"/>
              <w:bottom w:w="0" w:type="dxa"/>
              <w:right w:w="100" w:type="dxa"/>
            </w:tcMar>
          </w:tcPr>
          <w:p w14:paraId="1FE5B874" w14:textId="77777777" w:rsidR="00315874" w:rsidRDefault="00315874">
            <w:pPr>
              <w:spacing w:line="240" w:lineRule="auto"/>
              <w:jc w:val="center"/>
              <w:rPr>
                <w:rFonts w:ascii="Times New Roman" w:eastAsia="Times New Roman" w:hAnsi="Times New Roman" w:cs="Times New Roman"/>
                <w:b/>
                <w:bCs/>
                <w:sz w:val="24"/>
                <w:szCs w:val="24"/>
                <w:highlight w:val="white"/>
              </w:rPr>
            </w:pPr>
          </w:p>
        </w:tc>
        <w:tc>
          <w:tcPr>
            <w:tcW w:w="2730" w:type="dxa"/>
            <w:vMerge/>
            <w:tcBorders>
              <w:top w:val="nil"/>
              <w:left w:val="nil"/>
              <w:bottom w:val="single" w:sz="6" w:space="0" w:color="999999"/>
              <w:right w:val="single" w:sz="6" w:space="0" w:color="999999"/>
            </w:tcBorders>
            <w:tcMar>
              <w:top w:w="0" w:type="dxa"/>
              <w:left w:w="100" w:type="dxa"/>
              <w:bottom w:w="0" w:type="dxa"/>
              <w:right w:w="100" w:type="dxa"/>
            </w:tcMar>
          </w:tcPr>
          <w:p w14:paraId="4AE1FF86" w14:textId="77777777" w:rsidR="00315874" w:rsidRDefault="00315874">
            <w:pPr>
              <w:spacing w:line="240" w:lineRule="auto"/>
              <w:jc w:val="center"/>
              <w:rPr>
                <w:rFonts w:ascii="Times New Roman" w:eastAsia="Times New Roman" w:hAnsi="Times New Roman" w:cs="Times New Roman"/>
                <w:sz w:val="24"/>
                <w:szCs w:val="24"/>
                <w:highlight w:val="white"/>
              </w:rPr>
            </w:pPr>
          </w:p>
        </w:tc>
        <w:tc>
          <w:tcPr>
            <w:tcW w:w="5550" w:type="dxa"/>
            <w:tcBorders>
              <w:top w:val="nil"/>
              <w:left w:val="nil"/>
              <w:bottom w:val="single" w:sz="6" w:space="0" w:color="000000"/>
              <w:right w:val="single" w:sz="6" w:space="0" w:color="999999"/>
            </w:tcBorders>
            <w:tcMar>
              <w:top w:w="0" w:type="dxa"/>
              <w:left w:w="100" w:type="dxa"/>
              <w:bottom w:w="0" w:type="dxa"/>
              <w:right w:w="100" w:type="dxa"/>
            </w:tcMar>
          </w:tcPr>
          <w:p w14:paraId="5B149929" w14:textId="77777777" w:rsidR="00315874" w:rsidRDefault="00000000">
            <w:pPr>
              <w:jc w:val="both"/>
              <w:rPr>
                <w:rFonts w:ascii="Times New Roman" w:eastAsia="Times New Roman" w:hAnsi="Times New Roman" w:cs="Times New Roman"/>
                <w:b/>
                <w:bCs/>
                <w:i/>
                <w:iCs/>
                <w:sz w:val="24"/>
                <w:szCs w:val="24"/>
                <w:highlight w:val="white"/>
              </w:rPr>
            </w:pPr>
            <w:r>
              <w:rPr>
                <w:rFonts w:ascii="Times New Roman" w:eastAsia="Times New Roman" w:hAnsi="Times New Roman" w:cs="Times New Roman"/>
                <w:b/>
                <w:bCs/>
                <w:sz w:val="24"/>
                <w:szCs w:val="24"/>
                <w:highlight w:val="white"/>
              </w:rPr>
              <w:t xml:space="preserve">  2.</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b/>
                <w:bCs/>
                <w:sz w:val="24"/>
                <w:szCs w:val="24"/>
                <w:highlight w:val="white"/>
              </w:rPr>
              <w:t xml:space="preserve">Clarificarea noțiunii de </w:t>
            </w:r>
            <w:r>
              <w:rPr>
                <w:rFonts w:ascii="Times New Roman" w:eastAsia="Times New Roman" w:hAnsi="Times New Roman" w:cs="Times New Roman"/>
                <w:b/>
                <w:bCs/>
                <w:i/>
                <w:iCs/>
                <w:sz w:val="24"/>
                <w:szCs w:val="24"/>
                <w:highlight w:val="white"/>
              </w:rPr>
              <w:t>„două săptămâni lucrătoare de concediu neîntrerupt”</w:t>
            </w:r>
          </w:p>
          <w:p w14:paraId="40449FCC"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Proiectul propune substituirea fracției obligatorii de </w:t>
            </w:r>
            <w:r>
              <w:rPr>
                <w:rFonts w:ascii="Times New Roman" w:eastAsia="Times New Roman" w:hAnsi="Times New Roman" w:cs="Times New Roman"/>
                <w:i/>
                <w:iCs/>
                <w:sz w:val="24"/>
                <w:szCs w:val="24"/>
                <w:highlight w:val="white"/>
              </w:rPr>
              <w:t xml:space="preserve">„14 zile calendaristice” </w:t>
            </w:r>
            <w:r>
              <w:rPr>
                <w:rFonts w:ascii="Times New Roman" w:eastAsia="Times New Roman" w:hAnsi="Times New Roman" w:cs="Times New Roman"/>
                <w:sz w:val="24"/>
                <w:szCs w:val="24"/>
                <w:highlight w:val="white"/>
              </w:rPr>
              <w:t xml:space="preserve">cu sintagma </w:t>
            </w:r>
            <w:r>
              <w:rPr>
                <w:rFonts w:ascii="Times New Roman" w:eastAsia="Times New Roman" w:hAnsi="Times New Roman" w:cs="Times New Roman"/>
                <w:i/>
                <w:iCs/>
                <w:sz w:val="24"/>
                <w:szCs w:val="24"/>
                <w:highlight w:val="white"/>
              </w:rPr>
              <w:t>„două săptămâni lucrătoare de concediu neîntrerupt”</w:t>
            </w:r>
            <w:r>
              <w:rPr>
                <w:rFonts w:ascii="Times New Roman" w:eastAsia="Times New Roman" w:hAnsi="Times New Roman" w:cs="Times New Roman"/>
                <w:sz w:val="24"/>
                <w:szCs w:val="24"/>
                <w:highlight w:val="white"/>
              </w:rPr>
              <w:t>. În forma propusă, această sintagmă poate genera interpretări divergente, întrucât noțiunea de săptămână lucrătoare nu este definită pentru scopul acordării concediului și poate varia în funcție de regimul individual de muncă aplicabil salariatului.</w:t>
            </w:r>
          </w:p>
          <w:p w14:paraId="23B33026"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Lipsa unei unități de măsură fixe poate genera dificultăți de administrare, litigii privind calculul soldului de concediu și riscuri suplimentare pentru angajatori în procesul de evidență a timpului de muncă.</w:t>
            </w:r>
          </w:p>
          <w:p w14:paraId="2C4AEFE2"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Prin urmare, considerăm necesară definirea expresă a noțiunilor de </w:t>
            </w:r>
            <w:r>
              <w:rPr>
                <w:rFonts w:ascii="Times New Roman" w:eastAsia="Times New Roman" w:hAnsi="Times New Roman" w:cs="Times New Roman"/>
                <w:i/>
                <w:iCs/>
                <w:sz w:val="24"/>
                <w:szCs w:val="24"/>
                <w:highlight w:val="white"/>
              </w:rPr>
              <w:t>„zi lucrătoare”</w:t>
            </w:r>
            <w:r>
              <w:rPr>
                <w:rFonts w:ascii="Times New Roman" w:eastAsia="Times New Roman" w:hAnsi="Times New Roman" w:cs="Times New Roman"/>
                <w:sz w:val="24"/>
                <w:szCs w:val="24"/>
                <w:highlight w:val="white"/>
              </w:rPr>
              <w:t xml:space="preserve"> și </w:t>
            </w:r>
            <w:r>
              <w:rPr>
                <w:rFonts w:ascii="Times New Roman" w:eastAsia="Times New Roman" w:hAnsi="Times New Roman" w:cs="Times New Roman"/>
                <w:i/>
                <w:iCs/>
                <w:sz w:val="24"/>
                <w:szCs w:val="24"/>
                <w:highlight w:val="white"/>
              </w:rPr>
              <w:t>„săptămână lucrătoare”</w:t>
            </w:r>
            <w:r>
              <w:rPr>
                <w:rFonts w:ascii="Times New Roman" w:eastAsia="Times New Roman" w:hAnsi="Times New Roman" w:cs="Times New Roman"/>
                <w:sz w:val="24"/>
                <w:szCs w:val="24"/>
                <w:highlight w:val="white"/>
              </w:rPr>
              <w:t xml:space="preserve"> în materia concediilor. În lipsa unei asemenea definiții, propunem substituirea sintagmei </w:t>
            </w:r>
            <w:r>
              <w:rPr>
                <w:rFonts w:ascii="Times New Roman" w:eastAsia="Times New Roman" w:hAnsi="Times New Roman" w:cs="Times New Roman"/>
                <w:i/>
                <w:iCs/>
                <w:sz w:val="24"/>
                <w:szCs w:val="24"/>
                <w:highlight w:val="white"/>
              </w:rPr>
              <w:lastRenderedPageBreak/>
              <w:t>„două săptămâni lucrătoare de concediu neîntrerupt”</w:t>
            </w:r>
            <w:r>
              <w:rPr>
                <w:rFonts w:ascii="Times New Roman" w:eastAsia="Times New Roman" w:hAnsi="Times New Roman" w:cs="Times New Roman"/>
                <w:sz w:val="24"/>
                <w:szCs w:val="24"/>
                <w:highlight w:val="white"/>
              </w:rPr>
              <w:t xml:space="preserve"> cu formularea </w:t>
            </w:r>
            <w:r>
              <w:rPr>
                <w:rFonts w:ascii="Times New Roman" w:eastAsia="Times New Roman" w:hAnsi="Times New Roman" w:cs="Times New Roman"/>
                <w:i/>
                <w:iCs/>
                <w:sz w:val="24"/>
                <w:szCs w:val="24"/>
                <w:highlight w:val="white"/>
              </w:rPr>
              <w:t>„cel puțin 10 zile lucrătoare de concediu neîntrerupt”</w:t>
            </w:r>
            <w:r>
              <w:rPr>
                <w:rFonts w:ascii="Times New Roman" w:eastAsia="Times New Roman" w:hAnsi="Times New Roman" w:cs="Times New Roman"/>
                <w:sz w:val="24"/>
                <w:szCs w:val="24"/>
                <w:highlight w:val="white"/>
              </w:rPr>
              <w:t xml:space="preserve"> pentru salariații cu săptămână de lucru clasică, precum și reglementarea expresă a echivalentului aplicabil salariaților cu programe individuale sau atipice de muncă.</w:t>
            </w:r>
          </w:p>
        </w:tc>
        <w:tc>
          <w:tcPr>
            <w:tcW w:w="5880" w:type="dxa"/>
            <w:tcBorders>
              <w:top w:val="nil"/>
              <w:left w:val="nil"/>
              <w:bottom w:val="single" w:sz="6" w:space="0" w:color="000000"/>
              <w:right w:val="single" w:sz="6" w:space="0" w:color="999999"/>
            </w:tcBorders>
            <w:tcMar>
              <w:top w:w="0" w:type="dxa"/>
              <w:left w:w="100" w:type="dxa"/>
              <w:bottom w:w="0" w:type="dxa"/>
              <w:right w:w="100" w:type="dxa"/>
            </w:tcMar>
          </w:tcPr>
          <w:p w14:paraId="51E16EEB"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lastRenderedPageBreak/>
              <w:t>Se acceptă parțial.</w:t>
            </w:r>
            <w:r>
              <w:rPr>
                <w:rFonts w:ascii="Times New Roman" w:eastAsia="Times New Roman" w:hAnsi="Times New Roman" w:cs="Times New Roman"/>
                <w:sz w:val="24"/>
                <w:szCs w:val="24"/>
                <w:highlight w:val="white"/>
              </w:rPr>
              <w:t xml:space="preserve"> </w:t>
            </w:r>
          </w:p>
          <w:p w14:paraId="50690197"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 se vedea Proiectul modificat</w:t>
            </w:r>
          </w:p>
        </w:tc>
      </w:tr>
      <w:tr w:rsidR="00315874" w14:paraId="6F946E86" w14:textId="77777777">
        <w:trPr>
          <w:trHeight w:val="1185"/>
        </w:trPr>
        <w:tc>
          <w:tcPr>
            <w:tcW w:w="870" w:type="dxa"/>
            <w:vMerge/>
            <w:tcBorders>
              <w:top w:val="nil"/>
              <w:left w:val="single" w:sz="6" w:space="0" w:color="999999"/>
              <w:bottom w:val="single" w:sz="6" w:space="0" w:color="999999"/>
              <w:right w:val="single" w:sz="6" w:space="0" w:color="999999"/>
            </w:tcBorders>
            <w:tcMar>
              <w:top w:w="0" w:type="dxa"/>
              <w:left w:w="100" w:type="dxa"/>
              <w:bottom w:w="0" w:type="dxa"/>
              <w:right w:w="100" w:type="dxa"/>
            </w:tcMar>
          </w:tcPr>
          <w:p w14:paraId="23470E79" w14:textId="77777777" w:rsidR="00315874" w:rsidRDefault="00315874">
            <w:pPr>
              <w:spacing w:line="240" w:lineRule="auto"/>
              <w:jc w:val="center"/>
              <w:rPr>
                <w:rFonts w:ascii="Times New Roman" w:eastAsia="Times New Roman" w:hAnsi="Times New Roman" w:cs="Times New Roman"/>
                <w:b/>
                <w:bCs/>
                <w:sz w:val="24"/>
                <w:szCs w:val="24"/>
                <w:highlight w:val="white"/>
              </w:rPr>
            </w:pPr>
          </w:p>
        </w:tc>
        <w:tc>
          <w:tcPr>
            <w:tcW w:w="2730" w:type="dxa"/>
            <w:vMerge/>
            <w:tcBorders>
              <w:top w:val="nil"/>
              <w:left w:val="nil"/>
              <w:bottom w:val="single" w:sz="6" w:space="0" w:color="999999"/>
              <w:right w:val="single" w:sz="6" w:space="0" w:color="999999"/>
            </w:tcBorders>
            <w:tcMar>
              <w:top w:w="0" w:type="dxa"/>
              <w:left w:w="100" w:type="dxa"/>
              <w:bottom w:w="0" w:type="dxa"/>
              <w:right w:w="100" w:type="dxa"/>
            </w:tcMar>
          </w:tcPr>
          <w:p w14:paraId="78031072" w14:textId="77777777" w:rsidR="00315874" w:rsidRDefault="00315874">
            <w:pPr>
              <w:spacing w:line="240" w:lineRule="auto"/>
              <w:jc w:val="center"/>
              <w:rPr>
                <w:rFonts w:ascii="Times New Roman" w:eastAsia="Times New Roman" w:hAnsi="Times New Roman" w:cs="Times New Roman"/>
                <w:sz w:val="24"/>
                <w:szCs w:val="24"/>
                <w:highlight w:val="white"/>
              </w:rPr>
            </w:pPr>
          </w:p>
        </w:tc>
        <w:tc>
          <w:tcPr>
            <w:tcW w:w="5550" w:type="dxa"/>
            <w:tcBorders>
              <w:top w:val="nil"/>
              <w:left w:val="nil"/>
              <w:bottom w:val="single" w:sz="6" w:space="0" w:color="000000"/>
              <w:right w:val="single" w:sz="6" w:space="0" w:color="999999"/>
            </w:tcBorders>
            <w:tcMar>
              <w:top w:w="0" w:type="dxa"/>
              <w:left w:w="100" w:type="dxa"/>
              <w:bottom w:w="0" w:type="dxa"/>
              <w:right w:w="100" w:type="dxa"/>
            </w:tcMar>
          </w:tcPr>
          <w:p w14:paraId="289AD31C" w14:textId="77777777" w:rsidR="00315874" w:rsidRDefault="00000000">
            <w:pPr>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 xml:space="preserve">  3. Reglementarea expresă a calculului concediului pentru salariații care activează în ture și în regim de evidență sumară</w:t>
            </w:r>
          </w:p>
          <w:p w14:paraId="56A1B003"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Trecerea la concediul exprimat în zile lucrătoare ridică probleme practice semnificative pentru salariații care activează în ture, în regim continuu, cu program glisant sau cu evidență sumară a timpului de muncă. În lipsa unor norme exprese, nu este clar dacă o zi de concediu se echivalează cu o tură completă, cu o zi standard de muncă sau cu ziua în care salariatul ar fi avut obligația concretă de a presta muncă potrivit programului său individual.</w:t>
            </w:r>
          </w:p>
          <w:p w14:paraId="13EA50F0"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Considerăm necesară completarea proiectului cu reguli clare privind acordarea, evidența și consumarea concediului pentru aceste categorii de salariați. Normele urmează să stabilească inclusiv modul de determinare a zilelor care se deduc din soldul concediului, mecanismul de ajustare a duratei concediului și modul de calcul al indemnizației aferente.</w:t>
            </w:r>
          </w:p>
          <w:p w14:paraId="1F2FC59B" w14:textId="77777777" w:rsidR="00315874" w:rsidRDefault="00000000">
            <w:pPr>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sz w:val="24"/>
                <w:szCs w:val="24"/>
                <w:highlight w:val="white"/>
              </w:rPr>
              <w:t xml:space="preserve">  Aceste reguli esențiale urmează să fie prevăzute expres în textul actului normativ, iar aspectele tehnice de aplicare să fie detaliate prin norme metodologice.</w:t>
            </w:r>
          </w:p>
        </w:tc>
        <w:tc>
          <w:tcPr>
            <w:tcW w:w="5880" w:type="dxa"/>
            <w:tcBorders>
              <w:top w:val="nil"/>
              <w:left w:val="nil"/>
              <w:bottom w:val="single" w:sz="6" w:space="0" w:color="000000"/>
              <w:right w:val="single" w:sz="6" w:space="0" w:color="999999"/>
            </w:tcBorders>
            <w:tcMar>
              <w:top w:w="0" w:type="dxa"/>
              <w:left w:w="100" w:type="dxa"/>
              <w:bottom w:w="0" w:type="dxa"/>
              <w:right w:w="100" w:type="dxa"/>
            </w:tcMar>
          </w:tcPr>
          <w:p w14:paraId="06BC8A8D"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Se acceptă parțial.</w:t>
            </w:r>
            <w:r>
              <w:rPr>
                <w:rFonts w:ascii="Times New Roman" w:eastAsia="Times New Roman" w:hAnsi="Times New Roman" w:cs="Times New Roman"/>
                <w:sz w:val="24"/>
                <w:szCs w:val="24"/>
                <w:highlight w:val="white"/>
              </w:rPr>
              <w:t xml:space="preserve"> </w:t>
            </w:r>
          </w:p>
          <w:p w14:paraId="0A1C0264"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Proiectul a fost completat cu prevederi suplimentare la art. 113 CM pentru claritate</w:t>
            </w:r>
          </w:p>
        </w:tc>
      </w:tr>
      <w:tr w:rsidR="00315874" w14:paraId="06E38249" w14:textId="77777777">
        <w:trPr>
          <w:trHeight w:val="1185"/>
        </w:trPr>
        <w:tc>
          <w:tcPr>
            <w:tcW w:w="870" w:type="dxa"/>
            <w:vMerge/>
            <w:tcBorders>
              <w:top w:val="nil"/>
              <w:left w:val="single" w:sz="6" w:space="0" w:color="999999"/>
              <w:bottom w:val="single" w:sz="6" w:space="0" w:color="999999"/>
              <w:right w:val="single" w:sz="6" w:space="0" w:color="999999"/>
            </w:tcBorders>
            <w:tcMar>
              <w:top w:w="0" w:type="dxa"/>
              <w:left w:w="100" w:type="dxa"/>
              <w:bottom w:w="0" w:type="dxa"/>
              <w:right w:w="100" w:type="dxa"/>
            </w:tcMar>
          </w:tcPr>
          <w:p w14:paraId="2C60ED5D" w14:textId="77777777" w:rsidR="00315874" w:rsidRDefault="00315874">
            <w:pPr>
              <w:spacing w:line="240" w:lineRule="auto"/>
              <w:jc w:val="center"/>
              <w:rPr>
                <w:rFonts w:ascii="Times New Roman" w:eastAsia="Times New Roman" w:hAnsi="Times New Roman" w:cs="Times New Roman"/>
                <w:b/>
                <w:bCs/>
                <w:sz w:val="24"/>
                <w:szCs w:val="24"/>
                <w:highlight w:val="white"/>
              </w:rPr>
            </w:pPr>
          </w:p>
        </w:tc>
        <w:tc>
          <w:tcPr>
            <w:tcW w:w="2730" w:type="dxa"/>
            <w:vMerge/>
            <w:tcBorders>
              <w:top w:val="nil"/>
              <w:left w:val="nil"/>
              <w:bottom w:val="single" w:sz="6" w:space="0" w:color="999999"/>
              <w:right w:val="single" w:sz="6" w:space="0" w:color="999999"/>
            </w:tcBorders>
            <w:tcMar>
              <w:top w:w="0" w:type="dxa"/>
              <w:left w:w="100" w:type="dxa"/>
              <w:bottom w:w="0" w:type="dxa"/>
              <w:right w:w="100" w:type="dxa"/>
            </w:tcMar>
          </w:tcPr>
          <w:p w14:paraId="1D7EC4CE" w14:textId="77777777" w:rsidR="00315874" w:rsidRDefault="00315874">
            <w:pPr>
              <w:spacing w:line="240" w:lineRule="auto"/>
              <w:jc w:val="center"/>
              <w:rPr>
                <w:rFonts w:ascii="Times New Roman" w:eastAsia="Times New Roman" w:hAnsi="Times New Roman" w:cs="Times New Roman"/>
                <w:sz w:val="24"/>
                <w:szCs w:val="24"/>
                <w:highlight w:val="white"/>
              </w:rPr>
            </w:pPr>
          </w:p>
        </w:tc>
        <w:tc>
          <w:tcPr>
            <w:tcW w:w="5550" w:type="dxa"/>
            <w:tcBorders>
              <w:top w:val="nil"/>
              <w:left w:val="nil"/>
              <w:bottom w:val="single" w:sz="6" w:space="0" w:color="000000"/>
              <w:right w:val="single" w:sz="6" w:space="0" w:color="999999"/>
            </w:tcBorders>
            <w:tcMar>
              <w:top w:w="0" w:type="dxa"/>
              <w:left w:w="100" w:type="dxa"/>
              <w:bottom w:w="0" w:type="dxa"/>
              <w:right w:w="100" w:type="dxa"/>
            </w:tcMar>
          </w:tcPr>
          <w:p w14:paraId="2350D945" w14:textId="77777777" w:rsidR="00315874" w:rsidRDefault="00000000">
            <w:pPr>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 xml:space="preserve">  4. Revizuirea mecanismului tranzitoriu și conversia soldurilor istorice de concediu</w:t>
            </w:r>
          </w:p>
          <w:p w14:paraId="6FABFC03"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Proiectul prevede menținerea evidenței și acordării soldurilor de concediu acumulate până la intrarea în vigoare a noii legi în zile calendaristice, concomitent cu aplicarea noului sistem în zile lucrătoare. Pentru companiile care utilizează sisteme automatizate de payroll, pontaj și management al timpului de muncă, </w:t>
            </w:r>
            <w:r>
              <w:rPr>
                <w:rFonts w:ascii="Times New Roman" w:eastAsia="Times New Roman" w:hAnsi="Times New Roman" w:cs="Times New Roman"/>
                <w:i/>
                <w:iCs/>
                <w:sz w:val="24"/>
                <w:szCs w:val="24"/>
                <w:highlight w:val="white"/>
              </w:rPr>
              <w:t xml:space="preserve">gestionarea paralelă a două sisteme de calcul pentru același salariat poate crea costuri semnificative, </w:t>
            </w:r>
            <w:r>
              <w:rPr>
                <w:rFonts w:ascii="Times New Roman" w:eastAsia="Times New Roman" w:hAnsi="Times New Roman" w:cs="Times New Roman"/>
                <w:sz w:val="24"/>
                <w:szCs w:val="24"/>
                <w:highlight w:val="white"/>
              </w:rPr>
              <w:t>riscuri de eroare, necesitatea unor adaptări IT complexe și, în unele cazuri, evidență manuală suplimentară.</w:t>
            </w:r>
          </w:p>
          <w:p w14:paraId="33EFF806"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Respectiv, este necesară instituirea unui mecanism legal unic de conversie, la data intrării în vigoare a legii, a tuturor soldurilor istorice din zile calendaristice în zile lucrătoare, prin aplicarea unui coeficient transparent și uniform, cu rotunjire în favoarea salariatului. Această soluție ar reduce costurile administrative, ar permite adaptarea sistemelor informatice și ar asigura o aplicare uniformă pentru toate părțile implicate.</w:t>
            </w:r>
          </w:p>
          <w:p w14:paraId="180ADE9D"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Totodată, menționăm că mecanismul propus este dificil de aplicat în practică deoarece presupune gestionarea concomitentă a concediului exprimat în zile calendaristice și în zile lucrătoare. În lipsa unor reguli clare privind ordinea de utilizare, evidența și calculul concediilor în situațiile în care într-o singură perioadă de concediu sunt utilizate drepturi aferente ambelor </w:t>
            </w:r>
            <w:r>
              <w:rPr>
                <w:rFonts w:ascii="Times New Roman" w:eastAsia="Times New Roman" w:hAnsi="Times New Roman" w:cs="Times New Roman"/>
                <w:sz w:val="24"/>
                <w:szCs w:val="24"/>
                <w:highlight w:val="white"/>
              </w:rPr>
              <w:lastRenderedPageBreak/>
              <w:t>regimuri, există un risc sporit de erori administrative, interpretări divergente și litigii de muncă.</w:t>
            </w:r>
          </w:p>
          <w:p w14:paraId="740AFE1B"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 Nu poate fi asigurată o evidență clară a concediului, deoarece după 01.01.2027 salariatul va avea concomitent drepturi exprimate în zile lucrătoare (pentru anul curent) și în zile calendaristice (soldul acumulat până la 31.12.2026).</w:t>
            </w:r>
          </w:p>
          <w:p w14:paraId="64C3402D"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 În cadrul aceluiași concediu pot fi utilizate simultan zile din ambele perioade, ceea ce face dificilă determinarea duratei concediului și calcularea corectă a soldului rămas, deoarece se aplică două unități de măsură diferite.</w:t>
            </w:r>
          </w:p>
          <w:p w14:paraId="3181ED9E"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 Proiectul nu stabilește ordinea de utilizare a concediilor, respectiv nu este clar dacă se consumă mai întâi concediul aferent anului curent sau soldul istoric acumulat.</w:t>
            </w:r>
          </w:p>
          <w:p w14:paraId="6085961F"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 Sistemele de evidență a timpului și salarizare (Software etc.) sunt configurate să gestioneze o singură unitate de măsură a concediului, iar administrarea paralelă a zilelor calendaristice și a zilelor lucrătoare va necesita dezvoltări suplimentare și va crește riscul de erori.</w:t>
            </w:r>
          </w:p>
          <w:p w14:paraId="7FDD074A"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 Lipsește un mecanism de calcul pentru situațiile mixte, când într-o singură perioadă de concediu se utilizează atât zile calendaristice, cât și zile lucrătoare, ceea ce poate genera interpretări diferite între angajatori, salariați și organele de control.</w:t>
            </w:r>
          </w:p>
          <w:p w14:paraId="5D6D8E87"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 xml:space="preserve">  · Norma poate genera litigii de muncă, deoarece nu reglementează expres modul de evidență, utilizare și compensare a soldurilor istorice de concediu în raport cu noul regim de acordare a concediului în zile lucrătoare.</w:t>
            </w:r>
          </w:p>
          <w:p w14:paraId="4F01B991"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Se propune stabilirea unui mecanism clar de conversie a zilelor de concediu neutilizate exprimate în zile calendaristice în zile lucrătoare și aplicarea unei unități unice de evidență pentru toate soldurile de concediu. </w:t>
            </w:r>
            <w:r>
              <w:rPr>
                <w:rFonts w:ascii="Times New Roman" w:eastAsia="Times New Roman" w:hAnsi="Times New Roman" w:cs="Times New Roman"/>
                <w:b/>
                <w:bCs/>
                <w:i/>
                <w:iCs/>
                <w:sz w:val="24"/>
                <w:szCs w:val="24"/>
                <w:highlight w:val="white"/>
              </w:rPr>
              <w:t>Menținerea simultană a două unități de calcul va genera dificultăți de administrare, calcul și evidență.</w:t>
            </w:r>
            <w:r>
              <w:rPr>
                <w:rFonts w:ascii="Times New Roman" w:eastAsia="Times New Roman" w:hAnsi="Times New Roman" w:cs="Times New Roman"/>
                <w:sz w:val="24"/>
                <w:szCs w:val="24"/>
                <w:highlight w:val="white"/>
              </w:rPr>
              <w:t xml:space="preserve"> O soluție similară a fost utilizată la modificarea anterioară a legislației, când concediul anual a fost convertit din zile lucrătoare în zile calendaristice.</w:t>
            </w:r>
          </w:p>
          <w:p w14:paraId="1038D86E"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Totodată, pentru a asigura aplicarea uniformă a noului regim, considerăm necesar ca mecanismul de conversie să fie reglementat expres în actul normativ și să includă reguli clare privind ordinea de utilizare a zilelor de concediu, evidența soldurilor convertite, modul de calcul în situațiile mixte și compensarea acestora la încetarea raporturilor de muncă.</w:t>
            </w:r>
          </w:p>
          <w:p w14:paraId="6FD3A4E3"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În lipsa unor asemenea prevederi, soluțiile practice vor fi lăsate în sarcina interpretărilor individuale ale angajatorilor, salariaților și organelor de control, ceea ce poate genera aplicări neuniforme, litigii de muncă și costuri administrative suplimentare.</w:t>
            </w:r>
          </w:p>
        </w:tc>
        <w:tc>
          <w:tcPr>
            <w:tcW w:w="5880" w:type="dxa"/>
            <w:tcBorders>
              <w:top w:val="nil"/>
              <w:left w:val="nil"/>
              <w:bottom w:val="single" w:sz="6" w:space="0" w:color="000000"/>
              <w:right w:val="single" w:sz="6" w:space="0" w:color="999999"/>
            </w:tcBorders>
            <w:tcMar>
              <w:top w:w="0" w:type="dxa"/>
              <w:left w:w="100" w:type="dxa"/>
              <w:bottom w:w="0" w:type="dxa"/>
              <w:right w:w="100" w:type="dxa"/>
            </w:tcMar>
          </w:tcPr>
          <w:p w14:paraId="256989C2"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Se acceptă, parțial.</w:t>
            </w:r>
          </w:p>
          <w:p w14:paraId="59217697" w14:textId="7DDCA570" w:rsidR="00315874" w:rsidRDefault="0009241B" w:rsidP="0009241B">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Proiectul a fost modificat prin clarificare cu dispozițiile finale și tranzitorii.</w:t>
            </w:r>
          </w:p>
          <w:p w14:paraId="73CF54DF"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73F7DCEE" w14:textId="5C0BB6F5" w:rsidR="0021239A" w:rsidRDefault="0021239A">
            <w:pPr>
              <w:shd w:val="clear" w:color="auto" w:fill="FFFFFF"/>
              <w:jc w:val="both"/>
              <w:rPr>
                <w:rFonts w:ascii="Times New Roman" w:eastAsia="Times New Roman" w:hAnsi="Times New Roman" w:cs="Times New Roman"/>
                <w:sz w:val="24"/>
                <w:szCs w:val="24"/>
                <w:highlight w:val="white"/>
              </w:rPr>
            </w:pPr>
          </w:p>
        </w:tc>
      </w:tr>
      <w:tr w:rsidR="00315874" w14:paraId="33B20789" w14:textId="77777777">
        <w:trPr>
          <w:trHeight w:val="1185"/>
        </w:trPr>
        <w:tc>
          <w:tcPr>
            <w:tcW w:w="870" w:type="dxa"/>
            <w:vMerge/>
            <w:tcBorders>
              <w:top w:val="nil"/>
              <w:left w:val="single" w:sz="6" w:space="0" w:color="999999"/>
              <w:bottom w:val="single" w:sz="6" w:space="0" w:color="999999"/>
              <w:right w:val="single" w:sz="6" w:space="0" w:color="999999"/>
            </w:tcBorders>
            <w:tcMar>
              <w:top w:w="0" w:type="dxa"/>
              <w:left w:w="100" w:type="dxa"/>
              <w:bottom w:w="0" w:type="dxa"/>
              <w:right w:w="100" w:type="dxa"/>
            </w:tcMar>
          </w:tcPr>
          <w:p w14:paraId="6109ECAE" w14:textId="77777777" w:rsidR="00315874" w:rsidRDefault="00315874">
            <w:pPr>
              <w:spacing w:line="240" w:lineRule="auto"/>
              <w:jc w:val="center"/>
              <w:rPr>
                <w:rFonts w:ascii="Times New Roman" w:eastAsia="Times New Roman" w:hAnsi="Times New Roman" w:cs="Times New Roman"/>
                <w:b/>
                <w:bCs/>
                <w:sz w:val="24"/>
                <w:szCs w:val="24"/>
                <w:highlight w:val="white"/>
              </w:rPr>
            </w:pPr>
          </w:p>
        </w:tc>
        <w:tc>
          <w:tcPr>
            <w:tcW w:w="2730" w:type="dxa"/>
            <w:vMerge/>
            <w:tcBorders>
              <w:top w:val="nil"/>
              <w:left w:val="nil"/>
              <w:bottom w:val="single" w:sz="6" w:space="0" w:color="999999"/>
              <w:right w:val="single" w:sz="6" w:space="0" w:color="999999"/>
            </w:tcBorders>
            <w:tcMar>
              <w:top w:w="0" w:type="dxa"/>
              <w:left w:w="100" w:type="dxa"/>
              <w:bottom w:w="0" w:type="dxa"/>
              <w:right w:w="100" w:type="dxa"/>
            </w:tcMar>
          </w:tcPr>
          <w:p w14:paraId="54C9B7F6" w14:textId="77777777" w:rsidR="00315874" w:rsidRDefault="00315874">
            <w:pPr>
              <w:spacing w:line="240" w:lineRule="auto"/>
              <w:jc w:val="center"/>
              <w:rPr>
                <w:rFonts w:ascii="Times New Roman" w:eastAsia="Times New Roman" w:hAnsi="Times New Roman" w:cs="Times New Roman"/>
                <w:sz w:val="24"/>
                <w:szCs w:val="24"/>
                <w:highlight w:val="white"/>
              </w:rPr>
            </w:pPr>
          </w:p>
        </w:tc>
        <w:tc>
          <w:tcPr>
            <w:tcW w:w="5550" w:type="dxa"/>
            <w:tcBorders>
              <w:top w:val="nil"/>
              <w:left w:val="nil"/>
              <w:bottom w:val="single" w:sz="6" w:space="0" w:color="000000"/>
              <w:right w:val="single" w:sz="6" w:space="0" w:color="999999"/>
            </w:tcBorders>
            <w:tcMar>
              <w:top w:w="0" w:type="dxa"/>
              <w:left w:w="100" w:type="dxa"/>
              <w:bottom w:w="0" w:type="dxa"/>
              <w:right w:w="100" w:type="dxa"/>
            </w:tcMar>
          </w:tcPr>
          <w:p w14:paraId="59A32FA8" w14:textId="77777777" w:rsidR="00315874" w:rsidRDefault="00000000">
            <w:pPr>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 xml:space="preserve">  5. Reanalizarea duratei concediului paternal</w:t>
            </w:r>
          </w:p>
          <w:p w14:paraId="64683152"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Proiectul prevede transformarea concediului paternal de la 15 zile calendaristice la 15 zile lucrătoare. În practică, aceasta reprezintă o extindere semnificativă a perioadei de absență efectivă de la muncă, până la aproximativ trei săptămâni calendaristice. Pentru angajatorii din sectoarele cu activitate continuă, inclusiv producție, retail, logistică, energie și servicii operaționale, o astfel de extindere poate afecta organizarea activității, planificarea turelor și genera costuri suplimentare de substituire sau de muncă suplimentară.</w:t>
            </w:r>
          </w:p>
          <w:p w14:paraId="0C390935"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Susținem necesitatea protejării rolului tatălui în îngrijirea copilului, însă considerăm importantă menținerea unui echilibru între această garanție socială și impactul operațional asupra angajatorilor. Soluția necesară ar fi reexaminarea duratei concediului paternal și stabilirea acesteia la 10 zile lucrătoare, menținând astfel o perioadă efectivă de două săptămâni calendaristice și asigurând o soluție mai proporțională pentru toate părțile.</w:t>
            </w:r>
          </w:p>
        </w:tc>
        <w:tc>
          <w:tcPr>
            <w:tcW w:w="5880" w:type="dxa"/>
            <w:tcBorders>
              <w:top w:val="nil"/>
              <w:left w:val="nil"/>
              <w:bottom w:val="single" w:sz="6" w:space="0" w:color="000000"/>
              <w:right w:val="single" w:sz="6" w:space="0" w:color="999999"/>
            </w:tcBorders>
            <w:tcMar>
              <w:top w:w="0" w:type="dxa"/>
              <w:left w:w="100" w:type="dxa"/>
              <w:bottom w:w="0" w:type="dxa"/>
              <w:right w:w="100" w:type="dxa"/>
            </w:tcMar>
          </w:tcPr>
          <w:p w14:paraId="0322F7BF"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Nu se acceptă.</w:t>
            </w:r>
          </w:p>
          <w:p w14:paraId="6F87046B" w14:textId="77777777" w:rsidR="00315874" w:rsidRDefault="00315874">
            <w:pPr>
              <w:shd w:val="clear" w:color="auto" w:fill="FFFFFF"/>
              <w:jc w:val="both"/>
              <w:rPr>
                <w:rFonts w:ascii="Times New Roman" w:eastAsia="Times New Roman" w:hAnsi="Times New Roman" w:cs="Times New Roman"/>
                <w:b/>
                <w:bCs/>
                <w:sz w:val="24"/>
                <w:szCs w:val="24"/>
                <w:highlight w:val="white"/>
              </w:rPr>
            </w:pPr>
          </w:p>
          <w:p w14:paraId="29C17942" w14:textId="77777777" w:rsidR="00315874" w:rsidRDefault="00000000">
            <w:pPr>
              <w:shd w:val="clear" w:color="auto" w:fill="FFFFFF"/>
              <w:spacing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Potrivit art.124</w:t>
            </w:r>
            <w:r>
              <w:rPr>
                <w:rFonts w:ascii="Times New Roman" w:eastAsia="Times New Roman" w:hAnsi="Times New Roman" w:cs="Times New Roman"/>
                <w:sz w:val="24"/>
                <w:szCs w:val="24"/>
                <w:highlight w:val="white"/>
                <w:vertAlign w:val="superscript"/>
              </w:rPr>
              <w:t>1</w:t>
            </w:r>
            <w:r>
              <w:rPr>
                <w:rFonts w:ascii="Times New Roman" w:eastAsia="Times New Roman" w:hAnsi="Times New Roman" w:cs="Times New Roman"/>
                <w:sz w:val="24"/>
                <w:szCs w:val="24"/>
                <w:highlight w:val="white"/>
              </w:rPr>
              <w:t xml:space="preserve"> alin. (2</w:t>
            </w:r>
            <w:r>
              <w:rPr>
                <w:rFonts w:ascii="Times New Roman" w:eastAsia="Times New Roman" w:hAnsi="Times New Roman" w:cs="Times New Roman"/>
                <w:sz w:val="24"/>
                <w:szCs w:val="24"/>
                <w:highlight w:val="white"/>
                <w:vertAlign w:val="superscript"/>
              </w:rPr>
              <w:t>1</w:t>
            </w:r>
            <w:r>
              <w:rPr>
                <w:rFonts w:ascii="Times New Roman" w:eastAsia="Times New Roman" w:hAnsi="Times New Roman" w:cs="Times New Roman"/>
                <w:sz w:val="24"/>
                <w:szCs w:val="24"/>
                <w:highlight w:val="white"/>
              </w:rPr>
              <w:t xml:space="preserve">) din Codul muncii, concediul paternal poate fi acordat integral sau </w:t>
            </w:r>
            <w:r>
              <w:rPr>
                <w:rFonts w:ascii="Times New Roman" w:eastAsia="Times New Roman" w:hAnsi="Times New Roman" w:cs="Times New Roman"/>
                <w:sz w:val="24"/>
                <w:szCs w:val="24"/>
                <w:highlight w:val="white"/>
                <w:u w:val="single"/>
              </w:rPr>
              <w:t>divizat în până la 3 fracțiuni</w:t>
            </w:r>
            <w:r>
              <w:rPr>
                <w:rFonts w:ascii="Times New Roman" w:eastAsia="Times New Roman" w:hAnsi="Times New Roman" w:cs="Times New Roman"/>
                <w:sz w:val="24"/>
                <w:szCs w:val="24"/>
                <w:highlight w:val="white"/>
              </w:rPr>
              <w:t xml:space="preserve">, pe parcursul primelor 12 luni de la nașterea copilului. O fracțiune de concediu reprezintă </w:t>
            </w:r>
            <w:r>
              <w:rPr>
                <w:rFonts w:ascii="Times New Roman" w:eastAsia="Times New Roman" w:hAnsi="Times New Roman" w:cs="Times New Roman"/>
                <w:sz w:val="24"/>
                <w:szCs w:val="24"/>
                <w:highlight w:val="white"/>
                <w:u w:val="single"/>
              </w:rPr>
              <w:t>cel puțin 5 zile calendaristice</w:t>
            </w:r>
            <w:r>
              <w:rPr>
                <w:rFonts w:ascii="Times New Roman" w:eastAsia="Times New Roman" w:hAnsi="Times New Roman" w:cs="Times New Roman"/>
                <w:sz w:val="24"/>
                <w:szCs w:val="24"/>
                <w:highlight w:val="white"/>
              </w:rPr>
              <w:t xml:space="preserve">. Salariatul beneficiază de concediu paternal în baza cererii depuse cu cel puțin 5 zile înainte de fiecare fracțiune de concediu, cu excepția cazului în care perioadele fracțiunilor au fost stabilite în prealabil cu angajatorul.  </w:t>
            </w:r>
          </w:p>
          <w:p w14:paraId="7E55913F" w14:textId="77777777" w:rsidR="00315874" w:rsidRDefault="00000000">
            <w:pPr>
              <w:shd w:val="clear" w:color="auto" w:fill="FFFFFF"/>
              <w:spacing w:line="240" w:lineRule="auto"/>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sz w:val="24"/>
                <w:szCs w:val="24"/>
                <w:highlight w:val="white"/>
              </w:rPr>
              <w:t xml:space="preserve">Prin urmare, cadrul normativ în vigoare reglementează posibilitatea acordării acestui concediu în fracțiuni, ceea ce permite, în practică, utilizarea acestuia inclusiv în zile lucrătoare (divizat până la 3 fracțiuni a câte 5 zile fiecare). </w:t>
            </w:r>
          </w:p>
        </w:tc>
      </w:tr>
      <w:tr w:rsidR="00315874" w14:paraId="1D183466" w14:textId="77777777">
        <w:trPr>
          <w:trHeight w:val="1185"/>
        </w:trPr>
        <w:tc>
          <w:tcPr>
            <w:tcW w:w="870" w:type="dxa"/>
            <w:vMerge/>
            <w:tcBorders>
              <w:top w:val="nil"/>
              <w:left w:val="single" w:sz="6" w:space="0" w:color="999999"/>
              <w:bottom w:val="single" w:sz="6" w:space="0" w:color="999999"/>
              <w:right w:val="single" w:sz="6" w:space="0" w:color="999999"/>
            </w:tcBorders>
            <w:tcMar>
              <w:top w:w="0" w:type="dxa"/>
              <w:left w:w="100" w:type="dxa"/>
              <w:bottom w:w="0" w:type="dxa"/>
              <w:right w:w="100" w:type="dxa"/>
            </w:tcMar>
          </w:tcPr>
          <w:p w14:paraId="4FD7F11B" w14:textId="77777777" w:rsidR="00315874" w:rsidRDefault="00315874">
            <w:pPr>
              <w:spacing w:line="240" w:lineRule="auto"/>
              <w:jc w:val="center"/>
              <w:rPr>
                <w:rFonts w:ascii="Times New Roman" w:eastAsia="Times New Roman" w:hAnsi="Times New Roman" w:cs="Times New Roman"/>
                <w:b/>
                <w:bCs/>
                <w:sz w:val="24"/>
                <w:szCs w:val="24"/>
                <w:highlight w:val="white"/>
              </w:rPr>
            </w:pPr>
          </w:p>
        </w:tc>
        <w:tc>
          <w:tcPr>
            <w:tcW w:w="2730" w:type="dxa"/>
            <w:vMerge/>
            <w:tcBorders>
              <w:top w:val="nil"/>
              <w:left w:val="nil"/>
              <w:bottom w:val="single" w:sz="6" w:space="0" w:color="999999"/>
              <w:right w:val="single" w:sz="6" w:space="0" w:color="999999"/>
            </w:tcBorders>
            <w:tcMar>
              <w:top w:w="0" w:type="dxa"/>
              <w:left w:w="100" w:type="dxa"/>
              <w:bottom w:w="0" w:type="dxa"/>
              <w:right w:w="100" w:type="dxa"/>
            </w:tcMar>
          </w:tcPr>
          <w:p w14:paraId="2A496696" w14:textId="77777777" w:rsidR="00315874" w:rsidRDefault="00315874">
            <w:pPr>
              <w:spacing w:line="240" w:lineRule="auto"/>
              <w:jc w:val="center"/>
              <w:rPr>
                <w:rFonts w:ascii="Times New Roman" w:eastAsia="Times New Roman" w:hAnsi="Times New Roman" w:cs="Times New Roman"/>
                <w:sz w:val="24"/>
                <w:szCs w:val="24"/>
                <w:highlight w:val="white"/>
              </w:rPr>
            </w:pPr>
          </w:p>
        </w:tc>
        <w:tc>
          <w:tcPr>
            <w:tcW w:w="5550" w:type="dxa"/>
            <w:tcBorders>
              <w:top w:val="nil"/>
              <w:left w:val="nil"/>
              <w:bottom w:val="single" w:sz="6" w:space="0" w:color="000000"/>
              <w:right w:val="single" w:sz="6" w:space="0" w:color="999999"/>
            </w:tcBorders>
            <w:tcMar>
              <w:top w:w="0" w:type="dxa"/>
              <w:left w:w="100" w:type="dxa"/>
              <w:bottom w:w="0" w:type="dxa"/>
              <w:right w:w="100" w:type="dxa"/>
            </w:tcMar>
          </w:tcPr>
          <w:p w14:paraId="5CF150CC" w14:textId="77777777" w:rsidR="00315874" w:rsidRDefault="00000000">
            <w:pPr>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 xml:space="preserve">  6. Asigurarea neutralității financiare în conversia concediilor suplimentare prevăzute la art. 121 din Codul muncii</w:t>
            </w:r>
          </w:p>
          <w:p w14:paraId="30B586D0"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Proiectul propune transformarea concediilor suplimentare de la 4 zile calendaristice la 4 zile lucrătoare pentru salariații care activează în condiții vătămătoare, persoanele cu dizabilități de vedere severe, </w:t>
            </w:r>
            <w:r>
              <w:rPr>
                <w:rFonts w:ascii="Times New Roman" w:eastAsia="Times New Roman" w:hAnsi="Times New Roman" w:cs="Times New Roman"/>
                <w:sz w:val="24"/>
                <w:szCs w:val="24"/>
                <w:highlight w:val="white"/>
              </w:rPr>
              <w:lastRenderedPageBreak/>
              <w:t>tinerii de până la 18 ani și unul dintre părinții cu doi sau mai mulți copii în vârstă de până la 14 ani sau cu copil cu dizabilități.</w:t>
            </w:r>
          </w:p>
          <w:p w14:paraId="3F01B833"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Respectiv, transformarea automată a 4 zile calendaristice în 4 zile lucrătoare nu constituie o conversie neutră. Zilele calendaristice includ, în mod natural, zilele de repaus săptămânal, în timp ce zilele lucrătoare reprezintă exclusiv zile de absență efectivă de la activitate. Prin urmare, noua reglementare poate conduce la extinderea substanțială a beneficiului și la majorarea costurilor suportate de angajatori. Prin urmare, rugăm reevaluarea cuantumului concediilor suplimentare prevăzute la art. 121 din Codul muncii, astfel încât conversia să respecte principiul neutralității financiare și să nu conducă la extinderea artificială a obligațiilor angajatorilor. În acest sens, se propune stabilirea duratei la </w:t>
            </w:r>
            <w:r>
              <w:rPr>
                <w:rFonts w:ascii="Times New Roman" w:eastAsia="Times New Roman" w:hAnsi="Times New Roman" w:cs="Times New Roman"/>
                <w:b/>
                <w:bCs/>
                <w:sz w:val="24"/>
                <w:szCs w:val="24"/>
                <w:highlight w:val="white"/>
              </w:rPr>
              <w:t>maximum 3 zile lucrătoare</w:t>
            </w:r>
            <w:r>
              <w:rPr>
                <w:rFonts w:ascii="Times New Roman" w:eastAsia="Times New Roman" w:hAnsi="Times New Roman" w:cs="Times New Roman"/>
                <w:sz w:val="24"/>
                <w:szCs w:val="24"/>
                <w:highlight w:val="white"/>
              </w:rPr>
              <w:t xml:space="preserve"> sau prezentarea unei analize de impact financiar care să</w:t>
            </w:r>
          </w:p>
          <w:p w14:paraId="40043FD0"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justifice menținerea duratei de 4 zile lucrătoare.</w:t>
            </w:r>
          </w:p>
          <w:p w14:paraId="7E10ECBE"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Totodată, în cazul în care noul regim va presupune ajustarea duratei concediului în funcție de programul individual de muncă al salariatului, este necesară reglementarea expresă a modului de aplicare a acestui mecanism și pentru concediile suplimentare prevăzute la art. 121 din Codul muncii. În lipsa unor reguli clare, aceeași categorie de beneficiari poate primi, în funcție de repartizarea timpului de muncă, perioade efective de repaus diferite, ceea ce ar contraveni principiului </w:t>
            </w:r>
            <w:r>
              <w:rPr>
                <w:rFonts w:ascii="Times New Roman" w:eastAsia="Times New Roman" w:hAnsi="Times New Roman" w:cs="Times New Roman"/>
                <w:sz w:val="24"/>
                <w:szCs w:val="24"/>
                <w:highlight w:val="white"/>
              </w:rPr>
              <w:lastRenderedPageBreak/>
              <w:t>tratamentului echitabil și ar genera dificultăți suplimentare de calcul și evidență pentru angajatori.</w:t>
            </w:r>
          </w:p>
        </w:tc>
        <w:tc>
          <w:tcPr>
            <w:tcW w:w="5880" w:type="dxa"/>
            <w:tcBorders>
              <w:top w:val="nil"/>
              <w:left w:val="nil"/>
              <w:bottom w:val="single" w:sz="6" w:space="0" w:color="000000"/>
              <w:right w:val="single" w:sz="6" w:space="0" w:color="999999"/>
            </w:tcBorders>
            <w:tcMar>
              <w:top w:w="0" w:type="dxa"/>
              <w:left w:w="100" w:type="dxa"/>
              <w:bottom w:w="0" w:type="dxa"/>
              <w:right w:w="100" w:type="dxa"/>
            </w:tcMar>
          </w:tcPr>
          <w:p w14:paraId="6A574196"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Se acceptă, parțial.</w:t>
            </w:r>
          </w:p>
          <w:p w14:paraId="307C0E68"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Se acceptă recomandarea de a reevalua, pentru fiecare dintre cuantumurile concediilor suplimentare prevăzute la art. 121 (condiții vătămătoare, dizabilități, tineri, părinți cu 2 și mai mulți copii), aplicarea aceluiași raport de conversie utilizat pentru concediul de bază (22/28, a se vedea pct. 3 și pct. 13 din prezenta Sinteză), în locul substituirii directe a </w:t>
            </w:r>
            <w:r>
              <w:rPr>
                <w:rFonts w:ascii="Times New Roman" w:eastAsia="Times New Roman" w:hAnsi="Times New Roman" w:cs="Times New Roman"/>
                <w:sz w:val="24"/>
                <w:szCs w:val="24"/>
                <w:highlight w:val="white"/>
              </w:rPr>
              <w:t>termenului „calendaristice” cu „lucrătoare” fără ajustarea cuantumului. Cuantumurile vor fi revizuite corespunzător înainte de adoptarea proiectului, pentru a asigura neutralitatea financiară a conversiei.</w:t>
            </w:r>
          </w:p>
          <w:p w14:paraId="22416960"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Mecanismul de ajustare proporțională pentru salariații cu programe individuale sau atipice de muncă, expus la pct. 12 (avizul Asociației Businessului European) și la pct. 21 (avizul Avocatului Poporului), se va aplica, în mod corespunzător, și concediilor suplimentare prevăzute la art. 121.</w:t>
            </w:r>
          </w:p>
          <w:p w14:paraId="42744731"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6C83F343" w14:textId="14C3C13C" w:rsidR="0021239A" w:rsidRDefault="0021239A">
            <w:pPr>
              <w:shd w:val="clear" w:color="auto" w:fill="FFFFFF"/>
              <w:jc w:val="both"/>
              <w:rPr>
                <w:rFonts w:ascii="Times New Roman" w:eastAsia="Times New Roman" w:hAnsi="Times New Roman" w:cs="Times New Roman"/>
                <w:sz w:val="24"/>
                <w:szCs w:val="24"/>
                <w:highlight w:val="white"/>
              </w:rPr>
            </w:pPr>
          </w:p>
        </w:tc>
      </w:tr>
      <w:tr w:rsidR="00315874" w14:paraId="66E61475" w14:textId="77777777">
        <w:trPr>
          <w:trHeight w:val="1185"/>
        </w:trPr>
        <w:tc>
          <w:tcPr>
            <w:tcW w:w="870" w:type="dxa"/>
            <w:vMerge/>
            <w:tcBorders>
              <w:top w:val="nil"/>
              <w:left w:val="single" w:sz="6" w:space="0" w:color="999999"/>
              <w:bottom w:val="single" w:sz="6" w:space="0" w:color="999999"/>
              <w:right w:val="single" w:sz="6" w:space="0" w:color="999999"/>
            </w:tcBorders>
            <w:tcMar>
              <w:top w:w="0" w:type="dxa"/>
              <w:left w:w="100" w:type="dxa"/>
              <w:bottom w:w="0" w:type="dxa"/>
              <w:right w:w="100" w:type="dxa"/>
            </w:tcMar>
          </w:tcPr>
          <w:p w14:paraId="449EFC8E" w14:textId="77777777" w:rsidR="00315874" w:rsidRDefault="00315874">
            <w:pPr>
              <w:spacing w:line="240" w:lineRule="auto"/>
              <w:jc w:val="center"/>
              <w:rPr>
                <w:rFonts w:ascii="Times New Roman" w:eastAsia="Times New Roman" w:hAnsi="Times New Roman" w:cs="Times New Roman"/>
                <w:b/>
                <w:bCs/>
                <w:sz w:val="24"/>
                <w:szCs w:val="24"/>
                <w:highlight w:val="white"/>
              </w:rPr>
            </w:pPr>
          </w:p>
        </w:tc>
        <w:tc>
          <w:tcPr>
            <w:tcW w:w="2730" w:type="dxa"/>
            <w:vMerge/>
            <w:tcBorders>
              <w:top w:val="nil"/>
              <w:left w:val="nil"/>
              <w:bottom w:val="single" w:sz="6" w:space="0" w:color="999999"/>
              <w:right w:val="single" w:sz="6" w:space="0" w:color="999999"/>
            </w:tcBorders>
            <w:tcMar>
              <w:top w:w="0" w:type="dxa"/>
              <w:left w:w="100" w:type="dxa"/>
              <w:bottom w:w="0" w:type="dxa"/>
              <w:right w:w="100" w:type="dxa"/>
            </w:tcMar>
          </w:tcPr>
          <w:p w14:paraId="224BA2B6" w14:textId="77777777" w:rsidR="00315874" w:rsidRDefault="00315874">
            <w:pPr>
              <w:spacing w:line="240" w:lineRule="auto"/>
              <w:jc w:val="center"/>
              <w:rPr>
                <w:rFonts w:ascii="Times New Roman" w:eastAsia="Times New Roman" w:hAnsi="Times New Roman" w:cs="Times New Roman"/>
                <w:sz w:val="24"/>
                <w:szCs w:val="24"/>
                <w:highlight w:val="white"/>
              </w:rPr>
            </w:pPr>
          </w:p>
        </w:tc>
        <w:tc>
          <w:tcPr>
            <w:tcW w:w="5550" w:type="dxa"/>
            <w:tcBorders>
              <w:top w:val="nil"/>
              <w:left w:val="nil"/>
              <w:bottom w:val="single" w:sz="6" w:space="0" w:color="000000"/>
              <w:right w:val="single" w:sz="6" w:space="0" w:color="999999"/>
            </w:tcBorders>
            <w:tcMar>
              <w:top w:w="0" w:type="dxa"/>
              <w:left w:w="100" w:type="dxa"/>
              <w:bottom w:w="0" w:type="dxa"/>
              <w:right w:w="100" w:type="dxa"/>
            </w:tcMar>
          </w:tcPr>
          <w:p w14:paraId="4AADF2C3" w14:textId="77777777" w:rsidR="00315874" w:rsidRDefault="00000000">
            <w:pPr>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 xml:space="preserve">  7. Excluderea sau flexibilizarea condiției de utilizare prealabilă a concediului de bază pentru acordarea concediului suplimentar destinat părinților</w:t>
            </w:r>
          </w:p>
          <w:p w14:paraId="0E470A18"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Proiectul prevede că concediile de odihnă anuale suplimentare plătite se acordă după utilizarea a cel puțin două săptămâni lucrătoare de concediu neîntrerupt în anul de referință.</w:t>
            </w:r>
          </w:p>
          <w:p w14:paraId="565AF9BB"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Această condiție poate afecta în mod disproporționat părinții care beneficiază de concediul suplimentar prevăzut la art. 121 alin. (4), </w:t>
            </w:r>
            <w:r>
              <w:rPr>
                <w:rFonts w:ascii="Times New Roman" w:eastAsia="Times New Roman" w:hAnsi="Times New Roman" w:cs="Times New Roman"/>
                <w:i/>
                <w:iCs/>
                <w:sz w:val="24"/>
                <w:szCs w:val="24"/>
                <w:highlight w:val="white"/>
                <w:u w:val="single"/>
              </w:rPr>
              <w:t>în special în situațiile în care copilul împlinește vârsta de 14 ani la începutul anului de referință</w:t>
            </w:r>
            <w:r>
              <w:rPr>
                <w:rFonts w:ascii="Times New Roman" w:eastAsia="Times New Roman" w:hAnsi="Times New Roman" w:cs="Times New Roman"/>
                <w:sz w:val="24"/>
                <w:szCs w:val="24"/>
                <w:highlight w:val="white"/>
              </w:rPr>
              <w:t>. În asemenea cazuri, salariatul poate fi pus în imposibilitatea practică de a utiliza mai întâi concediul de bază în fracția obligatorie și ulterior concediul suplimentar, înainte de stingerea dreptului.</w:t>
            </w:r>
          </w:p>
          <w:p w14:paraId="7B2B71EB"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Prin urmare, se consideră necesară excluderea concediului suplimentar acordat părinților în temeiul art. 121 alin. (4) de la condiția utilizării prealabile a concediului de bază sau, alternativ, completarea normei cu o excepție expresă pentru situațiile în care dreptul la concediul suplimentar se stinge în cursul anului de referință.</w:t>
            </w:r>
          </w:p>
          <w:p w14:paraId="4CBE2F4B"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Propunem o formulare alternativă a normei:</w:t>
            </w:r>
          </w:p>
          <w:p w14:paraId="372931E1" w14:textId="77777777" w:rsidR="00315874" w:rsidRDefault="00000000">
            <w:pPr>
              <w:jc w:val="both"/>
              <w:rPr>
                <w:rFonts w:ascii="Times New Roman" w:eastAsia="Times New Roman" w:hAnsi="Times New Roman" w:cs="Times New Roman"/>
                <w:i/>
                <w:iCs/>
                <w:sz w:val="24"/>
                <w:szCs w:val="24"/>
                <w:highlight w:val="white"/>
              </w:rPr>
            </w:pPr>
            <w:r>
              <w:rPr>
                <w:rFonts w:ascii="Times New Roman" w:eastAsia="Times New Roman" w:hAnsi="Times New Roman" w:cs="Times New Roman"/>
                <w:i/>
                <w:iCs/>
                <w:sz w:val="24"/>
                <w:szCs w:val="24"/>
                <w:highlight w:val="white"/>
              </w:rPr>
              <w:lastRenderedPageBreak/>
              <w:t>„Concediile de odihnă anuale suplimentare plătite se acordă după utilizarea a cel puțin 10 zile lucrătoare de concediu neîntrerupt în anul de referință, cu excepția situațiilor în care dreptul la concediul suplimentar se stinge în cursul anului de referință.”</w:t>
            </w:r>
          </w:p>
          <w:p w14:paraId="426B5237"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Totodată, pentru a evita aplicarea rigidă a acestei condiții în raport cu salariații care activează în regimuri atipice de muncă, considerăm necesară clarificarea modului în care se determină fracția obligatorie de concediu neîntrerupt în funcție de programul individual de lucru. În special, pentru salariații cu timp parțial, muncă în ture, program variabil sau săptămână de muncă redusă, aplicarea uniformă a cerinței privind utilizarea prealabilă a unui</w:t>
            </w:r>
          </w:p>
          <w:p w14:paraId="2A3DDAC7"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număr fix de zile lucrătoare poate genera dificultăți practice și tratamente neuniforme.</w:t>
            </w:r>
          </w:p>
          <w:p w14:paraId="21FED31F" w14:textId="77777777" w:rsidR="00315874" w:rsidRDefault="00000000">
            <w:pPr>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sz w:val="24"/>
                <w:szCs w:val="24"/>
                <w:highlight w:val="white"/>
              </w:rPr>
              <w:t xml:space="preserve">  Prin urmare, norma urmează să prevadă expres fie echivalentul aplicabil în funcție de programul de muncă al salariatului, fie un mecanism clar de calcul care să asigure aplicarea proporțională și predictibilă a acestei condiții.</w:t>
            </w:r>
          </w:p>
        </w:tc>
        <w:tc>
          <w:tcPr>
            <w:tcW w:w="5880" w:type="dxa"/>
            <w:tcBorders>
              <w:top w:val="nil"/>
              <w:left w:val="nil"/>
              <w:bottom w:val="single" w:sz="6" w:space="0" w:color="000000"/>
              <w:right w:val="single" w:sz="6" w:space="0" w:color="999999"/>
            </w:tcBorders>
            <w:tcMar>
              <w:top w:w="0" w:type="dxa"/>
              <w:left w:w="100" w:type="dxa"/>
              <w:bottom w:w="0" w:type="dxa"/>
              <w:right w:w="100" w:type="dxa"/>
            </w:tcMar>
          </w:tcPr>
          <w:p w14:paraId="47F60309"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 xml:space="preserve">Se acceptă. </w:t>
            </w:r>
          </w:p>
          <w:p w14:paraId="43DF41A4"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Proiectul a fost modificat</w:t>
            </w:r>
          </w:p>
        </w:tc>
      </w:tr>
      <w:tr w:rsidR="00315874" w14:paraId="414A13AC" w14:textId="77777777">
        <w:trPr>
          <w:trHeight w:val="1185"/>
        </w:trPr>
        <w:tc>
          <w:tcPr>
            <w:tcW w:w="870" w:type="dxa"/>
            <w:vMerge/>
            <w:tcBorders>
              <w:top w:val="nil"/>
              <w:left w:val="single" w:sz="6" w:space="0" w:color="999999"/>
              <w:bottom w:val="single" w:sz="6" w:space="0" w:color="999999"/>
              <w:right w:val="single" w:sz="6" w:space="0" w:color="999999"/>
            </w:tcBorders>
            <w:tcMar>
              <w:top w:w="0" w:type="dxa"/>
              <w:left w:w="100" w:type="dxa"/>
              <w:bottom w:w="0" w:type="dxa"/>
              <w:right w:w="100" w:type="dxa"/>
            </w:tcMar>
          </w:tcPr>
          <w:p w14:paraId="23ABAB37" w14:textId="77777777" w:rsidR="00315874" w:rsidRDefault="00315874">
            <w:pPr>
              <w:spacing w:line="240" w:lineRule="auto"/>
              <w:jc w:val="center"/>
              <w:rPr>
                <w:rFonts w:ascii="Times New Roman" w:eastAsia="Times New Roman" w:hAnsi="Times New Roman" w:cs="Times New Roman"/>
                <w:b/>
                <w:bCs/>
                <w:sz w:val="24"/>
                <w:szCs w:val="24"/>
                <w:highlight w:val="white"/>
              </w:rPr>
            </w:pPr>
          </w:p>
        </w:tc>
        <w:tc>
          <w:tcPr>
            <w:tcW w:w="2730" w:type="dxa"/>
            <w:vMerge/>
            <w:tcBorders>
              <w:top w:val="nil"/>
              <w:left w:val="nil"/>
              <w:bottom w:val="single" w:sz="6" w:space="0" w:color="999999"/>
              <w:right w:val="single" w:sz="6" w:space="0" w:color="999999"/>
            </w:tcBorders>
            <w:tcMar>
              <w:top w:w="0" w:type="dxa"/>
              <w:left w:w="100" w:type="dxa"/>
              <w:bottom w:w="0" w:type="dxa"/>
              <w:right w:w="100" w:type="dxa"/>
            </w:tcMar>
          </w:tcPr>
          <w:p w14:paraId="0BD4273D" w14:textId="77777777" w:rsidR="00315874" w:rsidRDefault="00315874">
            <w:pPr>
              <w:spacing w:line="240" w:lineRule="auto"/>
              <w:jc w:val="center"/>
              <w:rPr>
                <w:rFonts w:ascii="Times New Roman" w:eastAsia="Times New Roman" w:hAnsi="Times New Roman" w:cs="Times New Roman"/>
                <w:sz w:val="24"/>
                <w:szCs w:val="24"/>
                <w:highlight w:val="white"/>
              </w:rPr>
            </w:pPr>
          </w:p>
        </w:tc>
        <w:tc>
          <w:tcPr>
            <w:tcW w:w="5550" w:type="dxa"/>
            <w:tcBorders>
              <w:top w:val="nil"/>
              <w:left w:val="nil"/>
              <w:bottom w:val="single" w:sz="6" w:space="0" w:color="000000"/>
              <w:right w:val="single" w:sz="6" w:space="0" w:color="999999"/>
            </w:tcBorders>
            <w:tcMar>
              <w:top w:w="0" w:type="dxa"/>
              <w:left w:w="100" w:type="dxa"/>
              <w:bottom w:w="0" w:type="dxa"/>
              <w:right w:w="100" w:type="dxa"/>
            </w:tcMar>
          </w:tcPr>
          <w:p w14:paraId="64F202DC" w14:textId="77777777" w:rsidR="00315874" w:rsidRDefault="00000000">
            <w:pPr>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 xml:space="preserve">  8. Clarificarea calculului indemnizației de concediu și a exemplelor de aplicare</w:t>
            </w:r>
          </w:p>
          <w:p w14:paraId="33649880"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S-au identificat neclarități privind exemplele de calcul prezentate în materialele aferente proiectului, inclusiv în cazul lunilor lucrate incomplet și al raportării între suma utilizată pentru calculul indemnizației și numărul de zile de concediu acordate. Întrucât modificarea propusă </w:t>
            </w:r>
            <w:r>
              <w:rPr>
                <w:rFonts w:ascii="Times New Roman" w:eastAsia="Times New Roman" w:hAnsi="Times New Roman" w:cs="Times New Roman"/>
                <w:sz w:val="24"/>
                <w:szCs w:val="24"/>
                <w:highlight w:val="white"/>
              </w:rPr>
              <w:lastRenderedPageBreak/>
              <w:t>implică o schimbare substanțială de paradigmă, este esențial ca angajatorii și salariații să dispună de reguli de calcul clare, exemple corecte și instrucțiuni aplicabile uniform.</w:t>
            </w:r>
          </w:p>
          <w:p w14:paraId="353B3387"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Astfel, se consideră oportun elaborarea și publicarea, până la intrarea în vigoare a legii, a unui ghid metodologic cu exemple de calcul pentru: salariați cu normă întreagă și timp parțial, luni lucrate incomplet, muncă în ture, evidență sumară, reportarea soldurilor,</w:t>
            </w:r>
          </w:p>
          <w:p w14:paraId="3B349165"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concedii fracționate, zile de sărbătoare nelucrătoare și calculul indemnizației de concediu.</w:t>
            </w:r>
          </w:p>
          <w:p w14:paraId="6ABA90E0"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Totodată, considerăm necesar ca regulile fundamentale privind calcularea concediului și a indemnizației aferente să fie prevăzute expres în actul normativ, inclusiv definirea noțiunii de </w:t>
            </w:r>
            <w:r>
              <w:rPr>
                <w:rFonts w:ascii="Times New Roman" w:eastAsia="Times New Roman" w:hAnsi="Times New Roman" w:cs="Times New Roman"/>
                <w:i/>
                <w:iCs/>
                <w:sz w:val="24"/>
                <w:szCs w:val="24"/>
                <w:highlight w:val="white"/>
              </w:rPr>
              <w:t>„zi lucrătoare de concediu”</w:t>
            </w:r>
            <w:r>
              <w:rPr>
                <w:rFonts w:ascii="Times New Roman" w:eastAsia="Times New Roman" w:hAnsi="Times New Roman" w:cs="Times New Roman"/>
                <w:sz w:val="24"/>
                <w:szCs w:val="24"/>
                <w:highlight w:val="white"/>
              </w:rPr>
              <w:t xml:space="preserve"> și principiile aplicabile salariaților cu programe de muncă atipice. Ghidul metodologic urmează să detalieze aplicarea practică a acestor reguli,</w:t>
            </w:r>
          </w:p>
          <w:p w14:paraId="1254E2A1"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fără a substitui reglementarea legală a elementelor esențiale.</w:t>
            </w:r>
          </w:p>
          <w:p w14:paraId="5D86FAA0"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În acest sens, exemplele de calcul ar trebui să acopere inclusiv situațiile salariaților care activează în ture, cu program variabil, în regim de evidență sumară a timpului de muncă, cu timp parțial sau cu săptămână de muncă redusă, astfel încât noul mecanism să poată fi aplicat uniform și predictibil de către angajatori.</w:t>
            </w:r>
          </w:p>
        </w:tc>
        <w:tc>
          <w:tcPr>
            <w:tcW w:w="5880" w:type="dxa"/>
            <w:tcBorders>
              <w:top w:val="nil"/>
              <w:left w:val="nil"/>
              <w:bottom w:val="single" w:sz="6" w:space="0" w:color="000000"/>
              <w:right w:val="single" w:sz="6" w:space="0" w:color="999999"/>
            </w:tcBorders>
            <w:tcMar>
              <w:top w:w="0" w:type="dxa"/>
              <w:left w:w="100" w:type="dxa"/>
              <w:bottom w:w="0" w:type="dxa"/>
              <w:right w:w="100" w:type="dxa"/>
            </w:tcMar>
          </w:tcPr>
          <w:p w14:paraId="1E49B88C"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Se acceptă.</w:t>
            </w:r>
          </w:p>
          <w:p w14:paraId="0D39A655" w14:textId="34D8E4E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Urmează a fi modificată Hotarârea Guvernului 426/2004 privind aprobarea Modului de calculare a salariului mediu care va explica modalitatea de calcul</w:t>
            </w:r>
            <w:r w:rsidR="0009241B">
              <w:rPr>
                <w:rFonts w:ascii="Times New Roman" w:eastAsia="Times New Roman" w:hAnsi="Times New Roman" w:cs="Times New Roman"/>
                <w:sz w:val="24"/>
                <w:szCs w:val="24"/>
                <w:highlight w:val="white"/>
              </w:rPr>
              <w:t>.</w:t>
            </w:r>
          </w:p>
          <w:p w14:paraId="77AECBB0"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07C923B7"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4A6BD1DC"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255ECF79" w14:textId="7FD23E0B" w:rsidR="0021239A" w:rsidRDefault="0021239A">
            <w:pPr>
              <w:shd w:val="clear" w:color="auto" w:fill="FFFFFF"/>
              <w:jc w:val="both"/>
              <w:rPr>
                <w:rFonts w:ascii="Times New Roman" w:eastAsia="Times New Roman" w:hAnsi="Times New Roman" w:cs="Times New Roman"/>
                <w:sz w:val="24"/>
                <w:szCs w:val="24"/>
                <w:highlight w:val="white"/>
              </w:rPr>
            </w:pPr>
          </w:p>
        </w:tc>
      </w:tr>
      <w:tr w:rsidR="00315874" w14:paraId="6E152A2F" w14:textId="77777777">
        <w:trPr>
          <w:trHeight w:val="1185"/>
        </w:trPr>
        <w:tc>
          <w:tcPr>
            <w:tcW w:w="870" w:type="dxa"/>
            <w:vMerge/>
            <w:tcBorders>
              <w:top w:val="nil"/>
              <w:left w:val="single" w:sz="6" w:space="0" w:color="999999"/>
              <w:bottom w:val="single" w:sz="6" w:space="0" w:color="999999"/>
              <w:right w:val="single" w:sz="6" w:space="0" w:color="999999"/>
            </w:tcBorders>
            <w:tcMar>
              <w:top w:w="0" w:type="dxa"/>
              <w:left w:w="100" w:type="dxa"/>
              <w:bottom w:w="0" w:type="dxa"/>
              <w:right w:w="100" w:type="dxa"/>
            </w:tcMar>
          </w:tcPr>
          <w:p w14:paraId="51E18899" w14:textId="77777777" w:rsidR="00315874" w:rsidRDefault="00315874">
            <w:pPr>
              <w:spacing w:line="240" w:lineRule="auto"/>
              <w:jc w:val="center"/>
              <w:rPr>
                <w:rFonts w:ascii="Times New Roman" w:eastAsia="Times New Roman" w:hAnsi="Times New Roman" w:cs="Times New Roman"/>
                <w:b/>
                <w:bCs/>
                <w:sz w:val="24"/>
                <w:szCs w:val="24"/>
                <w:highlight w:val="white"/>
              </w:rPr>
            </w:pPr>
          </w:p>
        </w:tc>
        <w:tc>
          <w:tcPr>
            <w:tcW w:w="2730" w:type="dxa"/>
            <w:vMerge/>
            <w:tcBorders>
              <w:top w:val="nil"/>
              <w:left w:val="nil"/>
              <w:bottom w:val="single" w:sz="6" w:space="0" w:color="999999"/>
              <w:right w:val="single" w:sz="6" w:space="0" w:color="999999"/>
            </w:tcBorders>
            <w:tcMar>
              <w:top w:w="0" w:type="dxa"/>
              <w:left w:w="100" w:type="dxa"/>
              <w:bottom w:w="0" w:type="dxa"/>
              <w:right w:w="100" w:type="dxa"/>
            </w:tcMar>
          </w:tcPr>
          <w:p w14:paraId="54422AA0" w14:textId="77777777" w:rsidR="00315874" w:rsidRDefault="00315874">
            <w:pPr>
              <w:spacing w:line="240" w:lineRule="auto"/>
              <w:jc w:val="center"/>
              <w:rPr>
                <w:rFonts w:ascii="Times New Roman" w:eastAsia="Times New Roman" w:hAnsi="Times New Roman" w:cs="Times New Roman"/>
                <w:sz w:val="24"/>
                <w:szCs w:val="24"/>
                <w:highlight w:val="white"/>
              </w:rPr>
            </w:pPr>
          </w:p>
        </w:tc>
        <w:tc>
          <w:tcPr>
            <w:tcW w:w="5550" w:type="dxa"/>
            <w:tcBorders>
              <w:top w:val="nil"/>
              <w:left w:val="nil"/>
              <w:bottom w:val="single" w:sz="6" w:space="0" w:color="000000"/>
              <w:right w:val="single" w:sz="6" w:space="0" w:color="999999"/>
            </w:tcBorders>
            <w:tcMar>
              <w:top w:w="0" w:type="dxa"/>
              <w:left w:w="100" w:type="dxa"/>
              <w:bottom w:w="0" w:type="dxa"/>
              <w:right w:w="100" w:type="dxa"/>
            </w:tcMar>
          </w:tcPr>
          <w:p w14:paraId="096A1C30" w14:textId="77777777" w:rsidR="00315874" w:rsidRDefault="00000000">
            <w:pPr>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 xml:space="preserve">  9. Clarificarea regimului de stingere și raportare a zilelor de concediu neutilizate</w:t>
            </w:r>
          </w:p>
          <w:p w14:paraId="46C80BAB"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În cadrul consultărilor au fost semnalate și ambiguități existente privind aplicarea art. 118 din Codul muncii, inclusiv referitor la reportarea și utilizarea zilelor de concediu neefectuate. Dat fiind că proiectul intervine asupra regulilor de divizare a concediului, este oportun ca acesta să clarifice simultan condițiile de reportare, perioada de utilizare a soldurilor și situațiile excepționale în care neutilizarea concediului nu este imputabilă salariatului. Respectiv, propunem completarea sau clarificarea art. 118 din Codul muncii prin stabilirea expresă a regulilor privind reportarea, utilizarea și stingerea zilelor de concediu neutilizate, inclusiv pentru a evita interpretări neuniforme în practică și riscul pierderii nejustificate a dreptului la odihnă.</w:t>
            </w:r>
          </w:p>
          <w:p w14:paraId="03747BBD"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Totodată, considerăm necesară stabilirea expresă a modului în care se raportează și se utilizează zilele de concediu neefectuate în situația trecerii la noul sistem de calcul în zile lucrătoare. Norma ar trebui să prevadă clar ordinea de consumare a drepturilor, inclusiv în cazul soldurilor convertite, regulile aplicabile atunci când salariatul are concomitent zile acumulate din perioade diferite, precum și modalitatea de compensare a acestora la încetarea raporturilor de muncă.</w:t>
            </w:r>
          </w:p>
          <w:p w14:paraId="26BBA241" w14:textId="77777777" w:rsidR="00315874" w:rsidRDefault="00000000">
            <w:pPr>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sz w:val="24"/>
                <w:szCs w:val="24"/>
                <w:highlight w:val="white"/>
              </w:rPr>
              <w:t xml:space="preserve">  În lipsa acestor clarificări, există riscul aplicării neuniforme de către angajatori, salariați și organele de </w:t>
            </w:r>
            <w:r>
              <w:rPr>
                <w:rFonts w:ascii="Times New Roman" w:eastAsia="Times New Roman" w:hAnsi="Times New Roman" w:cs="Times New Roman"/>
                <w:sz w:val="24"/>
                <w:szCs w:val="24"/>
                <w:highlight w:val="white"/>
              </w:rPr>
              <w:lastRenderedPageBreak/>
              <w:t>control, precum și apariția unor litigii privind evidența, utilizarea și stingerea drepturilor la concediu.</w:t>
            </w:r>
          </w:p>
        </w:tc>
        <w:tc>
          <w:tcPr>
            <w:tcW w:w="5880" w:type="dxa"/>
            <w:tcBorders>
              <w:top w:val="nil"/>
              <w:left w:val="nil"/>
              <w:bottom w:val="single" w:sz="6" w:space="0" w:color="000000"/>
              <w:right w:val="single" w:sz="6" w:space="0" w:color="999999"/>
            </w:tcBorders>
            <w:tcMar>
              <w:top w:w="0" w:type="dxa"/>
              <w:left w:w="100" w:type="dxa"/>
              <w:bottom w:w="0" w:type="dxa"/>
              <w:right w:w="100" w:type="dxa"/>
            </w:tcMar>
          </w:tcPr>
          <w:p w14:paraId="074C71FB"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 xml:space="preserve">Se acceptă. </w:t>
            </w:r>
          </w:p>
          <w:p w14:paraId="1ABD5FE9"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Dispozițiile tranzitorii au fost modificate cu clarificarea unor aspecte ce țin de concediile neutilizate</w:t>
            </w:r>
          </w:p>
        </w:tc>
      </w:tr>
      <w:tr w:rsidR="00315874" w14:paraId="39F1E561" w14:textId="77777777">
        <w:trPr>
          <w:trHeight w:val="1185"/>
        </w:trPr>
        <w:tc>
          <w:tcPr>
            <w:tcW w:w="870" w:type="dxa"/>
            <w:vMerge/>
            <w:tcBorders>
              <w:top w:val="nil"/>
              <w:left w:val="single" w:sz="6" w:space="0" w:color="999999"/>
              <w:bottom w:val="single" w:sz="6" w:space="0" w:color="999999"/>
              <w:right w:val="single" w:sz="6" w:space="0" w:color="999999"/>
            </w:tcBorders>
            <w:tcMar>
              <w:top w:w="0" w:type="dxa"/>
              <w:left w:w="100" w:type="dxa"/>
              <w:bottom w:w="0" w:type="dxa"/>
              <w:right w:w="100" w:type="dxa"/>
            </w:tcMar>
          </w:tcPr>
          <w:p w14:paraId="3D004449" w14:textId="77777777" w:rsidR="00315874" w:rsidRDefault="00315874">
            <w:pPr>
              <w:spacing w:line="240" w:lineRule="auto"/>
              <w:jc w:val="center"/>
              <w:rPr>
                <w:rFonts w:ascii="Times New Roman" w:eastAsia="Times New Roman" w:hAnsi="Times New Roman" w:cs="Times New Roman"/>
                <w:b/>
                <w:bCs/>
                <w:sz w:val="24"/>
                <w:szCs w:val="24"/>
                <w:highlight w:val="white"/>
              </w:rPr>
            </w:pPr>
          </w:p>
        </w:tc>
        <w:tc>
          <w:tcPr>
            <w:tcW w:w="2730" w:type="dxa"/>
            <w:vMerge/>
            <w:tcBorders>
              <w:top w:val="nil"/>
              <w:left w:val="nil"/>
              <w:bottom w:val="single" w:sz="6" w:space="0" w:color="999999"/>
              <w:right w:val="single" w:sz="6" w:space="0" w:color="999999"/>
            </w:tcBorders>
            <w:tcMar>
              <w:top w:w="0" w:type="dxa"/>
              <w:left w:w="100" w:type="dxa"/>
              <w:bottom w:w="0" w:type="dxa"/>
              <w:right w:w="100" w:type="dxa"/>
            </w:tcMar>
          </w:tcPr>
          <w:p w14:paraId="4E487E0F" w14:textId="77777777" w:rsidR="00315874" w:rsidRDefault="00315874">
            <w:pPr>
              <w:spacing w:line="240" w:lineRule="auto"/>
              <w:jc w:val="center"/>
              <w:rPr>
                <w:rFonts w:ascii="Times New Roman" w:eastAsia="Times New Roman" w:hAnsi="Times New Roman" w:cs="Times New Roman"/>
                <w:sz w:val="24"/>
                <w:szCs w:val="24"/>
                <w:highlight w:val="white"/>
              </w:rPr>
            </w:pPr>
          </w:p>
        </w:tc>
        <w:tc>
          <w:tcPr>
            <w:tcW w:w="5550" w:type="dxa"/>
            <w:vMerge w:val="restart"/>
            <w:tcBorders>
              <w:top w:val="nil"/>
              <w:left w:val="nil"/>
              <w:bottom w:val="single" w:sz="6" w:space="0" w:color="000000"/>
              <w:right w:val="single" w:sz="6" w:space="0" w:color="999999"/>
            </w:tcBorders>
            <w:tcMar>
              <w:top w:w="0" w:type="dxa"/>
              <w:left w:w="100" w:type="dxa"/>
              <w:bottom w:w="0" w:type="dxa"/>
              <w:right w:w="100" w:type="dxa"/>
            </w:tcMar>
          </w:tcPr>
          <w:p w14:paraId="4E18E19C" w14:textId="77777777" w:rsidR="00315874" w:rsidRDefault="00000000">
            <w:pPr>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 xml:space="preserve">   Repere din alte sisteme de drept</w:t>
            </w:r>
          </w:p>
          <w:p w14:paraId="2B94078C"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Analiza comparativă arată că statele care exprimă concediul anual în zile lucrătoare nu se limitează la schimbarea unității de măsură a perioadei de concediu. </w:t>
            </w:r>
            <w:r>
              <w:rPr>
                <w:rFonts w:ascii="Times New Roman" w:eastAsia="Times New Roman" w:hAnsi="Times New Roman" w:cs="Times New Roman"/>
                <w:sz w:val="24"/>
                <w:szCs w:val="24"/>
                <w:highlight w:val="white"/>
              </w:rPr>
              <w:lastRenderedPageBreak/>
              <w:t>Pentru a evita ca aceeași durată nominală a concediului să genereze perioade efective de repaus diferite, aceste</w:t>
            </w:r>
          </w:p>
          <w:p w14:paraId="68F25295"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sisteme prevăd mecanisme exprese de conversie sau ajustare a duratei concediului în funcție de programul individual de muncă. În lipsa unor asemenea reguli, exprimarea concediului în zile lucrătoare ar conduce la tratamente inegale între salariați și la dificultăți de aplicare.</w:t>
            </w:r>
          </w:p>
          <w:p w14:paraId="33571E55"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b/>
                <w:bCs/>
                <w:sz w:val="24"/>
                <w:szCs w:val="24"/>
                <w:highlight w:val="white"/>
              </w:rPr>
              <w:t>Austria.</w:t>
            </w:r>
            <w:r>
              <w:rPr>
                <w:rFonts w:ascii="Times New Roman" w:eastAsia="Times New Roman" w:hAnsi="Times New Roman" w:cs="Times New Roman"/>
                <w:sz w:val="24"/>
                <w:szCs w:val="24"/>
                <w:highlight w:val="white"/>
              </w:rPr>
              <w:t xml:space="preserve"> Legislația austriacă stabilește durata minimă a concediului anual în zile lucrătoare, având ca referință săptămâna de lucru de 6 zile. Pentru a evita diferențele de tratament între salariații care lucrează cu normă întreagă și cei care au un program redus, numărul zilelor de concediu este determinat proporțional cu programul individual de muncă.</w:t>
            </w:r>
          </w:p>
          <w:p w14:paraId="3033748D"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Calculul se realizează prin înmulțirea numărului de zile lucrate săptămânal cu durata concediului exprimată în săptămâni calendaristice (cinci). În consecință, un salariat care își desfășoară activitatea 3 zile pe săptămână beneficiază de 15 zile lucrătoare de concediu. Deși numărul de zile acordate diferă în funcție de programul de lucru, perioada efectivă de repaus rămâne aceeași, respectiv cinci săptămâni calendaristice pentru toți salariații.</w:t>
            </w:r>
          </w:p>
          <w:p w14:paraId="410B1E9D"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b/>
                <w:bCs/>
                <w:sz w:val="24"/>
                <w:szCs w:val="24"/>
                <w:highlight w:val="white"/>
              </w:rPr>
              <w:t>Germania</w:t>
            </w:r>
            <w:r>
              <w:rPr>
                <w:rFonts w:ascii="Times New Roman" w:eastAsia="Times New Roman" w:hAnsi="Times New Roman" w:cs="Times New Roman"/>
                <w:sz w:val="24"/>
                <w:szCs w:val="24"/>
                <w:highlight w:val="white"/>
              </w:rPr>
              <w:t>. Potrivit Legii federale privind concediile (BUrlG, §3), concediul anual minim este de 24 de zile lucrătoare, noțiune care include toate zilele calendaristice, cu excepția duminicilor și a sărbătorilor legale. Reglementarea are ca punct de plecare săptămâna de lucru de 6 zile. Ulterior, jurisprudența Curții Federale de Muncă (Bundesarbeitsgericht), în special hotărârea pronunțată în cauza 9 AZR 406/17, a clarificat că această durată legală trebuie recalculată proporțional atunci când numărul zilelor lucrătoare ale salariatului diferă de modelul legal sau se modifică pe parcursul anului, astfel încât durata efectivă a concediului să rămână echivalentă. Formulele de ajustare elaborate se bazează pe repartizarea timpului de muncă al salariatului concret pe zilele săptămânii.</w:t>
            </w:r>
          </w:p>
          <w:p w14:paraId="62A23B42"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Atunci când timpul de muncă al salariatului este repartizat neuniform pe parcursul anului calendaristic, se folosește o formulă în care numărul anual al zilelor de muncă ale salariatului este raportat la numărul zilelor lucrătoare legale pentru acel an.</w:t>
            </w:r>
          </w:p>
          <w:p w14:paraId="04C84519"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b/>
                <w:bCs/>
                <w:sz w:val="24"/>
                <w:szCs w:val="24"/>
                <w:highlight w:val="white"/>
              </w:rPr>
              <w:t xml:space="preserve">Luxemburg. </w:t>
            </w:r>
            <w:r>
              <w:rPr>
                <w:rFonts w:ascii="Times New Roman" w:eastAsia="Times New Roman" w:hAnsi="Times New Roman" w:cs="Times New Roman"/>
                <w:sz w:val="24"/>
                <w:szCs w:val="24"/>
                <w:highlight w:val="white"/>
              </w:rPr>
              <w:t xml:space="preserve">În cazul salariaților cu timp de muncă parțial sau al celor care lucrează potrivit unor programe atipice, dreptul la concediu este stabilit proporțional cu timpul de muncă prestat. Pentru a facilita aplicarea uniformă a acestor reguli, autoritățile publice </w:t>
            </w:r>
            <w:r>
              <w:rPr>
                <w:rFonts w:ascii="Times New Roman" w:eastAsia="Times New Roman" w:hAnsi="Times New Roman" w:cs="Times New Roman"/>
                <w:i/>
                <w:iCs/>
                <w:sz w:val="24"/>
                <w:szCs w:val="24"/>
                <w:highlight w:val="white"/>
              </w:rPr>
              <w:t>au elaborat</w:t>
            </w:r>
            <w:r>
              <w:rPr>
                <w:rFonts w:ascii="Times New Roman" w:eastAsia="Times New Roman" w:hAnsi="Times New Roman" w:cs="Times New Roman"/>
                <w:sz w:val="24"/>
                <w:szCs w:val="24"/>
                <w:highlight w:val="white"/>
              </w:rPr>
              <w:t xml:space="preserve"> tabele oficiale de conversie, care permit determinarea duratei concediului în funcție de numărul de luni lucrate și de volumul lunar de ore efectiv prestate.</w:t>
            </w:r>
          </w:p>
          <w:p w14:paraId="120F75B3" w14:textId="77777777" w:rsidR="00315874" w:rsidRDefault="00315874">
            <w:pPr>
              <w:jc w:val="both"/>
              <w:rPr>
                <w:rFonts w:ascii="Times New Roman" w:eastAsia="Times New Roman" w:hAnsi="Times New Roman" w:cs="Times New Roman"/>
                <w:sz w:val="24"/>
                <w:szCs w:val="24"/>
                <w:highlight w:val="white"/>
              </w:rPr>
            </w:pPr>
          </w:p>
        </w:tc>
        <w:tc>
          <w:tcPr>
            <w:tcW w:w="5880" w:type="dxa"/>
            <w:tcBorders>
              <w:top w:val="nil"/>
              <w:left w:val="nil"/>
              <w:bottom w:val="single" w:sz="6" w:space="0" w:color="000000"/>
              <w:right w:val="single" w:sz="6" w:space="0" w:color="999999"/>
            </w:tcBorders>
            <w:tcMar>
              <w:top w:w="0" w:type="dxa"/>
              <w:left w:w="100" w:type="dxa"/>
              <w:bottom w:w="0" w:type="dxa"/>
              <w:right w:w="100" w:type="dxa"/>
            </w:tcMar>
          </w:tcPr>
          <w:p w14:paraId="76230E8B"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lastRenderedPageBreak/>
              <w:t xml:space="preserve">Se ia act. </w:t>
            </w:r>
            <w:r>
              <w:rPr>
                <w:rFonts w:ascii="Times New Roman" w:eastAsia="Times New Roman" w:hAnsi="Times New Roman" w:cs="Times New Roman"/>
                <w:sz w:val="24"/>
                <w:szCs w:val="24"/>
                <w:highlight w:val="white"/>
              </w:rPr>
              <w:t>Reperele de drept comparat au fost avute în vedere la redactarea mecanismului de ajustare proporțională expus la primul răspuns din prezentul aviz (pct. 12).</w:t>
            </w:r>
          </w:p>
        </w:tc>
      </w:tr>
      <w:tr w:rsidR="00315874" w14:paraId="0EFE023C" w14:textId="77777777">
        <w:trPr>
          <w:trHeight w:hRule="exact" w:val="25893"/>
        </w:trPr>
        <w:tc>
          <w:tcPr>
            <w:tcW w:w="870" w:type="dxa"/>
            <w:vMerge/>
            <w:tcBorders>
              <w:top w:val="nil"/>
              <w:left w:val="single" w:sz="6" w:space="0" w:color="999999"/>
              <w:bottom w:val="single" w:sz="6" w:space="0" w:color="000000"/>
              <w:right w:val="single" w:sz="6" w:space="0" w:color="000000"/>
            </w:tcBorders>
            <w:tcMar>
              <w:top w:w="0" w:type="dxa"/>
              <w:left w:w="100" w:type="dxa"/>
              <w:bottom w:w="0" w:type="dxa"/>
              <w:right w:w="100" w:type="dxa"/>
            </w:tcMar>
          </w:tcPr>
          <w:p w14:paraId="0FF98FE2" w14:textId="77777777" w:rsidR="00315874" w:rsidRDefault="00315874">
            <w:pPr>
              <w:spacing w:line="240" w:lineRule="auto"/>
              <w:jc w:val="center"/>
              <w:rPr>
                <w:rFonts w:ascii="Times New Roman" w:eastAsia="Times New Roman" w:hAnsi="Times New Roman" w:cs="Times New Roman"/>
                <w:b/>
                <w:bCs/>
                <w:sz w:val="24"/>
                <w:szCs w:val="24"/>
                <w:highlight w:val="white"/>
              </w:rPr>
            </w:pPr>
          </w:p>
        </w:tc>
        <w:tc>
          <w:tcPr>
            <w:tcW w:w="2730" w:type="dxa"/>
            <w:vMerge/>
            <w:tcBorders>
              <w:top w:val="nil"/>
              <w:left w:val="single" w:sz="6" w:space="0" w:color="000000"/>
              <w:bottom w:val="single" w:sz="6" w:space="0" w:color="000000"/>
              <w:right w:val="single" w:sz="6" w:space="0" w:color="999999"/>
            </w:tcBorders>
            <w:tcMar>
              <w:top w:w="0" w:type="dxa"/>
              <w:left w:w="100" w:type="dxa"/>
              <w:bottom w:w="0" w:type="dxa"/>
              <w:right w:w="100" w:type="dxa"/>
            </w:tcMar>
          </w:tcPr>
          <w:p w14:paraId="74119C2D" w14:textId="77777777" w:rsidR="00315874" w:rsidRDefault="00315874">
            <w:pPr>
              <w:spacing w:line="240" w:lineRule="auto"/>
              <w:jc w:val="center"/>
              <w:rPr>
                <w:rFonts w:ascii="Times New Roman" w:eastAsia="Times New Roman" w:hAnsi="Times New Roman" w:cs="Times New Roman"/>
                <w:sz w:val="24"/>
                <w:szCs w:val="24"/>
                <w:highlight w:val="white"/>
              </w:rPr>
            </w:pPr>
          </w:p>
        </w:tc>
        <w:tc>
          <w:tcPr>
            <w:tcW w:w="5550" w:type="dxa"/>
            <w:vMerge/>
            <w:tcBorders>
              <w:top w:val="nil"/>
              <w:left w:val="nil"/>
              <w:bottom w:val="single" w:sz="6" w:space="0" w:color="000000"/>
              <w:right w:val="single" w:sz="6" w:space="0" w:color="999999"/>
            </w:tcBorders>
            <w:tcMar>
              <w:top w:w="0" w:type="dxa"/>
              <w:left w:w="100" w:type="dxa"/>
              <w:bottom w:w="0" w:type="dxa"/>
              <w:right w:w="100" w:type="dxa"/>
            </w:tcMar>
          </w:tcPr>
          <w:p w14:paraId="62A16AB3" w14:textId="77777777" w:rsidR="00315874" w:rsidRDefault="00315874">
            <w:pPr>
              <w:spacing w:line="240" w:lineRule="auto"/>
              <w:jc w:val="both"/>
              <w:rPr>
                <w:rFonts w:ascii="Times New Roman" w:eastAsia="Times New Roman" w:hAnsi="Times New Roman" w:cs="Times New Roman"/>
                <w:sz w:val="24"/>
                <w:szCs w:val="24"/>
                <w:highlight w:val="white"/>
              </w:rPr>
            </w:pPr>
          </w:p>
        </w:tc>
        <w:tc>
          <w:tcPr>
            <w:tcW w:w="5880" w:type="dxa"/>
            <w:tcBorders>
              <w:top w:val="nil"/>
              <w:left w:val="nil"/>
              <w:bottom w:val="single" w:sz="6" w:space="0" w:color="000000"/>
              <w:right w:val="single" w:sz="6" w:space="0" w:color="999999"/>
            </w:tcBorders>
            <w:tcMar>
              <w:top w:w="0" w:type="dxa"/>
              <w:left w:w="100" w:type="dxa"/>
              <w:bottom w:w="0" w:type="dxa"/>
              <w:right w:w="100" w:type="dxa"/>
            </w:tcMar>
          </w:tcPr>
          <w:p w14:paraId="658734B5"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Se ia act.</w:t>
            </w:r>
            <w:r>
              <w:rPr>
                <w:rFonts w:ascii="Times New Roman" w:eastAsia="Times New Roman" w:hAnsi="Times New Roman" w:cs="Times New Roman"/>
                <w:sz w:val="24"/>
                <w:szCs w:val="24"/>
                <w:highlight w:val="white"/>
              </w:rPr>
              <w:t xml:space="preserve"> A se vedea răspunsul consolidat de la punctul precedent din prezentul aviz.</w:t>
            </w:r>
          </w:p>
        </w:tc>
      </w:tr>
      <w:tr w:rsidR="00315874" w14:paraId="65783F81" w14:textId="77777777">
        <w:trPr>
          <w:trHeight w:val="1185"/>
        </w:trPr>
        <w:tc>
          <w:tcPr>
            <w:tcW w:w="870" w:type="dxa"/>
            <w:vMerge w:val="restart"/>
            <w:tcBorders>
              <w:top w:val="single" w:sz="6" w:space="0" w:color="000000"/>
              <w:left w:val="single" w:sz="6" w:space="0" w:color="000000"/>
              <w:bottom w:val="single" w:sz="6" w:space="0" w:color="999999"/>
              <w:right w:val="single" w:sz="6" w:space="0" w:color="000000"/>
            </w:tcBorders>
            <w:tcMar>
              <w:top w:w="0" w:type="dxa"/>
              <w:left w:w="100" w:type="dxa"/>
              <w:bottom w:w="0" w:type="dxa"/>
              <w:right w:w="100" w:type="dxa"/>
            </w:tcMar>
          </w:tcPr>
          <w:p w14:paraId="41A882A7" w14:textId="77777777" w:rsidR="00315874" w:rsidRDefault="00000000">
            <w:pPr>
              <w:spacing w:line="240" w:lineRule="auto"/>
              <w:jc w:val="center"/>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13.</w:t>
            </w:r>
          </w:p>
        </w:tc>
        <w:tc>
          <w:tcPr>
            <w:tcW w:w="2730" w:type="dxa"/>
            <w:vMerge w:val="restart"/>
            <w:tcBorders>
              <w:top w:val="single" w:sz="6" w:space="0" w:color="000000"/>
              <w:left w:val="single" w:sz="6" w:space="0" w:color="000000"/>
              <w:bottom w:val="single" w:sz="6" w:space="0" w:color="999999"/>
              <w:right w:val="single" w:sz="6" w:space="0" w:color="000000"/>
            </w:tcBorders>
            <w:tcMar>
              <w:top w:w="0" w:type="dxa"/>
              <w:left w:w="100" w:type="dxa"/>
              <w:bottom w:w="0" w:type="dxa"/>
              <w:right w:w="100" w:type="dxa"/>
            </w:tcMar>
          </w:tcPr>
          <w:p w14:paraId="78A905C0" w14:textId="77777777" w:rsidR="00315874" w:rsidRDefault="00000000">
            <w:pPr>
              <w:spacing w:line="240" w:lineRule="auto"/>
              <w:jc w:val="center"/>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Camera de Comerț Americană din Moldova (AmCham Moldova)</w:t>
            </w:r>
          </w:p>
          <w:p w14:paraId="074E82BA" w14:textId="77777777" w:rsidR="00315874" w:rsidRDefault="00000000">
            <w:pPr>
              <w:spacing w:line="240" w:lineRule="auto"/>
              <w:jc w:val="center"/>
              <w:rPr>
                <w:rFonts w:ascii="Times New Roman" w:eastAsia="Times New Roman" w:hAnsi="Times New Roman" w:cs="Times New Roman"/>
                <w:i/>
                <w:iCs/>
                <w:sz w:val="24"/>
                <w:szCs w:val="24"/>
                <w:highlight w:val="white"/>
              </w:rPr>
            </w:pPr>
            <w:r>
              <w:rPr>
                <w:rFonts w:ascii="Times New Roman" w:eastAsia="Times New Roman" w:hAnsi="Times New Roman" w:cs="Times New Roman"/>
                <w:i/>
                <w:iCs/>
                <w:sz w:val="24"/>
                <w:szCs w:val="24"/>
                <w:highlight w:val="white"/>
              </w:rPr>
              <w:t>Nr. 98 din 21.07.2026</w:t>
            </w:r>
          </w:p>
          <w:p w14:paraId="69F9C34E" w14:textId="77777777" w:rsidR="00315874" w:rsidRDefault="00315874">
            <w:pPr>
              <w:spacing w:line="240" w:lineRule="auto"/>
              <w:jc w:val="center"/>
              <w:rPr>
                <w:rFonts w:ascii="Times New Roman" w:eastAsia="Times New Roman" w:hAnsi="Times New Roman" w:cs="Times New Roman"/>
                <w:sz w:val="24"/>
                <w:szCs w:val="24"/>
                <w:highlight w:val="white"/>
              </w:rPr>
            </w:pPr>
          </w:p>
        </w:tc>
        <w:tc>
          <w:tcPr>
            <w:tcW w:w="5550" w:type="dxa"/>
            <w:tcBorders>
              <w:top w:val="nil"/>
              <w:left w:val="single" w:sz="6" w:space="0" w:color="000000"/>
              <w:bottom w:val="single" w:sz="6" w:space="0" w:color="000000"/>
              <w:right w:val="single" w:sz="6" w:space="0" w:color="999999"/>
            </w:tcBorders>
            <w:tcMar>
              <w:top w:w="0" w:type="dxa"/>
              <w:left w:w="100" w:type="dxa"/>
              <w:bottom w:w="0" w:type="dxa"/>
              <w:right w:w="100" w:type="dxa"/>
            </w:tcMar>
          </w:tcPr>
          <w:p w14:paraId="2DC667D8" w14:textId="77777777" w:rsidR="00315874" w:rsidRDefault="00000000">
            <w:pPr>
              <w:spacing w:line="240" w:lineRule="auto"/>
              <w:jc w:val="both"/>
              <w:rPr>
                <w:rFonts w:ascii="Times New Roman" w:eastAsia="Times New Roman" w:hAnsi="Times New Roman" w:cs="Times New Roman"/>
                <w:b/>
                <w:bCs/>
                <w:i/>
                <w:iCs/>
                <w:sz w:val="24"/>
                <w:szCs w:val="24"/>
                <w:highlight w:val="white"/>
              </w:rPr>
            </w:pPr>
            <w:r>
              <w:rPr>
                <w:rFonts w:ascii="Times New Roman" w:eastAsia="Times New Roman" w:hAnsi="Times New Roman" w:cs="Times New Roman"/>
                <w:b/>
                <w:bCs/>
                <w:i/>
                <w:iCs/>
                <w:sz w:val="24"/>
                <w:szCs w:val="24"/>
                <w:highlight w:val="white"/>
              </w:rPr>
              <w:t>I. Poziția AmCham privind durata minimă a concediului anual</w:t>
            </w:r>
          </w:p>
          <w:p w14:paraId="2F8AA183"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AmCham susține trecerea de la exprimarea concediului anual în zile calendaristice la exprimarea acestuia în zile lucrătoare, în măsura în care modificarea reprezintă o conversie neutră a dreptului existent, iar nu o majorare implicită a duratei minime a concediului.</w:t>
            </w:r>
          </w:p>
          <w:p w14:paraId="7462E279" w14:textId="77777777" w:rsidR="00315874" w:rsidRDefault="00315874">
            <w:pPr>
              <w:jc w:val="both"/>
              <w:rPr>
                <w:rFonts w:ascii="Times New Roman" w:eastAsia="Times New Roman" w:hAnsi="Times New Roman" w:cs="Times New Roman"/>
                <w:sz w:val="24"/>
                <w:szCs w:val="24"/>
                <w:highlight w:val="white"/>
              </w:rPr>
            </w:pPr>
          </w:p>
          <w:p w14:paraId="10972B87"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Pentru programul standard de cinci zile pe săptămână, cele 28 de zile calendaristice prevăzute în prezent corespund unei perioade de patru săptămâni complete, respectiv 20 de zile lucrătoare. În consecință, propunem stabilirea duratei minime a concediului anual la 20 de zile lucrătoare și înlocuirea corespunzătoare, în cuprinsul Proiectului, a pragului de 22 de zile.</w:t>
            </w:r>
          </w:p>
          <w:p w14:paraId="126D9F5B" w14:textId="77777777" w:rsidR="00315874" w:rsidRDefault="00315874">
            <w:pPr>
              <w:spacing w:line="240" w:lineRule="auto"/>
              <w:jc w:val="both"/>
              <w:rPr>
                <w:rFonts w:ascii="Times New Roman" w:eastAsia="Times New Roman" w:hAnsi="Times New Roman" w:cs="Times New Roman"/>
                <w:sz w:val="24"/>
                <w:szCs w:val="24"/>
                <w:highlight w:val="white"/>
              </w:rPr>
            </w:pPr>
          </w:p>
          <w:p w14:paraId="12871A36"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Stabilirea unei durate de 22 de zile lucrătoare nu reprezintă o simplă conversie tehnică, ci o majorare a</w:t>
            </w:r>
          </w:p>
          <w:p w14:paraId="64054D47"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numărului de zile de absență plătită pentru salariații care activează potrivit programului standard. Dacă o asemenea majorare este urmărită ca opțiune de politică socială, aceasta trebuie examinată și fundamentată distinct, inclusiv prin evaluarea impactului economic și bugetar asupra angajatorilor și autorităților publice.</w:t>
            </w:r>
          </w:p>
        </w:tc>
        <w:tc>
          <w:tcPr>
            <w:tcW w:w="5880" w:type="dxa"/>
            <w:tcBorders>
              <w:top w:val="nil"/>
              <w:left w:val="nil"/>
              <w:bottom w:val="single" w:sz="6" w:space="0" w:color="000000"/>
              <w:right w:val="single" w:sz="6" w:space="0" w:color="999999"/>
            </w:tcBorders>
            <w:tcMar>
              <w:top w:w="0" w:type="dxa"/>
              <w:left w:w="100" w:type="dxa"/>
              <w:bottom w:w="0" w:type="dxa"/>
              <w:right w:w="100" w:type="dxa"/>
            </w:tcMar>
          </w:tcPr>
          <w:p w14:paraId="3A727775"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 xml:space="preserve">Nu se acceptă. </w:t>
            </w:r>
          </w:p>
          <w:p w14:paraId="545D951A" w14:textId="6F489046"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Asigurarea unui concediu de odihnă anual de minim </w:t>
            </w:r>
            <w:r w:rsidRPr="0009241B">
              <w:rPr>
                <w:rFonts w:ascii="Times New Roman" w:eastAsia="Times New Roman" w:hAnsi="Times New Roman" w:cs="Times New Roman"/>
                <w:sz w:val="24"/>
                <w:szCs w:val="24"/>
                <w:highlight w:val="white"/>
              </w:rPr>
              <w:t xml:space="preserve">22 de zile lucrătoare </w:t>
            </w:r>
            <w:r>
              <w:rPr>
                <w:rFonts w:ascii="Times New Roman" w:eastAsia="Times New Roman" w:hAnsi="Times New Roman" w:cs="Times New Roman"/>
                <w:sz w:val="24"/>
                <w:szCs w:val="24"/>
                <w:highlight w:val="white"/>
              </w:rPr>
              <w:t xml:space="preserve"> reprezintă o opțiune de politică socială, orientată spre consolidarea garanțiilor minime acordate salariaților.</w:t>
            </w:r>
          </w:p>
          <w:p w14:paraId="252DD8DE"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6AE58EFE"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Se menționează că, în prezent, funcționarii din sectorul bugetar beneficiază de un concediu de odihnă anual cu o durată mai mare decât salariații din sectorul privat. Totodată, proiectul prevede excluderea concediilor suplimentare pentru vechime în muncă. În aceste condiții, ajustarea numărului minim de zile de concediu nu este de natură să genereze un impact bugetar semnificativ asupra autorităților publice sau a altor angajatori din sectorul public și nu va determina cheltuieli suplimentare din bugetul de stat.</w:t>
            </w:r>
          </w:p>
          <w:p w14:paraId="03AB9805" w14:textId="77777777" w:rsidR="00315874" w:rsidRDefault="00315874">
            <w:pPr>
              <w:shd w:val="clear" w:color="auto" w:fill="FFFFFF"/>
              <w:jc w:val="both"/>
              <w:rPr>
                <w:rFonts w:ascii="Times New Roman" w:eastAsia="Times New Roman" w:hAnsi="Times New Roman" w:cs="Times New Roman"/>
                <w:b/>
                <w:bCs/>
                <w:sz w:val="24"/>
                <w:szCs w:val="24"/>
                <w:highlight w:val="white"/>
              </w:rPr>
            </w:pPr>
          </w:p>
          <w:p w14:paraId="68F3A11A" w14:textId="5172094F" w:rsidR="0021239A" w:rsidRDefault="0021239A">
            <w:pPr>
              <w:shd w:val="clear" w:color="auto" w:fill="FFFFFF"/>
              <w:jc w:val="both"/>
              <w:rPr>
                <w:rFonts w:ascii="Times New Roman" w:eastAsia="Times New Roman" w:hAnsi="Times New Roman" w:cs="Times New Roman"/>
                <w:b/>
                <w:bCs/>
                <w:sz w:val="24"/>
                <w:szCs w:val="24"/>
                <w:highlight w:val="white"/>
              </w:rPr>
            </w:pPr>
          </w:p>
        </w:tc>
      </w:tr>
      <w:tr w:rsidR="00315874" w14:paraId="34DDFFEC" w14:textId="77777777">
        <w:trPr>
          <w:trHeight w:val="1185"/>
        </w:trPr>
        <w:tc>
          <w:tcPr>
            <w:tcW w:w="870" w:type="dxa"/>
            <w:vMerge/>
            <w:tcBorders>
              <w:top w:val="nil"/>
              <w:left w:val="single" w:sz="6" w:space="0" w:color="000000"/>
              <w:bottom w:val="single" w:sz="6" w:space="0" w:color="999999"/>
              <w:right w:val="single" w:sz="6" w:space="0" w:color="000000"/>
            </w:tcBorders>
            <w:tcMar>
              <w:top w:w="0" w:type="dxa"/>
              <w:left w:w="100" w:type="dxa"/>
              <w:bottom w:w="0" w:type="dxa"/>
              <w:right w:w="100" w:type="dxa"/>
            </w:tcMar>
          </w:tcPr>
          <w:p w14:paraId="512928A1" w14:textId="77777777" w:rsidR="00315874" w:rsidRDefault="00315874">
            <w:pPr>
              <w:spacing w:line="240" w:lineRule="auto"/>
              <w:jc w:val="center"/>
              <w:rPr>
                <w:rFonts w:ascii="Times New Roman" w:eastAsia="Times New Roman" w:hAnsi="Times New Roman" w:cs="Times New Roman"/>
                <w:b/>
                <w:bCs/>
                <w:sz w:val="24"/>
                <w:szCs w:val="24"/>
                <w:highlight w:val="white"/>
              </w:rPr>
            </w:pPr>
          </w:p>
        </w:tc>
        <w:tc>
          <w:tcPr>
            <w:tcW w:w="2730" w:type="dxa"/>
            <w:vMerge/>
            <w:tcBorders>
              <w:top w:val="nil"/>
              <w:left w:val="single" w:sz="6" w:space="0" w:color="000000"/>
              <w:bottom w:val="single" w:sz="6" w:space="0" w:color="999999"/>
              <w:right w:val="single" w:sz="6" w:space="0" w:color="000000"/>
            </w:tcBorders>
            <w:tcMar>
              <w:top w:w="0" w:type="dxa"/>
              <w:left w:w="100" w:type="dxa"/>
              <w:bottom w:w="0" w:type="dxa"/>
              <w:right w:w="100" w:type="dxa"/>
            </w:tcMar>
          </w:tcPr>
          <w:p w14:paraId="3308907D" w14:textId="77777777" w:rsidR="00315874" w:rsidRDefault="00315874">
            <w:pPr>
              <w:spacing w:line="240" w:lineRule="auto"/>
              <w:jc w:val="center"/>
              <w:rPr>
                <w:rFonts w:ascii="Times New Roman" w:eastAsia="Times New Roman" w:hAnsi="Times New Roman" w:cs="Times New Roman"/>
                <w:sz w:val="24"/>
                <w:szCs w:val="24"/>
                <w:highlight w:val="white"/>
              </w:rPr>
            </w:pPr>
          </w:p>
        </w:tc>
        <w:tc>
          <w:tcPr>
            <w:tcW w:w="5550" w:type="dxa"/>
            <w:tcBorders>
              <w:top w:val="nil"/>
              <w:left w:val="single" w:sz="6" w:space="0" w:color="000000"/>
              <w:bottom w:val="single" w:sz="6" w:space="0" w:color="000000"/>
              <w:right w:val="single" w:sz="6" w:space="0" w:color="999999"/>
            </w:tcBorders>
            <w:tcMar>
              <w:top w:w="0" w:type="dxa"/>
              <w:left w:w="100" w:type="dxa"/>
              <w:bottom w:w="0" w:type="dxa"/>
              <w:right w:w="100" w:type="dxa"/>
            </w:tcMar>
          </w:tcPr>
          <w:p w14:paraId="6A9BE9BE" w14:textId="77777777" w:rsidR="00315874" w:rsidRDefault="00000000">
            <w:pPr>
              <w:spacing w:line="240" w:lineRule="auto"/>
              <w:jc w:val="both"/>
              <w:rPr>
                <w:rFonts w:ascii="Times New Roman" w:eastAsia="Times New Roman" w:hAnsi="Times New Roman" w:cs="Times New Roman"/>
                <w:b/>
                <w:bCs/>
                <w:i/>
                <w:iCs/>
                <w:sz w:val="24"/>
                <w:szCs w:val="24"/>
                <w:highlight w:val="white"/>
              </w:rPr>
            </w:pPr>
            <w:r>
              <w:rPr>
                <w:rFonts w:ascii="Times New Roman" w:eastAsia="Times New Roman" w:hAnsi="Times New Roman" w:cs="Times New Roman"/>
                <w:b/>
                <w:bCs/>
                <w:i/>
                <w:iCs/>
                <w:sz w:val="24"/>
                <w:szCs w:val="24"/>
                <w:highlight w:val="white"/>
              </w:rPr>
              <w:t>II. Incertitudini juridice și absența unui cadru normativ de referință</w:t>
            </w:r>
          </w:p>
          <w:p w14:paraId="7A631229"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1. Din perspectiva noastră, Proiectul nu soluționează două aspecte esențiale pentru o reglementare completă a concediilor acordate în zile lucrătoare:</w:t>
            </w:r>
          </w:p>
          <w:p w14:paraId="45BC9D90"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semnificația noțiunii de „zi lucrătoare” în contextul acordării concediilor; și</w:t>
            </w:r>
          </w:p>
          <w:p w14:paraId="6FF58217"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raportarea duratei minime garantate a concediului anual, exprimate în zile lucrătoare, la diversitatea regimurilor de muncă aplicabile în unitățile angajatoare și/sau pentru salariați concreți.</w:t>
            </w:r>
          </w:p>
          <w:p w14:paraId="388C91F6" w14:textId="77777777" w:rsidR="00315874" w:rsidRDefault="00315874">
            <w:pPr>
              <w:spacing w:line="240" w:lineRule="auto"/>
              <w:jc w:val="both"/>
              <w:rPr>
                <w:rFonts w:ascii="Times New Roman" w:eastAsia="Times New Roman" w:hAnsi="Times New Roman" w:cs="Times New Roman"/>
                <w:sz w:val="24"/>
                <w:szCs w:val="24"/>
                <w:highlight w:val="white"/>
              </w:rPr>
            </w:pPr>
          </w:p>
          <w:p w14:paraId="03C84989"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Proiectul pare calibrat în principal pentru programul repartizat pe cinci zile pe săptămână. Efectele asupra muncii în ture, timpului parțial repartizat pe mai puține zile, săptămânii de șase zile și evidenței globale nu sunt însă reglementate explicit.</w:t>
            </w:r>
          </w:p>
          <w:p w14:paraId="35B9C4F7"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Absența unor soluții clare pentru aspectele menționate va genera instabilitate și imprevizibilitate în aplicare, litigii de muncă, nemulțumiri individuale și colective ale angajaților, inechități structurale la acordarea concediilor, blocaje operaționale și cheltuieli suplimentare pentru angajator.</w:t>
            </w:r>
          </w:p>
          <w:p w14:paraId="32C61A6A" w14:textId="77777777" w:rsidR="00315874" w:rsidRDefault="00315874">
            <w:pPr>
              <w:spacing w:line="240" w:lineRule="auto"/>
              <w:jc w:val="both"/>
              <w:rPr>
                <w:rFonts w:ascii="Times New Roman" w:eastAsia="Times New Roman" w:hAnsi="Times New Roman" w:cs="Times New Roman"/>
                <w:sz w:val="24"/>
                <w:szCs w:val="24"/>
                <w:highlight w:val="white"/>
              </w:rPr>
            </w:pPr>
          </w:p>
          <w:p w14:paraId="74F01073" w14:textId="77777777" w:rsidR="00315874" w:rsidRDefault="00000000">
            <w:pPr>
              <w:jc w:val="both"/>
              <w:rPr>
                <w:rFonts w:ascii="Times New Roman" w:eastAsia="Times New Roman" w:hAnsi="Times New Roman" w:cs="Times New Roman"/>
                <w:b/>
                <w:bCs/>
                <w:i/>
                <w:iCs/>
                <w:sz w:val="24"/>
                <w:szCs w:val="24"/>
                <w:highlight w:val="white"/>
              </w:rPr>
            </w:pPr>
            <w:r>
              <w:rPr>
                <w:rFonts w:ascii="Times New Roman" w:eastAsia="Times New Roman" w:hAnsi="Times New Roman" w:cs="Times New Roman"/>
                <w:b/>
                <w:bCs/>
                <w:i/>
                <w:iCs/>
                <w:sz w:val="24"/>
                <w:szCs w:val="24"/>
                <w:highlight w:val="white"/>
              </w:rPr>
              <w:t>A. Ambiguitatea noțiunii de „zi lucrătoare” în contextul acordării concediului anual</w:t>
            </w:r>
          </w:p>
          <w:p w14:paraId="38B3F19B"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Proiectul prevede acordarea concediului anual în zile lucrătoare și, în anumite dispoziții, utilizează noțiunea de „săptămână lucrătoare” de concediu neîntrerupt, fără </w:t>
            </w:r>
            <w:r>
              <w:rPr>
                <w:rFonts w:ascii="Times New Roman" w:eastAsia="Times New Roman" w:hAnsi="Times New Roman" w:cs="Times New Roman"/>
                <w:sz w:val="24"/>
                <w:szCs w:val="24"/>
                <w:highlight w:val="white"/>
              </w:rPr>
              <w:lastRenderedPageBreak/>
              <w:t>ca aceste noțiuni să fie definite în Codul muncii, nici cu caracter general, nici în contextul specific al concediilor.</w:t>
            </w:r>
          </w:p>
          <w:p w14:paraId="6A489B73"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În lipsa unei definiții legale, noțiunea de „zi lucrătoare” poate fi interpretată în cel puțin două moduri, fiecare producând consecințe diferite asupra modului de consumare a dreptului anual la concediu:</w:t>
            </w:r>
          </w:p>
          <w:p w14:paraId="7E808A4D"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Zile lucrătoare raportate la un reper general de cinci zile – interpretare care ar rezulta dacă legiuitorul intenționează ca cele 22 de zile să fie calculate uniform după o săptămână de luni până vineri, indiferent de graficul salariatului.</w:t>
            </w:r>
          </w:p>
          <w:p w14:paraId="2446B205" w14:textId="77777777" w:rsidR="00315874"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Zile lucrătoare individuale – potrivit unei interpretări ce reiese din programul de muncă concret al salariatului, ar trebui să fie considerate zile lucrătoare numai zilele în care salariatul prestează sau ar fi trebuit să presteze muncă potrivit programului său individual. În această ipoteză, celelalte zile ale săptămânii, în care salariatul nu datorează prestații de muncă, ar trebui să fie considerate nerelevante pentru consumul zilelor de concediu garantat salariatului prin lege.</w:t>
            </w:r>
          </w:p>
          <w:p w14:paraId="47284202" w14:textId="77777777" w:rsidR="00315874" w:rsidRDefault="00315874">
            <w:pPr>
              <w:jc w:val="both"/>
              <w:rPr>
                <w:rFonts w:ascii="Times New Roman" w:eastAsia="Times New Roman" w:hAnsi="Times New Roman" w:cs="Times New Roman"/>
                <w:sz w:val="24"/>
                <w:szCs w:val="24"/>
                <w:highlight w:val="white"/>
              </w:rPr>
            </w:pPr>
          </w:p>
          <w:p w14:paraId="6E79188C" w14:textId="77777777" w:rsidR="00315874" w:rsidRDefault="00000000">
            <w:pPr>
              <w:spacing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Munca în schimburi ilustrează dificultățile practice care pot apărea din lipsa unei reguli uniforme privind zilele lucrătoare în contextul concediilor. Dacă un salariat are, într-o anumită săptămână, trei ture planificate, regula trebuie să arate dacă o săptămână de concediu consumă trei zile potrivit graficului său sau cinci zile potrivit unui reper general. Cum numărul și durata turelor pot varia, </w:t>
            </w:r>
            <w:r>
              <w:rPr>
                <w:rFonts w:ascii="Times New Roman" w:eastAsia="Times New Roman" w:hAnsi="Times New Roman" w:cs="Times New Roman"/>
                <w:sz w:val="24"/>
                <w:szCs w:val="24"/>
                <w:highlight w:val="white"/>
              </w:rPr>
              <w:lastRenderedPageBreak/>
              <w:t>legea trebuie să stabilească atât unitatea de consum, cât și mecanismul de echivalare a dreptului anual.</w:t>
            </w:r>
          </w:p>
          <w:p w14:paraId="36AF9A30" w14:textId="77777777" w:rsidR="00315874" w:rsidRDefault="00315874">
            <w:pPr>
              <w:spacing w:line="240" w:lineRule="auto"/>
              <w:jc w:val="both"/>
              <w:rPr>
                <w:rFonts w:ascii="Times New Roman" w:eastAsia="Times New Roman" w:hAnsi="Times New Roman" w:cs="Times New Roman"/>
                <w:sz w:val="24"/>
                <w:szCs w:val="24"/>
                <w:highlight w:val="white"/>
              </w:rPr>
            </w:pPr>
          </w:p>
          <w:p w14:paraId="09BAE980" w14:textId="77777777" w:rsidR="00315874" w:rsidRDefault="00000000">
            <w:pPr>
              <w:spacing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Dificultăți suplimentare apar atunci când programul de lucru al salariatului include ocazional zile de</w:t>
            </w:r>
          </w:p>
          <w:p w14:paraId="629C809B" w14:textId="77777777" w:rsidR="00315874" w:rsidRDefault="00000000">
            <w:pPr>
              <w:spacing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sâmbătă sau duminică. Dacă salariatul ar urma să lucreze într-o astfel de zi în săptămâna concediului,</w:t>
            </w:r>
          </w:p>
          <w:p w14:paraId="28FEA17D" w14:textId="77777777" w:rsidR="00315874" w:rsidRDefault="00000000">
            <w:pPr>
              <w:spacing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iar pentru scopurile acordării concediului se aplică noțiunea de Zile lucrătoare standard, tratamentul</w:t>
            </w:r>
          </w:p>
          <w:p w14:paraId="4B85F075" w14:textId="77777777" w:rsidR="00315874" w:rsidRDefault="00000000">
            <w:pPr>
              <w:spacing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acelei zile rămâne fără soluție: concediul, fiind acordat și plătit doar în zile lucrătoare standard, nu poate</w:t>
            </w:r>
          </w:p>
          <w:p w14:paraId="6C668D3F" w14:textId="77777777" w:rsidR="00315874" w:rsidRDefault="00000000">
            <w:pPr>
              <w:spacing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fi acordat sâmbăta sau duminica, deoarece acestea nu sunt „zile lucrătoare” la general, deși pentru</w:t>
            </w:r>
          </w:p>
          <w:p w14:paraId="35459470" w14:textId="77777777" w:rsidR="00315874" w:rsidRDefault="00000000">
            <w:pPr>
              <w:spacing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salariat în acest caz concret este vorba de o zi lucrătoare.</w:t>
            </w:r>
          </w:p>
          <w:p w14:paraId="495C4B8D" w14:textId="77777777" w:rsidR="00315874" w:rsidRDefault="00315874">
            <w:pPr>
              <w:spacing w:line="240" w:lineRule="auto"/>
              <w:jc w:val="both"/>
              <w:rPr>
                <w:rFonts w:ascii="Times New Roman" w:eastAsia="Times New Roman" w:hAnsi="Times New Roman" w:cs="Times New Roman"/>
                <w:sz w:val="24"/>
                <w:szCs w:val="24"/>
                <w:highlight w:val="white"/>
              </w:rPr>
            </w:pPr>
          </w:p>
          <w:p w14:paraId="74CB4945" w14:textId="77777777" w:rsidR="00315874" w:rsidRDefault="00000000">
            <w:pPr>
              <w:spacing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Considerațiile sunt relevante și pentru săptămâna de șase zile, programele cu zile de repaus diferite de</w:t>
            </w:r>
          </w:p>
          <w:p w14:paraId="35C6CF3B" w14:textId="77777777" w:rsidR="00315874" w:rsidRDefault="00000000">
            <w:pPr>
              <w:spacing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sâmbătă și duminică, timpul parțial, evidența globală și alte regimuri care diferă de programul repartizat</w:t>
            </w:r>
          </w:p>
          <w:p w14:paraId="2708EB51" w14:textId="77777777" w:rsidR="00315874" w:rsidRDefault="00000000">
            <w:pPr>
              <w:spacing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pe cinci zile.</w:t>
            </w:r>
          </w:p>
          <w:p w14:paraId="1C3856F3" w14:textId="77777777" w:rsidR="00315874" w:rsidRDefault="00000000">
            <w:pPr>
              <w:spacing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Pe de altă parte, optarea pentru conceptul de zile lucrătoare individuale, deși mai favorabilă salariaților, va genera, în lipsa unor reguli suplimentare de ajustare, propriile inechități și dezechilibre practice:</w:t>
            </w:r>
          </w:p>
          <w:p w14:paraId="386C578F" w14:textId="77777777" w:rsidR="00315874" w:rsidRDefault="00000000">
            <w:pPr>
              <w:spacing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a.</w:t>
            </w:r>
            <w:r>
              <w:rPr>
                <w:rFonts w:ascii="Times New Roman" w:eastAsia="Times New Roman" w:hAnsi="Times New Roman" w:cs="Times New Roman"/>
                <w:sz w:val="24"/>
                <w:szCs w:val="24"/>
                <w:highlight w:val="white"/>
              </w:rPr>
              <w:t xml:space="preserve"> Inconveniențe operaționale semnificative pentru angajator. Un salariat care lucrează 3 zile pe săptămână și utilizează întreaga rezervă concedială într-o singură perioadă (situație relativ frecventă în mediul rural) ar lipsi efectiv din unitate aproximativ 7,3 săptămâni, respectiv aproape două luni (22 zile de rezerva concedială: 3 zile de lucru pe săptămână = 7,3). Absențe de asemenea durată creează dificultăți semnificative în </w:t>
            </w:r>
            <w:r>
              <w:rPr>
                <w:rFonts w:ascii="Times New Roman" w:eastAsia="Times New Roman" w:hAnsi="Times New Roman" w:cs="Times New Roman"/>
                <w:sz w:val="24"/>
                <w:szCs w:val="24"/>
                <w:highlight w:val="white"/>
              </w:rPr>
              <w:lastRenderedPageBreak/>
              <w:t>organizarea fluxurilor de muncă și fie vor genera costuri suplimentare de forță de muncă pentru angajatori, fie vor crea tensiuni la acceptarea cererilor de concediu de acest gen.</w:t>
            </w:r>
          </w:p>
          <w:p w14:paraId="2F67D407" w14:textId="77777777" w:rsidR="00315874" w:rsidRDefault="00315874">
            <w:pPr>
              <w:spacing w:line="240" w:lineRule="auto"/>
              <w:jc w:val="both"/>
              <w:rPr>
                <w:rFonts w:ascii="Times New Roman" w:eastAsia="Times New Roman" w:hAnsi="Times New Roman" w:cs="Times New Roman"/>
                <w:sz w:val="24"/>
                <w:szCs w:val="24"/>
                <w:highlight w:val="white"/>
              </w:rPr>
            </w:pPr>
          </w:p>
          <w:p w14:paraId="3D3DEA88" w14:textId="77777777" w:rsidR="00315874" w:rsidRDefault="00000000">
            <w:pPr>
              <w:spacing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b.</w:t>
            </w:r>
            <w:r>
              <w:rPr>
                <w:rFonts w:ascii="Times New Roman" w:eastAsia="Times New Roman" w:hAnsi="Times New Roman" w:cs="Times New Roman"/>
                <w:sz w:val="24"/>
                <w:szCs w:val="24"/>
                <w:highlight w:val="white"/>
              </w:rPr>
              <w:t xml:space="preserve"> Rezultate diferite în funcție de distribuția zilelor de muncă. La un fond fix de 22 de zile, un program regulat de două zile pe săptămână ar conduce la 11 săptămâni de absență, iar unul de cinci zile la 4,4 săptămâni. Diferența confirmă că legea trebuie să precizeze durata protejată în săptămâni și modul de conversie în zile pentru fiecare distribuție regulată.</w:t>
            </w:r>
          </w:p>
        </w:tc>
        <w:tc>
          <w:tcPr>
            <w:tcW w:w="5880" w:type="dxa"/>
            <w:tcBorders>
              <w:top w:val="nil"/>
              <w:left w:val="nil"/>
              <w:bottom w:val="single" w:sz="6" w:space="0" w:color="000000"/>
              <w:right w:val="single" w:sz="6" w:space="0" w:color="999999"/>
            </w:tcBorders>
            <w:tcMar>
              <w:top w:w="0" w:type="dxa"/>
              <w:left w:w="100" w:type="dxa"/>
              <w:bottom w:w="0" w:type="dxa"/>
              <w:right w:w="100" w:type="dxa"/>
            </w:tcMar>
          </w:tcPr>
          <w:p w14:paraId="0B5B4305"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Proiectul a fost completat cu norme suplimentare în acest sens. A se vedea versiunea revizuită.</w:t>
            </w:r>
          </w:p>
          <w:p w14:paraId="4726C19A" w14:textId="77777777" w:rsidR="00315874" w:rsidRDefault="00315874">
            <w:pPr>
              <w:shd w:val="clear" w:color="auto" w:fill="FFFFFF"/>
              <w:jc w:val="both"/>
              <w:rPr>
                <w:rFonts w:ascii="Times New Roman" w:eastAsia="Times New Roman" w:hAnsi="Times New Roman" w:cs="Times New Roman"/>
                <w:b/>
                <w:bCs/>
                <w:sz w:val="24"/>
                <w:szCs w:val="24"/>
                <w:highlight w:val="white"/>
              </w:rPr>
            </w:pPr>
          </w:p>
        </w:tc>
      </w:tr>
      <w:tr w:rsidR="00315874" w14:paraId="76D0EAA1" w14:textId="77777777">
        <w:trPr>
          <w:trHeight w:val="1185"/>
        </w:trPr>
        <w:tc>
          <w:tcPr>
            <w:tcW w:w="870" w:type="dxa"/>
            <w:vMerge/>
            <w:tcBorders>
              <w:top w:val="nil"/>
              <w:left w:val="single" w:sz="6" w:space="0" w:color="000000"/>
              <w:bottom w:val="single" w:sz="6" w:space="0" w:color="999999"/>
              <w:right w:val="single" w:sz="6" w:space="0" w:color="000000"/>
            </w:tcBorders>
            <w:tcMar>
              <w:top w:w="0" w:type="dxa"/>
              <w:left w:w="100" w:type="dxa"/>
              <w:bottom w:w="0" w:type="dxa"/>
              <w:right w:w="100" w:type="dxa"/>
            </w:tcMar>
          </w:tcPr>
          <w:p w14:paraId="43AFC572" w14:textId="77777777" w:rsidR="00315874" w:rsidRDefault="00315874">
            <w:pPr>
              <w:spacing w:line="240" w:lineRule="auto"/>
              <w:jc w:val="center"/>
              <w:rPr>
                <w:rFonts w:ascii="Times New Roman" w:eastAsia="Times New Roman" w:hAnsi="Times New Roman" w:cs="Times New Roman"/>
                <w:b/>
                <w:bCs/>
                <w:sz w:val="24"/>
                <w:szCs w:val="24"/>
                <w:highlight w:val="white"/>
              </w:rPr>
            </w:pPr>
          </w:p>
        </w:tc>
        <w:tc>
          <w:tcPr>
            <w:tcW w:w="2730" w:type="dxa"/>
            <w:vMerge/>
            <w:tcBorders>
              <w:top w:val="nil"/>
              <w:left w:val="single" w:sz="6" w:space="0" w:color="000000"/>
              <w:bottom w:val="single" w:sz="6" w:space="0" w:color="999999"/>
              <w:right w:val="single" w:sz="6" w:space="0" w:color="999999"/>
            </w:tcBorders>
            <w:tcMar>
              <w:top w:w="0" w:type="dxa"/>
              <w:left w:w="100" w:type="dxa"/>
              <w:bottom w:w="0" w:type="dxa"/>
              <w:right w:w="100" w:type="dxa"/>
            </w:tcMar>
          </w:tcPr>
          <w:p w14:paraId="49366F8B" w14:textId="77777777" w:rsidR="00315874" w:rsidRDefault="00315874">
            <w:pPr>
              <w:spacing w:line="240" w:lineRule="auto"/>
              <w:jc w:val="center"/>
              <w:rPr>
                <w:rFonts w:ascii="Times New Roman" w:eastAsia="Times New Roman" w:hAnsi="Times New Roman" w:cs="Times New Roman"/>
                <w:sz w:val="24"/>
                <w:szCs w:val="24"/>
                <w:highlight w:val="white"/>
              </w:rPr>
            </w:pPr>
          </w:p>
        </w:tc>
        <w:tc>
          <w:tcPr>
            <w:tcW w:w="5550" w:type="dxa"/>
            <w:tcBorders>
              <w:top w:val="nil"/>
              <w:left w:val="nil"/>
              <w:bottom w:val="single" w:sz="6" w:space="0" w:color="000000"/>
              <w:right w:val="single" w:sz="6" w:space="0" w:color="999999"/>
            </w:tcBorders>
            <w:tcMar>
              <w:top w:w="0" w:type="dxa"/>
              <w:left w:w="100" w:type="dxa"/>
              <w:bottom w:w="0" w:type="dxa"/>
              <w:right w:w="100" w:type="dxa"/>
            </w:tcMar>
          </w:tcPr>
          <w:p w14:paraId="48620C20" w14:textId="77777777" w:rsidR="00315874" w:rsidRDefault="00000000">
            <w:pPr>
              <w:spacing w:line="240" w:lineRule="auto"/>
              <w:jc w:val="both"/>
              <w:rPr>
                <w:rFonts w:ascii="Times New Roman" w:eastAsia="Times New Roman" w:hAnsi="Times New Roman" w:cs="Times New Roman"/>
                <w:b/>
                <w:bCs/>
                <w:i/>
                <w:iCs/>
                <w:sz w:val="24"/>
                <w:szCs w:val="24"/>
                <w:highlight w:val="white"/>
              </w:rPr>
            </w:pPr>
            <w:r>
              <w:rPr>
                <w:rFonts w:ascii="Times New Roman" w:eastAsia="Times New Roman" w:hAnsi="Times New Roman" w:cs="Times New Roman"/>
                <w:b/>
                <w:bCs/>
                <w:i/>
                <w:iCs/>
                <w:sz w:val="24"/>
                <w:szCs w:val="24"/>
                <w:highlight w:val="white"/>
              </w:rPr>
              <w:t>B. Necesitatea unui mecanism de ajustare a duratei concediului în funcție de regimul de muncă efectiv al salariatului</w:t>
            </w:r>
          </w:p>
          <w:p w14:paraId="7477FF4A" w14:textId="77777777" w:rsidR="00315874" w:rsidRDefault="00000000">
            <w:pPr>
              <w:spacing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Odată cu înlocuirea unității de măsură a concediului anual din zile calendaristice în zile lucrătoare, în</w:t>
            </w:r>
          </w:p>
          <w:p w14:paraId="3A89A7A7" w14:textId="77777777" w:rsidR="00315874" w:rsidRDefault="00000000">
            <w:pPr>
              <w:spacing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special în cazul în care pentru acordarea concediului se vor utiliza zilele lucrătoare individuale, apare necesitatea determinării și ajustării duratei efective a concediului pentru salariații care nu activează în cadrul unei săptămâni standard. În lipsa unor reguli de ajustare, aplicarea uniformă a unei durate minime fixe de X zile lucrătoare de concediu poate conduce la rezultate efective diferite în funcție de programul de muncă al salariatului. Salariați aflați în situații comparabile din perspectiva timpului efectiv de muncă vor ajunge să beneficieze de perioade de repaus anual efectiv (săptămâni calendaristice cu lipsă permisă de la muncă) diferite. Va fi, astfel, afectat obiectivul tratamentului echitabil al salariaților.</w:t>
            </w:r>
          </w:p>
          <w:p w14:paraId="4DF18F8D" w14:textId="77777777" w:rsidR="00315874" w:rsidRDefault="00315874">
            <w:pPr>
              <w:spacing w:line="240" w:lineRule="auto"/>
              <w:jc w:val="both"/>
              <w:rPr>
                <w:rFonts w:ascii="Times New Roman" w:eastAsia="Times New Roman" w:hAnsi="Times New Roman" w:cs="Times New Roman"/>
                <w:sz w:val="24"/>
                <w:szCs w:val="24"/>
                <w:highlight w:val="white"/>
              </w:rPr>
            </w:pPr>
          </w:p>
          <w:p w14:paraId="471D04EA" w14:textId="77777777" w:rsidR="00315874" w:rsidRDefault="00000000">
            <w:pPr>
              <w:spacing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Pentru a ilustra aceste efecte, poate fi luat cazul unui salariat care lucrează 3 zile pe săptămână, câte 11 ore pe zi, și al unui salariat care lucrează 5 zile pe săptămână, câte 7 ore pe zi. Deși ambii prestează  aproximativ același volum săptămânal de muncă, acordarea fiecăruia dintre ei a unui concediu de 22 de zile lucrătoare, fără ajustări, ar conduce la perioade efective de repaus diferite. Aplicând zilele lucrătoare individuale la acordarea concediului, primul salariat se va odihni, pe parcursul anului, disproporționat mai mult decât al doilea (22 zile lucrătoare de rezervă concedială / 3 zile lucrate pe săptămână = 7.3 săptămâni calendaristice de repaos). Al doilea salariat va avea în această situație 4,4 săptămâni calendaristice de repaos. În asemenea situații, durata concediului exprimată în zile lucrătoare nu mai reflectă în mod necesar o perioadă comparabilă de odihnă, iar salariații cu normă de muncă deplină, care prestează mai mult timp de muncă într-un an, sunt și dezavantajați.</w:t>
            </w:r>
          </w:p>
          <w:p w14:paraId="3F52660A" w14:textId="77777777" w:rsidR="00315874" w:rsidRDefault="00315874">
            <w:pPr>
              <w:spacing w:line="240" w:lineRule="auto"/>
              <w:jc w:val="both"/>
              <w:rPr>
                <w:rFonts w:ascii="Times New Roman" w:eastAsia="Times New Roman" w:hAnsi="Times New Roman" w:cs="Times New Roman"/>
                <w:sz w:val="24"/>
                <w:szCs w:val="24"/>
                <w:highlight w:val="white"/>
              </w:rPr>
            </w:pPr>
          </w:p>
          <w:p w14:paraId="57217016" w14:textId="77777777" w:rsidR="00315874" w:rsidRDefault="00000000">
            <w:pPr>
              <w:spacing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Aceeași problematică, dar cu sens invers, apare în cazul salariaților care lucrează 6 zile pe săptămână. Aplicând formula de calcul a timpului de repaus anual efectiv - 22 de zile lucrătoare de rezervă concedială: 6 zile lucrate pe săptămână – obținem 3,67 săptămâni calendaristice de repaos pentru acești salariați. Astfel, dacă rezerva concedială va constitui un număr fix de zile lucrătoare, fără să se prevadă o ajustare corespunzătoare în funcție de programul de muncă săptămânal, perioada efectivă de repaus anual de care vor beneficia acești salariați va fi mai redusă decât cea a salariaților care lucrează săptămâna standard.</w:t>
            </w:r>
          </w:p>
          <w:p w14:paraId="38D5EFC2" w14:textId="77777777" w:rsidR="00315874" w:rsidRDefault="00315874">
            <w:pPr>
              <w:spacing w:line="240" w:lineRule="auto"/>
              <w:jc w:val="both"/>
              <w:rPr>
                <w:rFonts w:ascii="Times New Roman" w:eastAsia="Times New Roman" w:hAnsi="Times New Roman" w:cs="Times New Roman"/>
                <w:sz w:val="24"/>
                <w:szCs w:val="24"/>
                <w:highlight w:val="white"/>
              </w:rPr>
            </w:pPr>
          </w:p>
          <w:p w14:paraId="025BB14F" w14:textId="77777777" w:rsidR="00315874" w:rsidRDefault="00000000">
            <w:pPr>
              <w:spacing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Tabelul de mai jos demonstrează cum, la un fond de 22 de zile lucrătoare, repausul efectiv exprimat în săptămâni calendaristice variază extrem în funcție de regimul de muncă:</w:t>
            </w:r>
          </w:p>
          <w:p w14:paraId="12ADD049" w14:textId="77777777" w:rsidR="00315874" w:rsidRDefault="00315874">
            <w:pPr>
              <w:spacing w:line="240" w:lineRule="auto"/>
              <w:jc w:val="both"/>
              <w:rPr>
                <w:rFonts w:ascii="Times New Roman" w:eastAsia="Times New Roman" w:hAnsi="Times New Roman" w:cs="Times New Roman"/>
                <w:sz w:val="24"/>
                <w:szCs w:val="24"/>
                <w:highlight w:val="white"/>
              </w:rPr>
            </w:pPr>
          </w:p>
          <w:tbl>
            <w:tblPr>
              <w:tblStyle w:val="a3"/>
              <w:tblW w:w="522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20"/>
              <w:gridCol w:w="1320"/>
              <w:gridCol w:w="1320"/>
              <w:gridCol w:w="1260"/>
            </w:tblGrid>
            <w:tr w:rsidR="00315874" w14:paraId="2C19CE73" w14:textId="77777777">
              <w:trPr>
                <w:trHeight w:val="1320"/>
              </w:trPr>
              <w:tc>
                <w:tcPr>
                  <w:tcW w:w="1320" w:type="dxa"/>
                  <w:tcMar>
                    <w:top w:w="100" w:type="dxa"/>
                    <w:left w:w="100" w:type="dxa"/>
                    <w:bottom w:w="100" w:type="dxa"/>
                    <w:right w:w="100" w:type="dxa"/>
                  </w:tcMar>
                </w:tcPr>
                <w:p w14:paraId="311C36EC" w14:textId="77777777" w:rsidR="00315874" w:rsidRDefault="00000000">
                  <w:pPr>
                    <w:widowControl w:val="0"/>
                    <w:spacing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I Fond nominal</w:t>
                  </w:r>
                </w:p>
                <w:p w14:paraId="2273C145" w14:textId="77777777" w:rsidR="00315874" w:rsidRDefault="00000000">
                  <w:pPr>
                    <w:widowControl w:val="0"/>
                    <w:spacing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în Proiect</w:t>
                  </w:r>
                </w:p>
              </w:tc>
              <w:tc>
                <w:tcPr>
                  <w:tcW w:w="1320" w:type="dxa"/>
                  <w:tcMar>
                    <w:top w:w="100" w:type="dxa"/>
                    <w:left w:w="100" w:type="dxa"/>
                    <w:bottom w:w="100" w:type="dxa"/>
                    <w:right w:w="100" w:type="dxa"/>
                  </w:tcMar>
                </w:tcPr>
                <w:p w14:paraId="4DCA3D1F" w14:textId="77777777" w:rsidR="00315874" w:rsidRDefault="00000000">
                  <w:pPr>
                    <w:widowControl w:val="0"/>
                    <w:spacing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II / Regim de muncă (zile/săptămână)</w:t>
                  </w:r>
                </w:p>
              </w:tc>
              <w:tc>
                <w:tcPr>
                  <w:tcW w:w="1320" w:type="dxa"/>
                  <w:tcMar>
                    <w:top w:w="100" w:type="dxa"/>
                    <w:left w:w="100" w:type="dxa"/>
                    <w:bottom w:w="100" w:type="dxa"/>
                    <w:right w:w="100" w:type="dxa"/>
                  </w:tcMar>
                </w:tcPr>
                <w:p w14:paraId="6297ABEC" w14:textId="77777777" w:rsidR="00315874" w:rsidRDefault="00000000">
                  <w:pPr>
                    <w:widowControl w:val="0"/>
                    <w:spacing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III / Repaus efectiv (săptămâni</w:t>
                  </w:r>
                </w:p>
                <w:p w14:paraId="6FAB5885" w14:textId="77777777" w:rsidR="00315874" w:rsidRDefault="00000000">
                  <w:pPr>
                    <w:widowControl w:val="0"/>
                    <w:spacing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calendaristice): I / II</w:t>
                  </w:r>
                </w:p>
              </w:tc>
              <w:tc>
                <w:tcPr>
                  <w:tcW w:w="1260" w:type="dxa"/>
                  <w:tcMar>
                    <w:top w:w="100" w:type="dxa"/>
                    <w:left w:w="100" w:type="dxa"/>
                    <w:bottom w:w="100" w:type="dxa"/>
                    <w:right w:w="100" w:type="dxa"/>
                  </w:tcMar>
                </w:tcPr>
                <w:p w14:paraId="1B6FD3B7" w14:textId="77777777" w:rsidR="00315874" w:rsidRDefault="00000000">
                  <w:pPr>
                    <w:widowControl w:val="0"/>
                    <w:spacing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Observație</w:t>
                  </w:r>
                </w:p>
              </w:tc>
            </w:tr>
            <w:tr w:rsidR="00315874" w14:paraId="45139E5B" w14:textId="77777777">
              <w:trPr>
                <w:trHeight w:val="549"/>
              </w:trPr>
              <w:tc>
                <w:tcPr>
                  <w:tcW w:w="1320" w:type="dxa"/>
                  <w:tcMar>
                    <w:top w:w="100" w:type="dxa"/>
                    <w:left w:w="100" w:type="dxa"/>
                    <w:bottom w:w="100" w:type="dxa"/>
                    <w:right w:w="100" w:type="dxa"/>
                  </w:tcMar>
                </w:tcPr>
                <w:p w14:paraId="7511E9BE" w14:textId="77777777" w:rsidR="00315874" w:rsidRDefault="00000000">
                  <w:pPr>
                    <w:widowControl w:val="0"/>
                    <w:spacing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22</w:t>
                  </w:r>
                </w:p>
              </w:tc>
              <w:tc>
                <w:tcPr>
                  <w:tcW w:w="1320" w:type="dxa"/>
                  <w:tcMar>
                    <w:top w:w="100" w:type="dxa"/>
                    <w:left w:w="100" w:type="dxa"/>
                    <w:bottom w:w="100" w:type="dxa"/>
                    <w:right w:w="100" w:type="dxa"/>
                  </w:tcMar>
                </w:tcPr>
                <w:p w14:paraId="4B41014E" w14:textId="77777777" w:rsidR="00315874" w:rsidRDefault="00000000">
                  <w:pPr>
                    <w:widowControl w:val="0"/>
                    <w:spacing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2 zile/ săptămână</w:t>
                  </w:r>
                </w:p>
              </w:tc>
              <w:tc>
                <w:tcPr>
                  <w:tcW w:w="1320" w:type="dxa"/>
                  <w:tcMar>
                    <w:top w:w="100" w:type="dxa"/>
                    <w:left w:w="100" w:type="dxa"/>
                    <w:bottom w:w="100" w:type="dxa"/>
                    <w:right w:w="100" w:type="dxa"/>
                  </w:tcMar>
                </w:tcPr>
                <w:p w14:paraId="17DBDABD" w14:textId="77777777" w:rsidR="00315874" w:rsidRDefault="00000000">
                  <w:pPr>
                    <w:widowControl w:val="0"/>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11,0</w:t>
                  </w:r>
                </w:p>
              </w:tc>
              <w:tc>
                <w:tcPr>
                  <w:tcW w:w="1260" w:type="dxa"/>
                  <w:tcMar>
                    <w:top w:w="100" w:type="dxa"/>
                    <w:left w:w="100" w:type="dxa"/>
                    <w:bottom w:w="100" w:type="dxa"/>
                    <w:right w:w="100" w:type="dxa"/>
                  </w:tcMar>
                </w:tcPr>
                <w:p w14:paraId="6863507C" w14:textId="77777777" w:rsidR="00315874" w:rsidRDefault="00000000">
                  <w:pPr>
                    <w:widowControl w:val="0"/>
                    <w:spacing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Cel mai avantajat</w:t>
                  </w:r>
                </w:p>
              </w:tc>
            </w:tr>
            <w:tr w:rsidR="00315874" w14:paraId="4AA6E5DD" w14:textId="77777777">
              <w:tc>
                <w:tcPr>
                  <w:tcW w:w="1320" w:type="dxa"/>
                  <w:tcMar>
                    <w:top w:w="100" w:type="dxa"/>
                    <w:left w:w="100" w:type="dxa"/>
                    <w:bottom w:w="100" w:type="dxa"/>
                    <w:right w:w="100" w:type="dxa"/>
                  </w:tcMar>
                </w:tcPr>
                <w:p w14:paraId="1CAEE5D3" w14:textId="77777777" w:rsidR="00315874" w:rsidRDefault="00000000">
                  <w:pPr>
                    <w:widowControl w:val="0"/>
                    <w:spacing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22</w:t>
                  </w:r>
                </w:p>
              </w:tc>
              <w:tc>
                <w:tcPr>
                  <w:tcW w:w="1320" w:type="dxa"/>
                  <w:tcMar>
                    <w:top w:w="100" w:type="dxa"/>
                    <w:left w:w="100" w:type="dxa"/>
                    <w:bottom w:w="100" w:type="dxa"/>
                    <w:right w:w="100" w:type="dxa"/>
                  </w:tcMar>
                </w:tcPr>
                <w:p w14:paraId="7CB37E2E" w14:textId="77777777" w:rsidR="00315874" w:rsidRDefault="00000000">
                  <w:pPr>
                    <w:widowControl w:val="0"/>
                    <w:spacing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3 zile/ săptămână</w:t>
                  </w:r>
                </w:p>
              </w:tc>
              <w:tc>
                <w:tcPr>
                  <w:tcW w:w="1320" w:type="dxa"/>
                  <w:tcMar>
                    <w:top w:w="100" w:type="dxa"/>
                    <w:left w:w="100" w:type="dxa"/>
                    <w:bottom w:w="100" w:type="dxa"/>
                    <w:right w:w="100" w:type="dxa"/>
                  </w:tcMar>
                </w:tcPr>
                <w:p w14:paraId="0CFCA333" w14:textId="77777777" w:rsidR="00315874" w:rsidRDefault="00000000">
                  <w:pPr>
                    <w:widowControl w:val="0"/>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7,3</w:t>
                  </w:r>
                </w:p>
              </w:tc>
              <w:tc>
                <w:tcPr>
                  <w:tcW w:w="1260" w:type="dxa"/>
                  <w:tcMar>
                    <w:top w:w="100" w:type="dxa"/>
                    <w:left w:w="100" w:type="dxa"/>
                    <w:bottom w:w="100" w:type="dxa"/>
                    <w:right w:w="100" w:type="dxa"/>
                  </w:tcMar>
                </w:tcPr>
                <w:p w14:paraId="530D9200" w14:textId="77777777" w:rsidR="00315874" w:rsidRDefault="00000000">
                  <w:pPr>
                    <w:widowControl w:val="0"/>
                    <w:spacing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Avantajat</w:t>
                  </w:r>
                </w:p>
              </w:tc>
            </w:tr>
            <w:tr w:rsidR="00315874" w14:paraId="1F1CB565" w14:textId="77777777">
              <w:trPr>
                <w:trHeight w:val="339"/>
              </w:trPr>
              <w:tc>
                <w:tcPr>
                  <w:tcW w:w="1320" w:type="dxa"/>
                  <w:tcMar>
                    <w:top w:w="100" w:type="dxa"/>
                    <w:left w:w="100" w:type="dxa"/>
                    <w:bottom w:w="100" w:type="dxa"/>
                    <w:right w:w="100" w:type="dxa"/>
                  </w:tcMar>
                </w:tcPr>
                <w:p w14:paraId="7FCD1D48" w14:textId="77777777" w:rsidR="00315874" w:rsidRDefault="00000000">
                  <w:pPr>
                    <w:widowControl w:val="0"/>
                    <w:spacing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22</w:t>
                  </w:r>
                </w:p>
              </w:tc>
              <w:tc>
                <w:tcPr>
                  <w:tcW w:w="1320" w:type="dxa"/>
                  <w:tcMar>
                    <w:top w:w="100" w:type="dxa"/>
                    <w:left w:w="100" w:type="dxa"/>
                    <w:bottom w:w="100" w:type="dxa"/>
                    <w:right w:w="100" w:type="dxa"/>
                  </w:tcMar>
                </w:tcPr>
                <w:p w14:paraId="7AE956BA" w14:textId="77777777" w:rsidR="00315874" w:rsidRDefault="00000000">
                  <w:pPr>
                    <w:widowControl w:val="0"/>
                    <w:spacing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5 zile/ săptămână</w:t>
                  </w:r>
                </w:p>
              </w:tc>
              <w:tc>
                <w:tcPr>
                  <w:tcW w:w="1320" w:type="dxa"/>
                  <w:tcMar>
                    <w:top w:w="100" w:type="dxa"/>
                    <w:left w:w="100" w:type="dxa"/>
                    <w:bottom w:w="100" w:type="dxa"/>
                    <w:right w:w="100" w:type="dxa"/>
                  </w:tcMar>
                </w:tcPr>
                <w:p w14:paraId="64B11C46" w14:textId="77777777" w:rsidR="00315874" w:rsidRDefault="00000000">
                  <w:pPr>
                    <w:widowControl w:val="0"/>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4,4 </w:t>
                  </w:r>
                </w:p>
              </w:tc>
              <w:tc>
                <w:tcPr>
                  <w:tcW w:w="1260" w:type="dxa"/>
                  <w:tcMar>
                    <w:top w:w="100" w:type="dxa"/>
                    <w:left w:w="100" w:type="dxa"/>
                    <w:bottom w:w="100" w:type="dxa"/>
                    <w:right w:w="100" w:type="dxa"/>
                  </w:tcMar>
                </w:tcPr>
                <w:p w14:paraId="79968943" w14:textId="77777777" w:rsidR="00315874" w:rsidRDefault="00000000">
                  <w:pPr>
                    <w:widowControl w:val="0"/>
                    <w:spacing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Reper</w:t>
                  </w:r>
                </w:p>
              </w:tc>
            </w:tr>
            <w:tr w:rsidR="00315874" w14:paraId="7AFDCCB9" w14:textId="77777777">
              <w:trPr>
                <w:trHeight w:val="569"/>
              </w:trPr>
              <w:tc>
                <w:tcPr>
                  <w:tcW w:w="1320" w:type="dxa"/>
                  <w:tcMar>
                    <w:top w:w="100" w:type="dxa"/>
                    <w:left w:w="100" w:type="dxa"/>
                    <w:bottom w:w="100" w:type="dxa"/>
                    <w:right w:w="100" w:type="dxa"/>
                  </w:tcMar>
                </w:tcPr>
                <w:p w14:paraId="2B67A674" w14:textId="77777777" w:rsidR="00315874" w:rsidRDefault="00000000">
                  <w:pPr>
                    <w:widowControl w:val="0"/>
                    <w:spacing w:line="240" w:lineRule="auto"/>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22</w:t>
                  </w:r>
                </w:p>
              </w:tc>
              <w:tc>
                <w:tcPr>
                  <w:tcW w:w="1320" w:type="dxa"/>
                  <w:tcMar>
                    <w:top w:w="100" w:type="dxa"/>
                    <w:left w:w="100" w:type="dxa"/>
                    <w:bottom w:w="100" w:type="dxa"/>
                    <w:right w:w="100" w:type="dxa"/>
                  </w:tcMar>
                </w:tcPr>
                <w:p w14:paraId="426983E9" w14:textId="77777777" w:rsidR="00315874" w:rsidRDefault="00000000">
                  <w:pPr>
                    <w:widowControl w:val="0"/>
                    <w:spacing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6 zile/ săptămână</w:t>
                  </w:r>
                </w:p>
              </w:tc>
              <w:tc>
                <w:tcPr>
                  <w:tcW w:w="1320" w:type="dxa"/>
                  <w:tcMar>
                    <w:top w:w="100" w:type="dxa"/>
                    <w:left w:w="100" w:type="dxa"/>
                    <w:bottom w:w="100" w:type="dxa"/>
                    <w:right w:w="100" w:type="dxa"/>
                  </w:tcMar>
                </w:tcPr>
                <w:p w14:paraId="64F65E54" w14:textId="77777777" w:rsidR="00315874" w:rsidRDefault="00000000">
                  <w:pPr>
                    <w:widowControl w:val="0"/>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3,7 </w:t>
                  </w:r>
                </w:p>
              </w:tc>
              <w:tc>
                <w:tcPr>
                  <w:tcW w:w="1260" w:type="dxa"/>
                  <w:tcMar>
                    <w:top w:w="100" w:type="dxa"/>
                    <w:left w:w="100" w:type="dxa"/>
                    <w:bottom w:w="100" w:type="dxa"/>
                    <w:right w:w="100" w:type="dxa"/>
                  </w:tcMar>
                </w:tcPr>
                <w:p w14:paraId="5A8DB0CE" w14:textId="77777777" w:rsidR="00315874" w:rsidRDefault="00000000">
                  <w:pPr>
                    <w:widowControl w:val="0"/>
                    <w:spacing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Sub reperul UE de 4</w:t>
                  </w:r>
                </w:p>
                <w:p w14:paraId="08C4A515" w14:textId="77777777" w:rsidR="00315874" w:rsidRDefault="00000000">
                  <w:pPr>
                    <w:widowControl w:val="0"/>
                    <w:spacing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săptămâni</w:t>
                  </w:r>
                </w:p>
              </w:tc>
            </w:tr>
          </w:tbl>
          <w:p w14:paraId="75A3DAF3" w14:textId="77777777" w:rsidR="00315874" w:rsidRDefault="00315874">
            <w:pPr>
              <w:spacing w:line="240" w:lineRule="auto"/>
              <w:jc w:val="both"/>
              <w:rPr>
                <w:rFonts w:ascii="Times New Roman" w:eastAsia="Times New Roman" w:hAnsi="Times New Roman" w:cs="Times New Roman"/>
                <w:sz w:val="24"/>
                <w:szCs w:val="24"/>
                <w:highlight w:val="white"/>
              </w:rPr>
            </w:pPr>
          </w:p>
          <w:p w14:paraId="2A13A553" w14:textId="77777777" w:rsidR="00315874" w:rsidRDefault="00000000">
            <w:pPr>
              <w:spacing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Experiența altorstate europene relevă că exprimarea concediului în zile lucrătoare este, de regulă, însoțită de reguli privind calculul și ajustarea duratei concediului pentru diferite regimuri de muncă (ilustrată mai jos). Exemplul României, unde asemenea reguli nu au fost elaborate, confirmă riscul descris mai sus și evidențiază importanța existenței unor reguli clare de calcul pentru </w:t>
            </w:r>
            <w:r>
              <w:rPr>
                <w:rFonts w:ascii="Times New Roman" w:eastAsia="Times New Roman" w:hAnsi="Times New Roman" w:cs="Times New Roman"/>
                <w:sz w:val="24"/>
                <w:szCs w:val="24"/>
                <w:highlight w:val="white"/>
              </w:rPr>
              <w:lastRenderedPageBreak/>
              <w:t>evitarea lacunelor de aplicare și a interpretărilor divergente.</w:t>
            </w:r>
          </w:p>
          <w:p w14:paraId="4EBA1D2B" w14:textId="77777777" w:rsidR="00315874" w:rsidRDefault="00315874">
            <w:pPr>
              <w:spacing w:line="240" w:lineRule="auto"/>
              <w:jc w:val="both"/>
              <w:rPr>
                <w:rFonts w:ascii="Times New Roman" w:eastAsia="Times New Roman" w:hAnsi="Times New Roman" w:cs="Times New Roman"/>
                <w:sz w:val="24"/>
                <w:szCs w:val="24"/>
                <w:highlight w:val="white"/>
              </w:rPr>
            </w:pPr>
          </w:p>
        </w:tc>
        <w:tc>
          <w:tcPr>
            <w:tcW w:w="5880" w:type="dxa"/>
            <w:tcBorders>
              <w:top w:val="nil"/>
              <w:left w:val="nil"/>
              <w:bottom w:val="single" w:sz="6" w:space="0" w:color="000000"/>
              <w:right w:val="single" w:sz="6" w:space="0" w:color="999999"/>
            </w:tcBorders>
            <w:tcMar>
              <w:top w:w="0" w:type="dxa"/>
              <w:left w:w="100" w:type="dxa"/>
              <w:bottom w:w="0" w:type="dxa"/>
              <w:right w:w="100" w:type="dxa"/>
            </w:tcMar>
          </w:tcPr>
          <w:p w14:paraId="54FDE76B"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Proiectul a fost completat cu norme suplimentare în acest sens. A se vedea versiunea revizuită.</w:t>
            </w:r>
          </w:p>
          <w:p w14:paraId="2BA3C3D2" w14:textId="77777777" w:rsidR="00315874" w:rsidRDefault="00315874">
            <w:pPr>
              <w:shd w:val="clear" w:color="auto" w:fill="FFFFFF"/>
              <w:jc w:val="both"/>
              <w:rPr>
                <w:rFonts w:ascii="Times New Roman" w:eastAsia="Times New Roman" w:hAnsi="Times New Roman" w:cs="Times New Roman"/>
                <w:b/>
                <w:bCs/>
                <w:sz w:val="24"/>
                <w:szCs w:val="24"/>
                <w:highlight w:val="white"/>
              </w:rPr>
            </w:pPr>
          </w:p>
          <w:p w14:paraId="449C21DC"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Salariații cu forme atipice de muncă vor beneficia de același număr de zile de concediu ca și salariații angajați pe o normă întreagă. Diferența constă doar în modul de calcul și plată a indemnizației de concediu, care se stabilește proporțional cu timpul de muncă și salariul realizat, fără a afecta durata concediului.</w:t>
            </w:r>
          </w:p>
          <w:p w14:paraId="34CBD535" w14:textId="77777777" w:rsidR="00315874" w:rsidRDefault="00315874">
            <w:pPr>
              <w:shd w:val="clear" w:color="auto" w:fill="FFFFFF"/>
              <w:jc w:val="both"/>
              <w:rPr>
                <w:rFonts w:ascii="Times New Roman" w:eastAsia="Times New Roman" w:hAnsi="Times New Roman" w:cs="Times New Roman"/>
                <w:b/>
                <w:bCs/>
                <w:sz w:val="24"/>
                <w:szCs w:val="24"/>
                <w:highlight w:val="white"/>
              </w:rPr>
            </w:pPr>
          </w:p>
          <w:p w14:paraId="0ABF1565" w14:textId="77777777" w:rsidR="00315874" w:rsidRDefault="00315874">
            <w:pPr>
              <w:shd w:val="clear" w:color="auto" w:fill="FFFFFF"/>
              <w:jc w:val="both"/>
              <w:rPr>
                <w:rFonts w:ascii="Times New Roman" w:eastAsia="Times New Roman" w:hAnsi="Times New Roman" w:cs="Times New Roman"/>
                <w:b/>
                <w:bCs/>
                <w:sz w:val="24"/>
                <w:szCs w:val="24"/>
                <w:highlight w:val="white"/>
              </w:rPr>
            </w:pPr>
          </w:p>
          <w:p w14:paraId="5FA46D93"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 xml:space="preserve">Stabilirea unui număr minim uniform de zile de concediu de odihnă anual asigură aplicarea principiului egalității de tratament, astfel încât salariații încadrați în forme atipice de muncă beneficiază de aceeași durată a concediului de odihnă anual ca și salariații angajați cu </w:t>
            </w:r>
            <w:r>
              <w:rPr>
                <w:rFonts w:ascii="Times New Roman" w:eastAsia="Times New Roman" w:hAnsi="Times New Roman" w:cs="Times New Roman"/>
                <w:b/>
                <w:bCs/>
                <w:sz w:val="24"/>
                <w:szCs w:val="24"/>
                <w:highlight w:val="white"/>
              </w:rPr>
              <w:lastRenderedPageBreak/>
              <w:t>normă întreagă, fără discriminare în funcție de forma de organizare a muncii.</w:t>
            </w:r>
          </w:p>
          <w:p w14:paraId="420C8ED9" w14:textId="77777777" w:rsidR="00315874" w:rsidRDefault="00315874">
            <w:pPr>
              <w:shd w:val="clear" w:color="auto" w:fill="FFFFFF"/>
              <w:jc w:val="both"/>
              <w:rPr>
                <w:rFonts w:ascii="Times New Roman" w:eastAsia="Times New Roman" w:hAnsi="Times New Roman" w:cs="Times New Roman"/>
                <w:b/>
                <w:bCs/>
                <w:sz w:val="24"/>
                <w:szCs w:val="24"/>
                <w:highlight w:val="white"/>
              </w:rPr>
            </w:pPr>
          </w:p>
        </w:tc>
      </w:tr>
      <w:tr w:rsidR="00315874" w14:paraId="2B718258" w14:textId="77777777">
        <w:trPr>
          <w:trHeight w:val="240"/>
        </w:trPr>
        <w:tc>
          <w:tcPr>
            <w:tcW w:w="870" w:type="dxa"/>
            <w:vMerge/>
            <w:tcBorders>
              <w:top w:val="nil"/>
              <w:left w:val="single" w:sz="6" w:space="0" w:color="000000"/>
              <w:bottom w:val="single" w:sz="6" w:space="0" w:color="999999"/>
              <w:right w:val="single" w:sz="6" w:space="0" w:color="000000"/>
            </w:tcBorders>
            <w:tcMar>
              <w:top w:w="0" w:type="dxa"/>
              <w:left w:w="100" w:type="dxa"/>
              <w:bottom w:w="0" w:type="dxa"/>
              <w:right w:w="100" w:type="dxa"/>
            </w:tcMar>
          </w:tcPr>
          <w:p w14:paraId="47C60D7C" w14:textId="77777777" w:rsidR="00315874" w:rsidRDefault="00315874">
            <w:pPr>
              <w:spacing w:line="240" w:lineRule="auto"/>
              <w:jc w:val="center"/>
              <w:rPr>
                <w:rFonts w:ascii="Times New Roman" w:eastAsia="Times New Roman" w:hAnsi="Times New Roman" w:cs="Times New Roman"/>
                <w:b/>
                <w:bCs/>
                <w:sz w:val="24"/>
                <w:szCs w:val="24"/>
                <w:highlight w:val="white"/>
              </w:rPr>
            </w:pPr>
          </w:p>
        </w:tc>
        <w:tc>
          <w:tcPr>
            <w:tcW w:w="2730" w:type="dxa"/>
            <w:vMerge/>
            <w:tcBorders>
              <w:top w:val="nil"/>
              <w:left w:val="single" w:sz="6" w:space="0" w:color="000000"/>
              <w:bottom w:val="single" w:sz="6" w:space="0" w:color="999999"/>
              <w:right w:val="single" w:sz="6" w:space="0" w:color="000000"/>
            </w:tcBorders>
            <w:tcMar>
              <w:top w:w="0" w:type="dxa"/>
              <w:left w:w="100" w:type="dxa"/>
              <w:bottom w:w="0" w:type="dxa"/>
              <w:right w:w="100" w:type="dxa"/>
            </w:tcMar>
          </w:tcPr>
          <w:p w14:paraId="14003693" w14:textId="77777777" w:rsidR="00315874" w:rsidRDefault="00315874">
            <w:pPr>
              <w:spacing w:line="240" w:lineRule="auto"/>
              <w:jc w:val="center"/>
              <w:rPr>
                <w:rFonts w:ascii="Times New Roman" w:eastAsia="Times New Roman" w:hAnsi="Times New Roman" w:cs="Times New Roman"/>
                <w:sz w:val="24"/>
                <w:szCs w:val="24"/>
                <w:highlight w:val="white"/>
              </w:rPr>
            </w:pPr>
          </w:p>
        </w:tc>
        <w:tc>
          <w:tcPr>
            <w:tcW w:w="5550" w:type="dxa"/>
            <w:tcBorders>
              <w:top w:val="nil"/>
              <w:left w:val="single" w:sz="6" w:space="0" w:color="000000"/>
              <w:bottom w:val="single" w:sz="6" w:space="0" w:color="000000"/>
              <w:right w:val="single" w:sz="6" w:space="0" w:color="999999"/>
            </w:tcBorders>
            <w:tcMar>
              <w:top w:w="0" w:type="dxa"/>
              <w:left w:w="100" w:type="dxa"/>
              <w:bottom w:w="0" w:type="dxa"/>
              <w:right w:w="100" w:type="dxa"/>
            </w:tcMar>
          </w:tcPr>
          <w:p w14:paraId="673A67C9" w14:textId="77777777" w:rsidR="00315874" w:rsidRDefault="00000000">
            <w:pPr>
              <w:spacing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În Proiect, art. 113 din Codul muncii include o referire la „durata normală a timpului de muncă” ca bază pentru acordarea rezervei concediale. Coroborată cu definiția din art. 95 din Codul muncii, potrivit căreia durata normală a timpului de muncă „nu poate depăși 40 de ore pe săptămână”, această formulare ar putea fi interpretată în sensul că durata minimă garantată a concediului este raportată la o săptămână de lucru de 40 de ore și că ar permite ajustări atunci când durata muncii prestate diferă de acest reper. Totuși, apreciem că această referire nu este clară și nici suficientă pentru a fundamenta un mecanism de ajustare a rezervei concediale, din cel puțin trei motive:</w:t>
            </w:r>
          </w:p>
          <w:p w14:paraId="46AC87AD" w14:textId="77777777" w:rsidR="00315874" w:rsidRDefault="00000000">
            <w:pPr>
              <w:spacing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 </w:t>
            </w:r>
            <w:r>
              <w:rPr>
                <w:rFonts w:ascii="Times New Roman" w:eastAsia="Times New Roman" w:hAnsi="Times New Roman" w:cs="Times New Roman"/>
                <w:sz w:val="24"/>
                <w:szCs w:val="24"/>
                <w:highlight w:val="white"/>
              </w:rPr>
              <w:t>Prevederea nu este explicită. Este necesar un exercițiu de interpretare pentru a deduce că</w:t>
            </w:r>
          </w:p>
          <w:p w14:paraId="63DDC2C6" w14:textId="77777777" w:rsidR="00315874" w:rsidRDefault="00000000">
            <w:pPr>
              <w:spacing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sintagma respectivă permite majorarea sau diminuarea rezervei concediale în funcție de programul de muncă.</w:t>
            </w:r>
          </w:p>
          <w:p w14:paraId="4D861858" w14:textId="77777777" w:rsidR="00315874" w:rsidRDefault="00000000">
            <w:pPr>
              <w:spacing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w:t>
            </w:r>
            <w:r>
              <w:rPr>
                <w:rFonts w:ascii="Times New Roman" w:eastAsia="Times New Roman" w:hAnsi="Times New Roman" w:cs="Times New Roman"/>
                <w:sz w:val="24"/>
                <w:szCs w:val="24"/>
                <w:highlight w:val="white"/>
              </w:rPr>
              <w:t xml:space="preserve"> Prevederea nu oferă o soluție tranșantă nici pentru situațiile pe care ar urma să le reglementeze.</w:t>
            </w:r>
          </w:p>
          <w:p w14:paraId="2C60CFD2" w14:textId="77777777" w:rsidR="00315874" w:rsidRDefault="00000000">
            <w:pPr>
              <w:spacing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Durata normală a timpului de muncă nu reprezintă o valoare fixă, ci un plafon („nu poate depăși 40 de ore pe săptămână”). În consecință, și un program de 20 de ore pe săptămână s-ar putea încadra în noțiunea de durată normală a timpului de muncă, ceea ce permite interpretarea că rezerva concedială nu este susceptibilă de ajustare, indiferent de reducerea programului de lucru.</w:t>
            </w:r>
          </w:p>
          <w:p w14:paraId="19117BB1" w14:textId="77777777" w:rsidR="00315874" w:rsidRDefault="00000000">
            <w:pPr>
              <w:spacing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Astfel, un salariat care lucrează doar lunea și vinerea, câte 4 ore pe zi, ar putea argumenta ca are dreptul la același concediu anual plătit ca un salariat cu normă întreagă.</w:t>
            </w:r>
          </w:p>
          <w:p w14:paraId="4EC2E4F4" w14:textId="77777777" w:rsidR="00315874" w:rsidRDefault="00000000">
            <w:pPr>
              <w:spacing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 </w:t>
            </w:r>
            <w:r>
              <w:rPr>
                <w:rFonts w:ascii="Times New Roman" w:eastAsia="Times New Roman" w:hAnsi="Times New Roman" w:cs="Times New Roman"/>
                <w:sz w:val="24"/>
                <w:szCs w:val="24"/>
                <w:highlight w:val="white"/>
              </w:rPr>
              <w:t>Norma nu poate fi aplicată în mod consecvent programelor de muncă variabile. Aceasta nu oferă soluții adecvate în cazul evidenței globale a timpului de muncă, unde timpul de muncă este calculat pe perioade extinse, de până la un an, și nici în cazul muncii în ture cu program glisant (de exemplu, rotații de tip 11/22 (24), unde numărul zilelor lucrătoare și durata muncii săptămânale variază de la o săptămână la alta.</w:t>
            </w:r>
          </w:p>
          <w:p w14:paraId="25D65290" w14:textId="77777777" w:rsidR="00315874" w:rsidRDefault="00315874">
            <w:pPr>
              <w:spacing w:line="240" w:lineRule="auto"/>
              <w:jc w:val="both"/>
              <w:rPr>
                <w:rFonts w:ascii="Times New Roman" w:eastAsia="Times New Roman" w:hAnsi="Times New Roman" w:cs="Times New Roman"/>
                <w:sz w:val="24"/>
                <w:szCs w:val="24"/>
                <w:highlight w:val="white"/>
              </w:rPr>
            </w:pPr>
          </w:p>
        </w:tc>
        <w:tc>
          <w:tcPr>
            <w:tcW w:w="5880" w:type="dxa"/>
            <w:tcBorders>
              <w:top w:val="nil"/>
              <w:left w:val="nil"/>
              <w:bottom w:val="single" w:sz="6" w:space="0" w:color="000000"/>
              <w:right w:val="single" w:sz="6" w:space="0" w:color="999999"/>
            </w:tcBorders>
            <w:tcMar>
              <w:top w:w="0" w:type="dxa"/>
              <w:left w:w="100" w:type="dxa"/>
              <w:bottom w:w="0" w:type="dxa"/>
              <w:right w:w="100" w:type="dxa"/>
            </w:tcMar>
          </w:tcPr>
          <w:p w14:paraId="2A2A23B3"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Proiectul a fost modificat. A se vedea versiunea revizuită</w:t>
            </w:r>
          </w:p>
          <w:p w14:paraId="2DA84526" w14:textId="77777777" w:rsidR="00315874" w:rsidRDefault="00315874">
            <w:pPr>
              <w:shd w:val="clear" w:color="auto" w:fill="FFFFFF"/>
              <w:jc w:val="both"/>
              <w:rPr>
                <w:rFonts w:ascii="Times New Roman" w:eastAsia="Times New Roman" w:hAnsi="Times New Roman" w:cs="Times New Roman"/>
                <w:b/>
                <w:bCs/>
                <w:sz w:val="24"/>
                <w:szCs w:val="24"/>
                <w:highlight w:val="white"/>
              </w:rPr>
            </w:pPr>
          </w:p>
        </w:tc>
      </w:tr>
      <w:tr w:rsidR="00315874" w14:paraId="43F34458" w14:textId="77777777">
        <w:trPr>
          <w:trHeight w:val="1185"/>
        </w:trPr>
        <w:tc>
          <w:tcPr>
            <w:tcW w:w="870" w:type="dxa"/>
            <w:vMerge/>
            <w:tcBorders>
              <w:top w:val="nil"/>
              <w:left w:val="single" w:sz="6" w:space="0" w:color="000000"/>
              <w:bottom w:val="single" w:sz="6" w:space="0" w:color="999999"/>
              <w:right w:val="single" w:sz="6" w:space="0" w:color="000000"/>
            </w:tcBorders>
            <w:tcMar>
              <w:top w:w="0" w:type="dxa"/>
              <w:left w:w="100" w:type="dxa"/>
              <w:bottom w:w="0" w:type="dxa"/>
              <w:right w:w="100" w:type="dxa"/>
            </w:tcMar>
          </w:tcPr>
          <w:p w14:paraId="3CA24502" w14:textId="77777777" w:rsidR="00315874" w:rsidRDefault="00315874">
            <w:pPr>
              <w:spacing w:line="240" w:lineRule="auto"/>
              <w:jc w:val="center"/>
              <w:rPr>
                <w:rFonts w:ascii="Times New Roman" w:eastAsia="Times New Roman" w:hAnsi="Times New Roman" w:cs="Times New Roman"/>
                <w:b/>
                <w:bCs/>
                <w:sz w:val="24"/>
                <w:szCs w:val="24"/>
                <w:highlight w:val="white"/>
              </w:rPr>
            </w:pPr>
          </w:p>
        </w:tc>
        <w:tc>
          <w:tcPr>
            <w:tcW w:w="2730" w:type="dxa"/>
            <w:vMerge/>
            <w:tcBorders>
              <w:top w:val="nil"/>
              <w:left w:val="single" w:sz="6" w:space="0" w:color="000000"/>
              <w:bottom w:val="single" w:sz="6" w:space="0" w:color="999999"/>
              <w:right w:val="single" w:sz="6" w:space="0" w:color="000000"/>
            </w:tcBorders>
            <w:tcMar>
              <w:top w:w="0" w:type="dxa"/>
              <w:left w:w="100" w:type="dxa"/>
              <w:bottom w:w="0" w:type="dxa"/>
              <w:right w:w="100" w:type="dxa"/>
            </w:tcMar>
          </w:tcPr>
          <w:p w14:paraId="383E2BCD" w14:textId="77777777" w:rsidR="00315874" w:rsidRDefault="00315874">
            <w:pPr>
              <w:spacing w:line="240" w:lineRule="auto"/>
              <w:jc w:val="center"/>
              <w:rPr>
                <w:rFonts w:ascii="Times New Roman" w:eastAsia="Times New Roman" w:hAnsi="Times New Roman" w:cs="Times New Roman"/>
                <w:sz w:val="24"/>
                <w:szCs w:val="24"/>
                <w:highlight w:val="white"/>
              </w:rPr>
            </w:pPr>
          </w:p>
        </w:tc>
        <w:tc>
          <w:tcPr>
            <w:tcW w:w="5550" w:type="dxa"/>
            <w:tcBorders>
              <w:top w:val="nil"/>
              <w:left w:val="single" w:sz="6" w:space="0" w:color="000000"/>
              <w:bottom w:val="single" w:sz="6" w:space="0" w:color="000000"/>
              <w:right w:val="single" w:sz="6" w:space="0" w:color="999999"/>
            </w:tcBorders>
            <w:tcMar>
              <w:top w:w="0" w:type="dxa"/>
              <w:left w:w="100" w:type="dxa"/>
              <w:bottom w:w="0" w:type="dxa"/>
              <w:right w:w="100" w:type="dxa"/>
            </w:tcMar>
          </w:tcPr>
          <w:p w14:paraId="44233BA7" w14:textId="77777777" w:rsidR="00315874" w:rsidRDefault="00000000">
            <w:pPr>
              <w:spacing w:line="240" w:lineRule="auto"/>
              <w:jc w:val="both"/>
              <w:rPr>
                <w:rFonts w:ascii="Times New Roman" w:eastAsia="Times New Roman" w:hAnsi="Times New Roman" w:cs="Times New Roman"/>
                <w:b/>
                <w:bCs/>
                <w:i/>
                <w:iCs/>
                <w:sz w:val="24"/>
                <w:szCs w:val="24"/>
                <w:highlight w:val="white"/>
              </w:rPr>
            </w:pPr>
            <w:r>
              <w:rPr>
                <w:rFonts w:ascii="Times New Roman" w:eastAsia="Times New Roman" w:hAnsi="Times New Roman" w:cs="Times New Roman"/>
                <w:b/>
                <w:bCs/>
                <w:i/>
                <w:iCs/>
                <w:sz w:val="24"/>
                <w:szCs w:val="24"/>
                <w:highlight w:val="white"/>
              </w:rPr>
              <w:t>III. Modele comparate de reglementare a concediului în zile lucrătoare</w:t>
            </w:r>
          </w:p>
          <w:p w14:paraId="16B449E4" w14:textId="77777777" w:rsidR="00315874" w:rsidRDefault="00000000">
            <w:pPr>
              <w:spacing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Experiența statelor care exprimă durata concediului anual în zile lucrătoare confirmă necesitatea existenței unor mecanisme de ajustare a dreptului la concediu în funcție de programul de muncă al salariatului, astfel încât durata efectivă a repausului anual să fie echivalentă pentru toate categoriile de lucrători:</w:t>
            </w:r>
          </w:p>
          <w:p w14:paraId="1D83699A" w14:textId="77777777" w:rsidR="00315874" w:rsidRDefault="00000000">
            <w:pPr>
              <w:spacing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Austria.</w:t>
            </w:r>
            <w:r>
              <w:rPr>
                <w:rFonts w:ascii="Times New Roman" w:eastAsia="Times New Roman" w:hAnsi="Times New Roman" w:cs="Times New Roman"/>
                <w:sz w:val="24"/>
                <w:szCs w:val="24"/>
                <w:highlight w:val="white"/>
              </w:rPr>
              <w:t xml:space="preserve"> Durata minimă legală a concediului anual este exprimată în zile lucrătoare, având ca reper săptămâna de lucru de 6 zile. Din rațiuni declarate de asigurare a egalității între salariații cu program deplin (6 zile) și cei cu program redus (5 zile și mai puțin), durata garantată de lege a concediului se calculează proporțional cu timpul anual de muncă al salariatului respectiv, potrivit formulei: numărul de zile lucrate pe săptămână × durata concediului exprimată în săptămâni calendaristice (5) = numărul de zile de concediu cuvenite. Astfel, un salariat care lucrează 3 zile pe </w:t>
            </w:r>
            <w:r>
              <w:rPr>
                <w:rFonts w:ascii="Times New Roman" w:eastAsia="Times New Roman" w:hAnsi="Times New Roman" w:cs="Times New Roman"/>
                <w:sz w:val="24"/>
                <w:szCs w:val="24"/>
                <w:highlight w:val="white"/>
              </w:rPr>
              <w:lastRenderedPageBreak/>
              <w:t>săptămână beneficiază de 15 zile lucrătoare de concediu. Deși numărul nominal de zile diferă, durata efectivă a concediului rămâne identică: atât salariatul cu normă întreagă, cât și cel cu program redus beneficiază de 5 săptămâni calendaristice de repaus anual.</w:t>
            </w:r>
          </w:p>
          <w:p w14:paraId="5576EE25" w14:textId="77777777" w:rsidR="00315874" w:rsidRDefault="00000000">
            <w:pPr>
              <w:spacing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Germania.</w:t>
            </w:r>
            <w:r>
              <w:rPr>
                <w:rFonts w:ascii="Times New Roman" w:eastAsia="Times New Roman" w:hAnsi="Times New Roman" w:cs="Times New Roman"/>
                <w:sz w:val="24"/>
                <w:szCs w:val="24"/>
                <w:highlight w:val="white"/>
              </w:rPr>
              <w:t xml:space="preserve"> Legea federală a concediilor (BUrlG, §3) stabilește o durată minimă anuală a concediului de 24 de zile lucrătoare, definite ca toate zilele calendaristice care nu sunt duminici sau sărbători legale, astfel încât durata garantată a concediului este raportată expres la săptămâna de muncă de 6 zile. Ulterior, Curtea Federală de Muncă (Bundesarbeitsgericht, BAG), prin jurisprudența sa de referință (hotărârea în cauza 9 AZR 406/17), a statuat că acest concediu nominal de 24 de zile lucrătoare trebuie ajustat proporțional în funcție de variațiile timpului de muncă al salariatului pe parcursul anului și de numărul de zile lucrătoare săptămânale aplicabile acestuia.</w:t>
            </w:r>
          </w:p>
          <w:p w14:paraId="4E9AD9EE" w14:textId="77777777" w:rsidR="00315874" w:rsidRDefault="00000000">
            <w:pPr>
              <w:spacing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Luxemburg.</w:t>
            </w:r>
            <w:r>
              <w:rPr>
                <w:rFonts w:ascii="Times New Roman" w:eastAsia="Times New Roman" w:hAnsi="Times New Roman" w:cs="Times New Roman"/>
                <w:sz w:val="24"/>
                <w:szCs w:val="24"/>
                <w:highlight w:val="white"/>
              </w:rPr>
              <w:t xml:space="preserve"> Pentru salariații cu program de muncă parțial (redus) sau cu programe de muncă atipice, concediul se calculează pro rata, raportat la orele lucrate săptămânal. Guvernul publică tabele oficiale de conversie pentru calcularea duratei concediului, în funcție de lunile lucrate și de numărul de ore lucrate lunar de fiecare salariat.</w:t>
            </w:r>
          </w:p>
          <w:p w14:paraId="25A76D28" w14:textId="77777777" w:rsidR="00315874" w:rsidRDefault="00315874">
            <w:pPr>
              <w:spacing w:line="240" w:lineRule="auto"/>
              <w:jc w:val="both"/>
              <w:rPr>
                <w:rFonts w:ascii="Times New Roman" w:eastAsia="Times New Roman" w:hAnsi="Times New Roman" w:cs="Times New Roman"/>
                <w:sz w:val="24"/>
                <w:szCs w:val="24"/>
                <w:highlight w:val="white"/>
              </w:rPr>
            </w:pPr>
          </w:p>
          <w:p w14:paraId="23136E60" w14:textId="77777777" w:rsidR="00315874" w:rsidRDefault="00000000">
            <w:pPr>
              <w:spacing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Exemplele altor state arată că simpla exprimare a concediului în zile lucrătoare nu poate fi considerată o reglementare completă, aplicabilă în mod adecvat tuturor contextelor de organizare a muncii. Prin urmare, pentru a asigura coerența normativă și aplicarea uniformă a dreptului la concediu în funcție de diversele </w:t>
            </w:r>
            <w:r>
              <w:rPr>
                <w:rFonts w:ascii="Times New Roman" w:eastAsia="Times New Roman" w:hAnsi="Times New Roman" w:cs="Times New Roman"/>
                <w:sz w:val="24"/>
                <w:szCs w:val="24"/>
                <w:highlight w:val="white"/>
              </w:rPr>
              <w:lastRenderedPageBreak/>
              <w:t>forme de organizare a timpului de muncă, Proiectul ar trebui să dezvolte în mod expres un mecanism de ajustare similar, care să permită corelarea duratei concediului cu programul efectiv de muncă al salariatului.</w:t>
            </w:r>
          </w:p>
        </w:tc>
        <w:tc>
          <w:tcPr>
            <w:tcW w:w="5880" w:type="dxa"/>
            <w:tcBorders>
              <w:top w:val="nil"/>
              <w:left w:val="nil"/>
              <w:bottom w:val="single" w:sz="6" w:space="0" w:color="000000"/>
              <w:right w:val="single" w:sz="6" w:space="0" w:color="999999"/>
            </w:tcBorders>
            <w:tcMar>
              <w:top w:w="0" w:type="dxa"/>
              <w:left w:w="100" w:type="dxa"/>
              <w:bottom w:w="0" w:type="dxa"/>
              <w:right w:w="100" w:type="dxa"/>
            </w:tcMar>
          </w:tcPr>
          <w:p w14:paraId="3B7E205B"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 xml:space="preserve">Se ia act. </w:t>
            </w:r>
          </w:p>
          <w:p w14:paraId="70AC27D6"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Salariații cu forme atipice de muncă vor beneficia de același număr de zile de concediu ca și salariații angajați pe o normă întreagă. Diferența constă doar în modul de calcul și plată a indemnizației de concediu, care se stabilește proporțional cu timpul de muncă și salariul realizat, fără a afecta durata concediului.</w:t>
            </w:r>
          </w:p>
          <w:p w14:paraId="17812259"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500F6F7F"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Stabilirea unui număr minim uniform de zile de concediu de odihnă anual asigură aplicarea principiului egalității de tratament, astfel încât salariații încadrați în forme atipice de muncă beneficiază de aceeași durată a concediului de odihnă anual ca și salariații angajați cu normă întreagă, fără discriminare în funcție de forma de organizare a muncii.</w:t>
            </w:r>
          </w:p>
          <w:p w14:paraId="7B3539B1" w14:textId="77777777" w:rsidR="00315874" w:rsidRDefault="00315874">
            <w:pPr>
              <w:shd w:val="clear" w:color="auto" w:fill="FFFFFF"/>
              <w:jc w:val="both"/>
              <w:rPr>
                <w:rFonts w:ascii="Times New Roman" w:eastAsia="Times New Roman" w:hAnsi="Times New Roman" w:cs="Times New Roman"/>
                <w:b/>
                <w:bCs/>
                <w:sz w:val="24"/>
                <w:szCs w:val="24"/>
                <w:highlight w:val="white"/>
              </w:rPr>
            </w:pPr>
          </w:p>
        </w:tc>
      </w:tr>
      <w:tr w:rsidR="00315874" w14:paraId="266B45D6" w14:textId="77777777">
        <w:trPr>
          <w:trHeight w:val="1185"/>
        </w:trPr>
        <w:tc>
          <w:tcPr>
            <w:tcW w:w="870" w:type="dxa"/>
            <w:vMerge/>
            <w:tcBorders>
              <w:top w:val="nil"/>
              <w:left w:val="single" w:sz="6" w:space="0" w:color="999999"/>
              <w:bottom w:val="single" w:sz="6" w:space="0" w:color="999999"/>
              <w:right w:val="single" w:sz="6" w:space="0" w:color="999999"/>
            </w:tcBorders>
            <w:tcMar>
              <w:top w:w="0" w:type="dxa"/>
              <w:left w:w="100" w:type="dxa"/>
              <w:bottom w:w="0" w:type="dxa"/>
              <w:right w:w="100" w:type="dxa"/>
            </w:tcMar>
          </w:tcPr>
          <w:p w14:paraId="6691C659" w14:textId="77777777" w:rsidR="00315874" w:rsidRDefault="00315874">
            <w:pPr>
              <w:spacing w:line="240" w:lineRule="auto"/>
              <w:jc w:val="center"/>
              <w:rPr>
                <w:rFonts w:ascii="Times New Roman" w:eastAsia="Times New Roman" w:hAnsi="Times New Roman" w:cs="Times New Roman"/>
                <w:b/>
                <w:bCs/>
                <w:sz w:val="24"/>
                <w:szCs w:val="24"/>
                <w:highlight w:val="white"/>
              </w:rPr>
            </w:pPr>
          </w:p>
        </w:tc>
        <w:tc>
          <w:tcPr>
            <w:tcW w:w="2730" w:type="dxa"/>
            <w:vMerge/>
            <w:tcBorders>
              <w:top w:val="nil"/>
              <w:left w:val="nil"/>
              <w:bottom w:val="single" w:sz="6" w:space="0" w:color="999999"/>
              <w:right w:val="single" w:sz="6" w:space="0" w:color="999999"/>
            </w:tcBorders>
            <w:tcMar>
              <w:top w:w="0" w:type="dxa"/>
              <w:left w:w="100" w:type="dxa"/>
              <w:bottom w:w="0" w:type="dxa"/>
              <w:right w:w="100" w:type="dxa"/>
            </w:tcMar>
          </w:tcPr>
          <w:p w14:paraId="01733122" w14:textId="77777777" w:rsidR="00315874" w:rsidRDefault="00315874">
            <w:pPr>
              <w:spacing w:line="240" w:lineRule="auto"/>
              <w:jc w:val="center"/>
              <w:rPr>
                <w:rFonts w:ascii="Times New Roman" w:eastAsia="Times New Roman" w:hAnsi="Times New Roman" w:cs="Times New Roman"/>
                <w:sz w:val="24"/>
                <w:szCs w:val="24"/>
                <w:highlight w:val="white"/>
              </w:rPr>
            </w:pPr>
          </w:p>
        </w:tc>
        <w:tc>
          <w:tcPr>
            <w:tcW w:w="5550" w:type="dxa"/>
            <w:tcBorders>
              <w:top w:val="nil"/>
              <w:left w:val="nil"/>
              <w:bottom w:val="single" w:sz="6" w:space="0" w:color="000000"/>
              <w:right w:val="single" w:sz="6" w:space="0" w:color="999999"/>
            </w:tcBorders>
            <w:tcMar>
              <w:top w:w="0" w:type="dxa"/>
              <w:left w:w="100" w:type="dxa"/>
              <w:bottom w:w="0" w:type="dxa"/>
              <w:right w:w="100" w:type="dxa"/>
            </w:tcMar>
          </w:tcPr>
          <w:p w14:paraId="3B308EF0" w14:textId="77777777" w:rsidR="00315874" w:rsidRDefault="00000000">
            <w:pPr>
              <w:spacing w:line="240" w:lineRule="auto"/>
              <w:jc w:val="both"/>
              <w:rPr>
                <w:rFonts w:ascii="Times New Roman" w:eastAsia="Times New Roman" w:hAnsi="Times New Roman" w:cs="Times New Roman"/>
                <w:b/>
                <w:bCs/>
                <w:i/>
                <w:iCs/>
                <w:sz w:val="24"/>
                <w:szCs w:val="24"/>
                <w:highlight w:val="white"/>
              </w:rPr>
            </w:pPr>
            <w:r>
              <w:rPr>
                <w:rFonts w:ascii="Times New Roman" w:eastAsia="Times New Roman" w:hAnsi="Times New Roman" w:cs="Times New Roman"/>
                <w:b/>
                <w:bCs/>
                <w:i/>
                <w:iCs/>
                <w:sz w:val="24"/>
                <w:szCs w:val="24"/>
                <w:highlight w:val="white"/>
              </w:rPr>
              <w:t>IV. Observații asupra altor intervenții din Proiect</w:t>
            </w:r>
          </w:p>
          <w:p w14:paraId="50E85FC2" w14:textId="77777777" w:rsidR="00315874" w:rsidRDefault="00000000">
            <w:pPr>
              <w:spacing w:line="240" w:lineRule="auto"/>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A. Durata de 22 de zile și impactul economic</w:t>
            </w:r>
          </w:p>
          <w:p w14:paraId="7DAE8138" w14:textId="77777777" w:rsidR="00315874" w:rsidRDefault="00000000">
            <w:pPr>
              <w:spacing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AmCham consideră necesar reglementarea unui prag de 20 zile lucrătoare în sensul proiectului de lege. Pentru un program de cinci zile, 28 de zile calendaristice luate ca patru săptămâni complete includ, de regulă, 20 de zile programate de muncă. Prin urmare, 22 de zile nu reprezintă o conversie strict neutră, ci o majorare a repausului anual, al cărei impact trebuie cuantificat.</w:t>
            </w:r>
          </w:p>
          <w:p w14:paraId="2AA04931" w14:textId="77777777" w:rsidR="00315874" w:rsidRDefault="00000000">
            <w:pPr>
              <w:spacing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Evaluarea trebuie să acopere costul salarial și al indemnizațiilor, provizioanele pentru concedii neutilizate, înlocuirea personalului sau orele suplimentare, impactul asupra bugetelor publice și adaptarea sistemelor HR/payroll.</w:t>
            </w:r>
          </w:p>
          <w:p w14:paraId="62249C6A" w14:textId="77777777" w:rsidR="00315874" w:rsidRDefault="00000000">
            <w:pPr>
              <w:spacing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Menționăm că până la adoptarea noului Cod al muncii în anul 2003 și trecerea la conceptul de zile calendaristice, concediul anual se acorda salariaților pe o durată de cel puțin 24 zile lucrătoare </w:t>
            </w:r>
            <w:r>
              <w:rPr>
                <w:rFonts w:ascii="Times New Roman" w:eastAsia="Times New Roman" w:hAnsi="Times New Roman" w:cs="Times New Roman"/>
                <w:b/>
                <w:bCs/>
                <w:sz w:val="24"/>
                <w:szCs w:val="24"/>
                <w:highlight w:val="white"/>
              </w:rPr>
              <w:t>(luîndu- se drept bază săptămîna de muncă de șase zile).</w:t>
            </w:r>
          </w:p>
        </w:tc>
        <w:tc>
          <w:tcPr>
            <w:tcW w:w="5880" w:type="dxa"/>
            <w:tcBorders>
              <w:top w:val="nil"/>
              <w:left w:val="nil"/>
              <w:bottom w:val="single" w:sz="6" w:space="0" w:color="000000"/>
              <w:right w:val="single" w:sz="6" w:space="0" w:color="999999"/>
            </w:tcBorders>
            <w:tcMar>
              <w:top w:w="0" w:type="dxa"/>
              <w:left w:w="100" w:type="dxa"/>
              <w:bottom w:w="0" w:type="dxa"/>
              <w:right w:w="100" w:type="dxa"/>
            </w:tcMar>
          </w:tcPr>
          <w:p w14:paraId="31917084" w14:textId="57E42953"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Asigurarea unui concediu de odihnă anual de minim </w:t>
            </w:r>
            <w:r w:rsidRPr="0009241B">
              <w:rPr>
                <w:rFonts w:ascii="Times New Roman" w:eastAsia="Times New Roman" w:hAnsi="Times New Roman" w:cs="Times New Roman"/>
                <w:sz w:val="24"/>
                <w:szCs w:val="24"/>
                <w:highlight w:val="white"/>
              </w:rPr>
              <w:t>22 de zile lucrătoare</w:t>
            </w:r>
            <w:r>
              <w:rPr>
                <w:rFonts w:ascii="Times New Roman" w:eastAsia="Times New Roman" w:hAnsi="Times New Roman" w:cs="Times New Roman"/>
                <w:i/>
                <w:color w:val="FF0000"/>
                <w:sz w:val="24"/>
                <w:szCs w:val="24"/>
              </w:rPr>
              <w:t xml:space="preserve"> </w:t>
            </w:r>
            <w:r>
              <w:rPr>
                <w:rFonts w:ascii="Times New Roman" w:eastAsia="Times New Roman" w:hAnsi="Times New Roman" w:cs="Times New Roman"/>
                <w:sz w:val="24"/>
                <w:szCs w:val="24"/>
                <w:highlight w:val="white"/>
              </w:rPr>
              <w:t>reprezintă o opțiune de politică socială, orientată spre consolidarea garanțiilor minime acordate salariaților.</w:t>
            </w:r>
          </w:p>
          <w:p w14:paraId="339641E9"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Proiectul a fost revizuit și completat cu norme suplimentare privind acordarea concediului de odihnă de cel puțin 24 zile lucrătoare </w:t>
            </w:r>
            <w:r>
              <w:rPr>
                <w:rFonts w:ascii="Times New Roman" w:eastAsia="Times New Roman" w:hAnsi="Times New Roman" w:cs="Times New Roman"/>
                <w:sz w:val="24"/>
                <w:szCs w:val="24"/>
              </w:rPr>
              <w:t>în condițiile unei săptămâni de muncă de 6 zile.</w:t>
            </w:r>
            <w:r>
              <w:rPr>
                <w:rFonts w:ascii="Times New Roman" w:eastAsia="Times New Roman" w:hAnsi="Times New Roman" w:cs="Times New Roman"/>
                <w:sz w:val="24"/>
                <w:szCs w:val="24"/>
                <w:highlight w:val="white"/>
              </w:rPr>
              <w:t xml:space="preserve"> </w:t>
            </w:r>
          </w:p>
        </w:tc>
      </w:tr>
      <w:tr w:rsidR="00315874" w14:paraId="0BE86F97" w14:textId="77777777">
        <w:trPr>
          <w:trHeight w:val="1185"/>
        </w:trPr>
        <w:tc>
          <w:tcPr>
            <w:tcW w:w="870" w:type="dxa"/>
            <w:vMerge/>
            <w:tcBorders>
              <w:top w:val="nil"/>
              <w:left w:val="single" w:sz="6" w:space="0" w:color="999999"/>
              <w:bottom w:val="single" w:sz="6" w:space="0" w:color="999999"/>
              <w:right w:val="single" w:sz="6" w:space="0" w:color="999999"/>
            </w:tcBorders>
            <w:tcMar>
              <w:top w:w="0" w:type="dxa"/>
              <w:left w:w="100" w:type="dxa"/>
              <w:bottom w:w="0" w:type="dxa"/>
              <w:right w:w="100" w:type="dxa"/>
            </w:tcMar>
          </w:tcPr>
          <w:p w14:paraId="7C62F370" w14:textId="77777777" w:rsidR="00315874" w:rsidRDefault="00315874">
            <w:pPr>
              <w:spacing w:line="240" w:lineRule="auto"/>
              <w:jc w:val="center"/>
              <w:rPr>
                <w:rFonts w:ascii="Times New Roman" w:eastAsia="Times New Roman" w:hAnsi="Times New Roman" w:cs="Times New Roman"/>
                <w:b/>
                <w:bCs/>
                <w:sz w:val="24"/>
                <w:szCs w:val="24"/>
                <w:highlight w:val="white"/>
              </w:rPr>
            </w:pPr>
          </w:p>
        </w:tc>
        <w:tc>
          <w:tcPr>
            <w:tcW w:w="2730" w:type="dxa"/>
            <w:vMerge/>
            <w:tcBorders>
              <w:top w:val="nil"/>
              <w:left w:val="nil"/>
              <w:bottom w:val="single" w:sz="6" w:space="0" w:color="999999"/>
              <w:right w:val="single" w:sz="6" w:space="0" w:color="999999"/>
            </w:tcBorders>
            <w:tcMar>
              <w:top w:w="0" w:type="dxa"/>
              <w:left w:w="100" w:type="dxa"/>
              <w:bottom w:w="0" w:type="dxa"/>
              <w:right w:w="100" w:type="dxa"/>
            </w:tcMar>
          </w:tcPr>
          <w:p w14:paraId="7B220193" w14:textId="77777777" w:rsidR="00315874" w:rsidRDefault="00315874">
            <w:pPr>
              <w:spacing w:line="240" w:lineRule="auto"/>
              <w:jc w:val="center"/>
              <w:rPr>
                <w:rFonts w:ascii="Times New Roman" w:eastAsia="Times New Roman" w:hAnsi="Times New Roman" w:cs="Times New Roman"/>
                <w:sz w:val="24"/>
                <w:szCs w:val="24"/>
                <w:highlight w:val="white"/>
              </w:rPr>
            </w:pPr>
          </w:p>
        </w:tc>
        <w:tc>
          <w:tcPr>
            <w:tcW w:w="5550" w:type="dxa"/>
            <w:tcBorders>
              <w:top w:val="nil"/>
              <w:left w:val="nil"/>
              <w:bottom w:val="single" w:sz="6" w:space="0" w:color="000000"/>
              <w:right w:val="single" w:sz="6" w:space="0" w:color="999999"/>
            </w:tcBorders>
            <w:tcMar>
              <w:top w:w="0" w:type="dxa"/>
              <w:left w:w="100" w:type="dxa"/>
              <w:bottom w:w="0" w:type="dxa"/>
              <w:right w:w="100" w:type="dxa"/>
            </w:tcMar>
          </w:tcPr>
          <w:p w14:paraId="62A36833" w14:textId="77777777" w:rsidR="00315874" w:rsidRDefault="00000000">
            <w:pPr>
              <w:spacing w:line="240" w:lineRule="auto"/>
              <w:jc w:val="both"/>
              <w:rPr>
                <w:rFonts w:ascii="Times New Roman" w:eastAsia="Times New Roman" w:hAnsi="Times New Roman" w:cs="Times New Roman"/>
                <w:b/>
                <w:bCs/>
                <w:i/>
                <w:iCs/>
                <w:sz w:val="24"/>
                <w:szCs w:val="24"/>
                <w:highlight w:val="white"/>
              </w:rPr>
            </w:pPr>
            <w:r>
              <w:rPr>
                <w:rFonts w:ascii="Times New Roman" w:eastAsia="Times New Roman" w:hAnsi="Times New Roman" w:cs="Times New Roman"/>
                <w:b/>
                <w:bCs/>
                <w:i/>
                <w:iCs/>
                <w:sz w:val="24"/>
                <w:szCs w:val="24"/>
                <w:highlight w:val="white"/>
              </w:rPr>
              <w:t>B. Articolul 115– divizarea concediului</w:t>
            </w:r>
          </w:p>
          <w:p w14:paraId="31E159D9" w14:textId="77777777" w:rsidR="00315874" w:rsidRDefault="00000000">
            <w:pPr>
              <w:spacing w:line="240" w:lineRule="auto"/>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sz w:val="24"/>
                <w:szCs w:val="24"/>
                <w:highlight w:val="white"/>
              </w:rPr>
              <w:t xml:space="preserve">Propunem următoarea redacție a art. 115 alin. (5): „Concediul de odihnă anual poate fi acordat integral sau, în baza unei cereri scrise a salariatului, poate fi divizat în părți, una dintre care va avea o durată de cel puțin două săptămâni lucrătoare de concediu neîntrerupt, </w:t>
            </w:r>
            <w:r>
              <w:rPr>
                <w:rFonts w:ascii="Times New Roman" w:eastAsia="Times New Roman" w:hAnsi="Times New Roman" w:cs="Times New Roman"/>
                <w:b/>
                <w:bCs/>
                <w:sz w:val="24"/>
                <w:szCs w:val="24"/>
                <w:highlight w:val="white"/>
              </w:rPr>
              <w:t>cu excepția cazului în care salariatul și angajatorul convin altfel”.</w:t>
            </w:r>
          </w:p>
          <w:p w14:paraId="2D40B432" w14:textId="77777777" w:rsidR="00315874" w:rsidRDefault="00000000">
            <w:pPr>
              <w:spacing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Soluția păstrează ca regulă perioada neîntreruptă de două săptămâni, dar permite flexibilitatea convenită atunci când continuitatea activității și opțiunea salariatului o justifică, fără reducerea duratei totale a concediului, fapt care corespunde art. 8 alin. (2) din Convenția OIM nr. 132.</w:t>
            </w:r>
          </w:p>
          <w:p w14:paraId="264DBE41" w14:textId="77777777" w:rsidR="00315874" w:rsidRDefault="00315874">
            <w:pPr>
              <w:spacing w:line="240" w:lineRule="auto"/>
              <w:jc w:val="both"/>
              <w:rPr>
                <w:rFonts w:ascii="Times New Roman" w:eastAsia="Times New Roman" w:hAnsi="Times New Roman" w:cs="Times New Roman"/>
                <w:b/>
                <w:bCs/>
                <w:i/>
                <w:iCs/>
                <w:sz w:val="24"/>
                <w:szCs w:val="24"/>
                <w:highlight w:val="white"/>
              </w:rPr>
            </w:pPr>
          </w:p>
        </w:tc>
        <w:tc>
          <w:tcPr>
            <w:tcW w:w="5880" w:type="dxa"/>
            <w:tcBorders>
              <w:top w:val="nil"/>
              <w:left w:val="nil"/>
              <w:bottom w:val="single" w:sz="6" w:space="0" w:color="000000"/>
              <w:right w:val="single" w:sz="6" w:space="0" w:color="999999"/>
            </w:tcBorders>
            <w:tcMar>
              <w:top w:w="0" w:type="dxa"/>
              <w:left w:w="100" w:type="dxa"/>
              <w:bottom w:w="0" w:type="dxa"/>
              <w:right w:w="100" w:type="dxa"/>
            </w:tcMar>
          </w:tcPr>
          <w:p w14:paraId="0F888029"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 xml:space="preserve">Proiectul a fost modificat </w:t>
            </w:r>
          </w:p>
          <w:p w14:paraId="02A94F62"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Articolul 115: la alineatul (5) cuvintele „14 zile calendaristice” se substituie cu cuvintele „10 zile lucrătoare”</w:t>
            </w:r>
          </w:p>
          <w:p w14:paraId="345715B4" w14:textId="77777777" w:rsidR="00315874" w:rsidRDefault="00315874">
            <w:pPr>
              <w:shd w:val="clear" w:color="auto" w:fill="FFFFFF"/>
              <w:jc w:val="both"/>
              <w:rPr>
                <w:rFonts w:ascii="Times New Roman" w:eastAsia="Times New Roman" w:hAnsi="Times New Roman" w:cs="Times New Roman"/>
                <w:b/>
                <w:bCs/>
                <w:sz w:val="24"/>
                <w:szCs w:val="24"/>
                <w:highlight w:val="white"/>
              </w:rPr>
            </w:pPr>
          </w:p>
        </w:tc>
      </w:tr>
      <w:tr w:rsidR="00315874" w14:paraId="13180F02" w14:textId="77777777">
        <w:trPr>
          <w:trHeight w:val="1185"/>
        </w:trPr>
        <w:tc>
          <w:tcPr>
            <w:tcW w:w="870" w:type="dxa"/>
            <w:vMerge/>
            <w:tcBorders>
              <w:top w:val="nil"/>
              <w:left w:val="single" w:sz="6" w:space="0" w:color="999999"/>
              <w:bottom w:val="single" w:sz="6" w:space="0" w:color="999999"/>
              <w:right w:val="single" w:sz="6" w:space="0" w:color="999999"/>
            </w:tcBorders>
            <w:tcMar>
              <w:top w:w="0" w:type="dxa"/>
              <w:left w:w="100" w:type="dxa"/>
              <w:bottom w:w="0" w:type="dxa"/>
              <w:right w:w="100" w:type="dxa"/>
            </w:tcMar>
          </w:tcPr>
          <w:p w14:paraId="6F0DAC20" w14:textId="77777777" w:rsidR="00315874" w:rsidRDefault="00315874">
            <w:pPr>
              <w:spacing w:line="240" w:lineRule="auto"/>
              <w:jc w:val="center"/>
              <w:rPr>
                <w:rFonts w:ascii="Times New Roman" w:eastAsia="Times New Roman" w:hAnsi="Times New Roman" w:cs="Times New Roman"/>
                <w:b/>
                <w:bCs/>
                <w:sz w:val="24"/>
                <w:szCs w:val="24"/>
                <w:highlight w:val="white"/>
              </w:rPr>
            </w:pPr>
          </w:p>
        </w:tc>
        <w:tc>
          <w:tcPr>
            <w:tcW w:w="2730" w:type="dxa"/>
            <w:vMerge/>
            <w:tcBorders>
              <w:top w:val="nil"/>
              <w:left w:val="nil"/>
              <w:bottom w:val="single" w:sz="6" w:space="0" w:color="999999"/>
              <w:right w:val="single" w:sz="6" w:space="0" w:color="999999"/>
            </w:tcBorders>
            <w:tcMar>
              <w:top w:w="0" w:type="dxa"/>
              <w:left w:w="100" w:type="dxa"/>
              <w:bottom w:w="0" w:type="dxa"/>
              <w:right w:w="100" w:type="dxa"/>
            </w:tcMar>
          </w:tcPr>
          <w:p w14:paraId="7A913145" w14:textId="77777777" w:rsidR="00315874" w:rsidRDefault="00315874">
            <w:pPr>
              <w:spacing w:line="240" w:lineRule="auto"/>
              <w:jc w:val="center"/>
              <w:rPr>
                <w:rFonts w:ascii="Times New Roman" w:eastAsia="Times New Roman" w:hAnsi="Times New Roman" w:cs="Times New Roman"/>
                <w:sz w:val="24"/>
                <w:szCs w:val="24"/>
                <w:highlight w:val="white"/>
              </w:rPr>
            </w:pPr>
          </w:p>
        </w:tc>
        <w:tc>
          <w:tcPr>
            <w:tcW w:w="5550" w:type="dxa"/>
            <w:tcBorders>
              <w:top w:val="nil"/>
              <w:left w:val="nil"/>
              <w:bottom w:val="single" w:sz="6" w:space="0" w:color="000000"/>
              <w:right w:val="single" w:sz="6" w:space="0" w:color="999999"/>
            </w:tcBorders>
            <w:tcMar>
              <w:top w:w="0" w:type="dxa"/>
              <w:left w:w="100" w:type="dxa"/>
              <w:bottom w:w="0" w:type="dxa"/>
              <w:right w:w="100" w:type="dxa"/>
            </w:tcMar>
          </w:tcPr>
          <w:p w14:paraId="2F1C28C4" w14:textId="77777777" w:rsidR="00315874" w:rsidRDefault="00000000">
            <w:pPr>
              <w:spacing w:line="240" w:lineRule="auto"/>
              <w:jc w:val="both"/>
              <w:rPr>
                <w:rFonts w:ascii="Times New Roman" w:eastAsia="Times New Roman" w:hAnsi="Times New Roman" w:cs="Times New Roman"/>
                <w:b/>
                <w:bCs/>
                <w:i/>
                <w:iCs/>
                <w:sz w:val="24"/>
                <w:szCs w:val="24"/>
                <w:highlight w:val="white"/>
              </w:rPr>
            </w:pPr>
            <w:r>
              <w:rPr>
                <w:rFonts w:ascii="Times New Roman" w:eastAsia="Times New Roman" w:hAnsi="Times New Roman" w:cs="Times New Roman"/>
                <w:b/>
                <w:bCs/>
                <w:i/>
                <w:iCs/>
                <w:sz w:val="24"/>
                <w:szCs w:val="24"/>
                <w:highlight w:val="white"/>
              </w:rPr>
              <w:t>C. Articolul 124¹ – concediul paternal</w:t>
            </w:r>
          </w:p>
          <w:p w14:paraId="6654B50D" w14:textId="77777777" w:rsidR="00315874" w:rsidRDefault="00000000">
            <w:pPr>
              <w:spacing w:line="240" w:lineRule="auto"/>
              <w:jc w:val="both"/>
              <w:rPr>
                <w:rFonts w:ascii="Times New Roman" w:eastAsia="Times New Roman" w:hAnsi="Times New Roman" w:cs="Times New Roman"/>
                <w:b/>
                <w:bCs/>
                <w:i/>
                <w:iCs/>
                <w:sz w:val="24"/>
                <w:szCs w:val="24"/>
                <w:highlight w:val="white"/>
              </w:rPr>
            </w:pPr>
            <w:r>
              <w:rPr>
                <w:rFonts w:ascii="Times New Roman" w:eastAsia="Times New Roman" w:hAnsi="Times New Roman" w:cs="Times New Roman"/>
                <w:sz w:val="24"/>
                <w:szCs w:val="24"/>
                <w:highlight w:val="white"/>
              </w:rPr>
              <w:t>Conversia celor 15 zile calendaristice în 15 zile lucrătoare ar extinde material concediul paternal la aproximativ trei săptămâni. Recomandăm păstrarea unității actuale dacă autorul nu urmărește și nu fundamentează separat această majorare.</w:t>
            </w:r>
          </w:p>
        </w:tc>
        <w:tc>
          <w:tcPr>
            <w:tcW w:w="5880" w:type="dxa"/>
            <w:tcBorders>
              <w:top w:val="nil"/>
              <w:left w:val="nil"/>
              <w:bottom w:val="single" w:sz="6" w:space="0" w:color="000000"/>
              <w:right w:val="single" w:sz="6" w:space="0" w:color="999999"/>
            </w:tcBorders>
            <w:tcMar>
              <w:top w:w="0" w:type="dxa"/>
              <w:left w:w="100" w:type="dxa"/>
              <w:bottom w:w="0" w:type="dxa"/>
              <w:right w:w="100" w:type="dxa"/>
            </w:tcMar>
          </w:tcPr>
          <w:p w14:paraId="5AB2A95C"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Nu se acceptă. </w:t>
            </w:r>
            <w:r>
              <w:rPr>
                <w:rFonts w:ascii="Times New Roman" w:eastAsia="Times New Roman" w:hAnsi="Times New Roman" w:cs="Times New Roman"/>
                <w:sz w:val="24"/>
                <w:szCs w:val="24"/>
                <w:highlight w:val="white"/>
              </w:rPr>
              <w:t>În prezent CM acordă posibilitatea utilizarii acestui concediu în fracțiuni.  Prin urmare în practică acest concediu poate fi luat în zile lucrătoare.</w:t>
            </w:r>
          </w:p>
        </w:tc>
      </w:tr>
      <w:tr w:rsidR="00315874" w14:paraId="162B91DF" w14:textId="77777777">
        <w:trPr>
          <w:trHeight w:val="1185"/>
        </w:trPr>
        <w:tc>
          <w:tcPr>
            <w:tcW w:w="870" w:type="dxa"/>
            <w:vMerge/>
            <w:tcBorders>
              <w:top w:val="nil"/>
              <w:left w:val="single" w:sz="6" w:space="0" w:color="999999"/>
              <w:bottom w:val="single" w:sz="6" w:space="0" w:color="999999"/>
              <w:right w:val="single" w:sz="6" w:space="0" w:color="000000"/>
            </w:tcBorders>
            <w:tcMar>
              <w:top w:w="0" w:type="dxa"/>
              <w:left w:w="100" w:type="dxa"/>
              <w:bottom w:w="0" w:type="dxa"/>
              <w:right w:w="100" w:type="dxa"/>
            </w:tcMar>
          </w:tcPr>
          <w:p w14:paraId="1D047860" w14:textId="77777777" w:rsidR="00315874" w:rsidRDefault="00315874">
            <w:pPr>
              <w:spacing w:line="240" w:lineRule="auto"/>
              <w:jc w:val="center"/>
              <w:rPr>
                <w:rFonts w:ascii="Times New Roman" w:eastAsia="Times New Roman" w:hAnsi="Times New Roman" w:cs="Times New Roman"/>
                <w:b/>
                <w:bCs/>
                <w:sz w:val="24"/>
                <w:szCs w:val="24"/>
                <w:highlight w:val="white"/>
              </w:rPr>
            </w:pPr>
          </w:p>
        </w:tc>
        <w:tc>
          <w:tcPr>
            <w:tcW w:w="2730" w:type="dxa"/>
            <w:vMerge/>
            <w:tcBorders>
              <w:top w:val="nil"/>
              <w:left w:val="single" w:sz="6" w:space="0" w:color="000000"/>
              <w:bottom w:val="single" w:sz="6" w:space="0" w:color="999999"/>
              <w:right w:val="single" w:sz="6" w:space="0" w:color="000000"/>
            </w:tcBorders>
            <w:tcMar>
              <w:top w:w="0" w:type="dxa"/>
              <w:left w:w="100" w:type="dxa"/>
              <w:bottom w:w="0" w:type="dxa"/>
              <w:right w:w="100" w:type="dxa"/>
            </w:tcMar>
          </w:tcPr>
          <w:p w14:paraId="4F8ABAA3" w14:textId="77777777" w:rsidR="00315874" w:rsidRDefault="00315874">
            <w:pPr>
              <w:spacing w:line="240" w:lineRule="auto"/>
              <w:jc w:val="center"/>
              <w:rPr>
                <w:rFonts w:ascii="Times New Roman" w:eastAsia="Times New Roman" w:hAnsi="Times New Roman" w:cs="Times New Roman"/>
                <w:sz w:val="24"/>
                <w:szCs w:val="24"/>
                <w:highlight w:val="white"/>
              </w:rPr>
            </w:pPr>
          </w:p>
        </w:tc>
        <w:tc>
          <w:tcPr>
            <w:tcW w:w="5550" w:type="dxa"/>
            <w:tcBorders>
              <w:top w:val="nil"/>
              <w:left w:val="single" w:sz="6" w:space="0" w:color="000000"/>
              <w:bottom w:val="single" w:sz="6" w:space="0" w:color="000000"/>
              <w:right w:val="single" w:sz="6" w:space="0" w:color="999999"/>
            </w:tcBorders>
            <w:tcMar>
              <w:top w:w="0" w:type="dxa"/>
              <w:left w:w="100" w:type="dxa"/>
              <w:bottom w:w="0" w:type="dxa"/>
              <w:right w:w="100" w:type="dxa"/>
            </w:tcMar>
          </w:tcPr>
          <w:p w14:paraId="1826EF29" w14:textId="77777777" w:rsidR="00315874" w:rsidRDefault="00000000">
            <w:pPr>
              <w:spacing w:line="240" w:lineRule="auto"/>
              <w:jc w:val="both"/>
              <w:rPr>
                <w:rFonts w:ascii="Times New Roman" w:eastAsia="Times New Roman" w:hAnsi="Times New Roman" w:cs="Times New Roman"/>
                <w:b/>
                <w:bCs/>
                <w:i/>
                <w:iCs/>
                <w:sz w:val="24"/>
                <w:szCs w:val="24"/>
                <w:highlight w:val="white"/>
              </w:rPr>
            </w:pPr>
            <w:r>
              <w:rPr>
                <w:rFonts w:ascii="Times New Roman" w:eastAsia="Times New Roman" w:hAnsi="Times New Roman" w:cs="Times New Roman"/>
                <w:b/>
                <w:bCs/>
                <w:i/>
                <w:iCs/>
                <w:sz w:val="24"/>
                <w:szCs w:val="24"/>
                <w:highlight w:val="white"/>
              </w:rPr>
              <w:t>D. Calculul indemnizației și actele subordonate</w:t>
            </w:r>
          </w:p>
          <w:p w14:paraId="28B1B99C" w14:textId="77777777" w:rsidR="00315874" w:rsidRDefault="00000000">
            <w:pPr>
              <w:spacing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Considerăm necesar discutarea, concomitent cu promovarea proiectului de lege, a modificărilor la hotărârea Guvernului nr. 1223/2004 privind aprobarea Nomenclatorului profesiilor și funcțiilor cu condiții de muncă vătămătoare, activitatea cărora acordă dreptul la concediu de odihnă anual suplimentar plătit și durata zilei de muncă redusă a personalului medico-sanitar. În lipsa ajustării acestei hotărâri, pentru personalul medical se va crea o neconcordanță normativă și practică, în care concediul anual de bază va fi calculat în zile lucrătoare, iar concediul suplimentar pentru condiții vătămătoare va continua să fie exprimat în zile calendaristice, ceea ce va genera dificultăți de aplicare, evidență, planificare și salarizare, în special pentru personalul care activează în ture. Prin urmare, solicităm modificarea corespunzătoare a HG nr. 1223/2004, astfel încât durata concediului suplimentar plătit acordat personalului medico-sanitar să fie exprimată și aplicată în aceeași </w:t>
            </w:r>
            <w:r>
              <w:rPr>
                <w:rFonts w:ascii="Times New Roman" w:eastAsia="Times New Roman" w:hAnsi="Times New Roman" w:cs="Times New Roman"/>
                <w:sz w:val="24"/>
                <w:szCs w:val="24"/>
                <w:highlight w:val="white"/>
              </w:rPr>
              <w:lastRenderedPageBreak/>
              <w:t>unitate de calcul ca și concediul anual de bază, respectiv în zile lucrătoare, cu precizarea metodologiei de evidență pentru salariații care lucrează în ture.</w:t>
            </w:r>
          </w:p>
          <w:p w14:paraId="452A549D" w14:textId="77777777" w:rsidR="00315874" w:rsidRDefault="00315874">
            <w:pPr>
              <w:spacing w:line="240" w:lineRule="auto"/>
              <w:jc w:val="both"/>
              <w:rPr>
                <w:rFonts w:ascii="Times New Roman" w:eastAsia="Times New Roman" w:hAnsi="Times New Roman" w:cs="Times New Roman"/>
                <w:sz w:val="24"/>
                <w:szCs w:val="24"/>
                <w:highlight w:val="white"/>
              </w:rPr>
            </w:pPr>
          </w:p>
          <w:p w14:paraId="03FCD4B2" w14:textId="77777777" w:rsidR="00315874" w:rsidRDefault="00000000">
            <w:pPr>
              <w:spacing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Solicităm și revizuirea HG nr. 426/2004 prin introducerea unei metodologii clare de calcul al salariului mediu și al indemnizației de concediu în condițiile exprimării concediului în zile lucrătoare, inclusiv pentru salariații care activează în ture, astfel încât modificarea unității de calcul să nu conducă la diminuarea drepturilor salariale ale angajaților.</w:t>
            </w:r>
          </w:p>
          <w:p w14:paraId="157852FC" w14:textId="77777777" w:rsidR="00315874" w:rsidRDefault="00315874">
            <w:pPr>
              <w:spacing w:line="240" w:lineRule="auto"/>
              <w:jc w:val="both"/>
              <w:rPr>
                <w:rFonts w:ascii="Times New Roman" w:eastAsia="Times New Roman" w:hAnsi="Times New Roman" w:cs="Times New Roman"/>
                <w:b/>
                <w:bCs/>
                <w:i/>
                <w:iCs/>
                <w:sz w:val="24"/>
                <w:szCs w:val="24"/>
                <w:highlight w:val="white"/>
              </w:rPr>
            </w:pPr>
          </w:p>
        </w:tc>
        <w:tc>
          <w:tcPr>
            <w:tcW w:w="5880" w:type="dxa"/>
            <w:tcBorders>
              <w:top w:val="nil"/>
              <w:left w:val="nil"/>
              <w:bottom w:val="single" w:sz="6" w:space="0" w:color="000000"/>
              <w:right w:val="single" w:sz="6" w:space="0" w:color="999999"/>
            </w:tcBorders>
            <w:tcMar>
              <w:top w:w="0" w:type="dxa"/>
              <w:left w:w="100" w:type="dxa"/>
              <w:bottom w:w="0" w:type="dxa"/>
              <w:right w:w="100" w:type="dxa"/>
            </w:tcMar>
          </w:tcPr>
          <w:p w14:paraId="4414485E"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Cadrul normativ secundar va fi revizuit după adoptarea proiectului de lege.</w:t>
            </w:r>
          </w:p>
          <w:p w14:paraId="5929082D" w14:textId="6712288C" w:rsidR="0021239A" w:rsidRDefault="0021239A">
            <w:pPr>
              <w:shd w:val="clear" w:color="auto" w:fill="FFFFFF"/>
              <w:jc w:val="both"/>
              <w:rPr>
                <w:rFonts w:ascii="Times New Roman" w:eastAsia="Times New Roman" w:hAnsi="Times New Roman" w:cs="Times New Roman"/>
                <w:b/>
                <w:bCs/>
                <w:sz w:val="24"/>
                <w:szCs w:val="24"/>
                <w:highlight w:val="white"/>
              </w:rPr>
            </w:pPr>
          </w:p>
        </w:tc>
      </w:tr>
      <w:tr w:rsidR="00315874" w14:paraId="38CCFE7E" w14:textId="77777777">
        <w:trPr>
          <w:trHeight w:val="1185"/>
        </w:trPr>
        <w:tc>
          <w:tcPr>
            <w:tcW w:w="870" w:type="dxa"/>
            <w:vMerge/>
            <w:tcBorders>
              <w:top w:val="nil"/>
              <w:left w:val="single" w:sz="6" w:space="0" w:color="999999"/>
              <w:bottom w:val="single" w:sz="6" w:space="0" w:color="999999"/>
              <w:right w:val="single" w:sz="6" w:space="0" w:color="999999"/>
            </w:tcBorders>
            <w:tcMar>
              <w:top w:w="0" w:type="dxa"/>
              <w:left w:w="100" w:type="dxa"/>
              <w:bottom w:w="0" w:type="dxa"/>
              <w:right w:w="100" w:type="dxa"/>
            </w:tcMar>
          </w:tcPr>
          <w:p w14:paraId="2087E497" w14:textId="77777777" w:rsidR="00315874" w:rsidRDefault="00315874">
            <w:pPr>
              <w:spacing w:line="240" w:lineRule="auto"/>
              <w:jc w:val="center"/>
              <w:rPr>
                <w:rFonts w:ascii="Times New Roman" w:eastAsia="Times New Roman" w:hAnsi="Times New Roman" w:cs="Times New Roman"/>
                <w:b/>
                <w:bCs/>
                <w:sz w:val="24"/>
                <w:szCs w:val="24"/>
                <w:highlight w:val="white"/>
              </w:rPr>
            </w:pPr>
          </w:p>
        </w:tc>
        <w:tc>
          <w:tcPr>
            <w:tcW w:w="2730" w:type="dxa"/>
            <w:vMerge/>
            <w:tcBorders>
              <w:top w:val="nil"/>
              <w:left w:val="nil"/>
              <w:bottom w:val="single" w:sz="6" w:space="0" w:color="999999"/>
              <w:right w:val="single" w:sz="6" w:space="0" w:color="999999"/>
            </w:tcBorders>
            <w:tcMar>
              <w:top w:w="0" w:type="dxa"/>
              <w:left w:w="100" w:type="dxa"/>
              <w:bottom w:w="0" w:type="dxa"/>
              <w:right w:w="100" w:type="dxa"/>
            </w:tcMar>
          </w:tcPr>
          <w:p w14:paraId="185940C3" w14:textId="77777777" w:rsidR="00315874" w:rsidRDefault="00315874">
            <w:pPr>
              <w:spacing w:line="240" w:lineRule="auto"/>
              <w:jc w:val="center"/>
              <w:rPr>
                <w:rFonts w:ascii="Times New Roman" w:eastAsia="Times New Roman" w:hAnsi="Times New Roman" w:cs="Times New Roman"/>
                <w:sz w:val="24"/>
                <w:szCs w:val="24"/>
                <w:highlight w:val="white"/>
              </w:rPr>
            </w:pPr>
          </w:p>
        </w:tc>
        <w:tc>
          <w:tcPr>
            <w:tcW w:w="5550" w:type="dxa"/>
            <w:tcBorders>
              <w:top w:val="nil"/>
              <w:left w:val="nil"/>
              <w:bottom w:val="single" w:sz="6" w:space="0" w:color="000000"/>
              <w:right w:val="single" w:sz="6" w:space="0" w:color="999999"/>
            </w:tcBorders>
            <w:tcMar>
              <w:top w:w="0" w:type="dxa"/>
              <w:left w:w="100" w:type="dxa"/>
              <w:bottom w:w="0" w:type="dxa"/>
              <w:right w:w="100" w:type="dxa"/>
            </w:tcMar>
          </w:tcPr>
          <w:p w14:paraId="33162C64" w14:textId="77777777" w:rsidR="00315874" w:rsidRDefault="00000000">
            <w:pPr>
              <w:spacing w:line="240" w:lineRule="auto"/>
              <w:jc w:val="both"/>
              <w:rPr>
                <w:rFonts w:ascii="Times New Roman" w:eastAsia="Times New Roman" w:hAnsi="Times New Roman" w:cs="Times New Roman"/>
                <w:b/>
                <w:bCs/>
                <w:i/>
                <w:iCs/>
                <w:sz w:val="24"/>
                <w:szCs w:val="24"/>
                <w:highlight w:val="white"/>
              </w:rPr>
            </w:pPr>
            <w:r>
              <w:rPr>
                <w:rFonts w:ascii="Times New Roman" w:eastAsia="Times New Roman" w:hAnsi="Times New Roman" w:cs="Times New Roman"/>
                <w:b/>
                <w:bCs/>
                <w:i/>
                <w:iCs/>
                <w:sz w:val="24"/>
                <w:szCs w:val="24"/>
                <w:highlight w:val="white"/>
              </w:rPr>
              <w:t>E. Dispozițiile tranzitorii</w:t>
            </w:r>
          </w:p>
          <w:p w14:paraId="74B1D0F7" w14:textId="77777777" w:rsidR="00315874" w:rsidRDefault="00000000">
            <w:pPr>
              <w:spacing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Potrivit art. XX alin. (2), zilele de concediu acumulate și neutilizate până la intrarea în vigoare a legii urmează să fie acordate și calculate în zile calendaristice până la epuizarea soldului existent.</w:t>
            </w:r>
          </w:p>
          <w:p w14:paraId="64AA8F5C" w14:textId="77777777" w:rsidR="00315874" w:rsidRDefault="00315874">
            <w:pPr>
              <w:spacing w:line="240" w:lineRule="auto"/>
              <w:jc w:val="both"/>
              <w:rPr>
                <w:rFonts w:ascii="Times New Roman" w:eastAsia="Times New Roman" w:hAnsi="Times New Roman" w:cs="Times New Roman"/>
                <w:sz w:val="24"/>
                <w:szCs w:val="24"/>
                <w:highlight w:val="white"/>
              </w:rPr>
            </w:pPr>
          </w:p>
          <w:p w14:paraId="7E4AB188" w14:textId="77777777" w:rsidR="00315874" w:rsidRDefault="00000000">
            <w:pPr>
              <w:spacing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Considerăm necesară explicarea mecanismul practic de evidență și administrare simultană a două categorii de solduri de concediu (exprimate în zile calendaristice și, respectiv, în zile lucrătoare).</w:t>
            </w:r>
          </w:p>
          <w:p w14:paraId="1289AAF1" w14:textId="77777777" w:rsidR="00315874" w:rsidRDefault="00315874">
            <w:pPr>
              <w:spacing w:line="240" w:lineRule="auto"/>
              <w:jc w:val="both"/>
              <w:rPr>
                <w:rFonts w:ascii="Times New Roman" w:eastAsia="Times New Roman" w:hAnsi="Times New Roman" w:cs="Times New Roman"/>
                <w:sz w:val="24"/>
                <w:szCs w:val="24"/>
                <w:highlight w:val="white"/>
              </w:rPr>
            </w:pPr>
          </w:p>
          <w:p w14:paraId="466F8ED5" w14:textId="77777777" w:rsidR="00315874" w:rsidRDefault="00000000">
            <w:pPr>
              <w:spacing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De asemenea, este oportună clarificarea situației în care după intrarea în vigoare a legii salariatul va deține concomitent solduri de concediu calculate în regimuri diferite și care din acestea vor fi prioritare.</w:t>
            </w:r>
          </w:p>
        </w:tc>
        <w:tc>
          <w:tcPr>
            <w:tcW w:w="5880" w:type="dxa"/>
            <w:tcBorders>
              <w:top w:val="nil"/>
              <w:left w:val="nil"/>
              <w:bottom w:val="single" w:sz="6" w:space="0" w:color="000000"/>
              <w:right w:val="single" w:sz="6" w:space="0" w:color="999999"/>
            </w:tcBorders>
            <w:tcMar>
              <w:top w:w="0" w:type="dxa"/>
              <w:left w:w="100" w:type="dxa"/>
              <w:bottom w:w="0" w:type="dxa"/>
              <w:right w:w="100" w:type="dxa"/>
            </w:tcMar>
          </w:tcPr>
          <w:p w14:paraId="40C74C75"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Se acceptă. </w:t>
            </w:r>
            <w:r>
              <w:rPr>
                <w:rFonts w:ascii="Times New Roman" w:eastAsia="Times New Roman" w:hAnsi="Times New Roman" w:cs="Times New Roman"/>
                <w:sz w:val="24"/>
                <w:szCs w:val="24"/>
                <w:highlight w:val="white"/>
              </w:rPr>
              <w:t>Dispozițiile tranzitorii au fost modificate, a se vedea proiectul ajustat</w:t>
            </w:r>
          </w:p>
        </w:tc>
      </w:tr>
      <w:tr w:rsidR="00315874" w14:paraId="31BF79A2" w14:textId="77777777">
        <w:trPr>
          <w:trHeight w:val="1185"/>
        </w:trPr>
        <w:tc>
          <w:tcPr>
            <w:tcW w:w="870" w:type="dxa"/>
            <w:vMerge/>
            <w:tcBorders>
              <w:top w:val="nil"/>
              <w:left w:val="single" w:sz="6" w:space="0" w:color="999999"/>
              <w:bottom w:val="single" w:sz="6" w:space="0" w:color="999999"/>
              <w:right w:val="single" w:sz="6" w:space="0" w:color="999999"/>
            </w:tcBorders>
            <w:tcMar>
              <w:top w:w="0" w:type="dxa"/>
              <w:left w:w="100" w:type="dxa"/>
              <w:bottom w:w="0" w:type="dxa"/>
              <w:right w:w="100" w:type="dxa"/>
            </w:tcMar>
          </w:tcPr>
          <w:p w14:paraId="2B4C0762" w14:textId="77777777" w:rsidR="00315874" w:rsidRDefault="00315874">
            <w:pPr>
              <w:spacing w:line="240" w:lineRule="auto"/>
              <w:jc w:val="center"/>
              <w:rPr>
                <w:rFonts w:ascii="Times New Roman" w:eastAsia="Times New Roman" w:hAnsi="Times New Roman" w:cs="Times New Roman"/>
                <w:b/>
                <w:bCs/>
                <w:sz w:val="24"/>
                <w:szCs w:val="24"/>
                <w:highlight w:val="white"/>
              </w:rPr>
            </w:pPr>
          </w:p>
        </w:tc>
        <w:tc>
          <w:tcPr>
            <w:tcW w:w="2730" w:type="dxa"/>
            <w:vMerge/>
            <w:tcBorders>
              <w:top w:val="nil"/>
              <w:left w:val="nil"/>
              <w:bottom w:val="single" w:sz="6" w:space="0" w:color="999999"/>
              <w:right w:val="single" w:sz="6" w:space="0" w:color="999999"/>
            </w:tcBorders>
            <w:tcMar>
              <w:top w:w="0" w:type="dxa"/>
              <w:left w:w="100" w:type="dxa"/>
              <w:bottom w:w="0" w:type="dxa"/>
              <w:right w:w="100" w:type="dxa"/>
            </w:tcMar>
          </w:tcPr>
          <w:p w14:paraId="1EC40BC0" w14:textId="77777777" w:rsidR="00315874" w:rsidRDefault="00315874">
            <w:pPr>
              <w:spacing w:line="240" w:lineRule="auto"/>
              <w:jc w:val="center"/>
              <w:rPr>
                <w:rFonts w:ascii="Times New Roman" w:eastAsia="Times New Roman" w:hAnsi="Times New Roman" w:cs="Times New Roman"/>
                <w:sz w:val="24"/>
                <w:szCs w:val="24"/>
                <w:highlight w:val="white"/>
              </w:rPr>
            </w:pPr>
          </w:p>
        </w:tc>
        <w:tc>
          <w:tcPr>
            <w:tcW w:w="5550" w:type="dxa"/>
            <w:tcBorders>
              <w:top w:val="nil"/>
              <w:left w:val="nil"/>
              <w:bottom w:val="single" w:sz="6" w:space="0" w:color="000000"/>
              <w:right w:val="single" w:sz="6" w:space="0" w:color="999999"/>
            </w:tcBorders>
            <w:tcMar>
              <w:top w:w="0" w:type="dxa"/>
              <w:left w:w="100" w:type="dxa"/>
              <w:bottom w:w="0" w:type="dxa"/>
              <w:right w:w="100" w:type="dxa"/>
            </w:tcMar>
          </w:tcPr>
          <w:p w14:paraId="620393B9" w14:textId="77777777" w:rsidR="00315874" w:rsidRDefault="00000000">
            <w:pPr>
              <w:spacing w:line="240" w:lineRule="auto"/>
              <w:jc w:val="both"/>
              <w:rPr>
                <w:rFonts w:ascii="Times New Roman" w:eastAsia="Times New Roman" w:hAnsi="Times New Roman" w:cs="Times New Roman"/>
                <w:b/>
                <w:bCs/>
                <w:i/>
                <w:iCs/>
                <w:sz w:val="24"/>
                <w:szCs w:val="24"/>
                <w:highlight w:val="white"/>
              </w:rPr>
            </w:pPr>
            <w:r>
              <w:rPr>
                <w:rFonts w:ascii="Times New Roman" w:eastAsia="Times New Roman" w:hAnsi="Times New Roman" w:cs="Times New Roman"/>
                <w:b/>
                <w:bCs/>
                <w:i/>
                <w:iCs/>
                <w:sz w:val="24"/>
                <w:szCs w:val="24"/>
                <w:highlight w:val="white"/>
              </w:rPr>
              <w:t>V. Deficiențele analizei de impact din nota de fundamentare a Proiectului</w:t>
            </w:r>
          </w:p>
          <w:p w14:paraId="3E470B48" w14:textId="77777777" w:rsidR="00315874" w:rsidRDefault="00000000">
            <w:pPr>
              <w:spacing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Întrucât modificarea modalității de calcul și acordare a concediului afectează în mod direct activitatea angajatorilor, fapt care impune elaborarea Analizei </w:t>
            </w:r>
            <w:r>
              <w:rPr>
                <w:rFonts w:ascii="Times New Roman" w:eastAsia="Times New Roman" w:hAnsi="Times New Roman" w:cs="Times New Roman"/>
                <w:sz w:val="24"/>
                <w:szCs w:val="24"/>
                <w:highlight w:val="white"/>
              </w:rPr>
              <w:lastRenderedPageBreak/>
              <w:t>Impactului de Reglementare, ultima se apreciază ca fiind incompletă, din următoarele motive:</w:t>
            </w:r>
          </w:p>
          <w:p w14:paraId="46889249" w14:textId="77777777" w:rsidR="00315874" w:rsidRDefault="00000000">
            <w:pPr>
              <w:spacing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1.</w:t>
            </w:r>
            <w:r>
              <w:rPr>
                <w:rFonts w:ascii="Times New Roman" w:eastAsia="Times New Roman" w:hAnsi="Times New Roman" w:cs="Times New Roman"/>
                <w:sz w:val="24"/>
                <w:szCs w:val="24"/>
                <w:highlight w:val="white"/>
              </w:rPr>
              <w:t xml:space="preserve"> Nu conține o evaluare suficientă a costurilor și beneficiilor, în sensul art. 13 alin. (1) din Legea nr. 235/2006 și art. 30 alin. (1) lit. d) din Legea nr. 100/2017. Trebuie evaluate atât efectele nivelului de 22 de zile, cât și costurile de adaptare a evidenței, salarizării și organizării muncii pentru programele atipice.</w:t>
            </w:r>
          </w:p>
          <w:p w14:paraId="0060DF27" w14:textId="77777777" w:rsidR="00315874" w:rsidRDefault="00000000">
            <w:pPr>
              <w:spacing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Spre exemplu, pentru un program clasic de luni până vineri (40 de ore pe săptămână), impactul financiar negativ se dezvoltă pe mai multe paliere:</w:t>
            </w:r>
          </w:p>
          <w:p w14:paraId="1F5D8C79" w14:textId="77777777" w:rsidR="00315874" w:rsidRDefault="00000000">
            <w:pPr>
              <w:spacing w:line="240" w:lineRule="auto"/>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1.1. Costul direct al forței de muncă (plătești mai mult pentru mai puțin timp lucrat)</w:t>
            </w:r>
          </w:p>
          <w:p w14:paraId="62E2C55D" w14:textId="77777777" w:rsidR="00315874" w:rsidRDefault="00000000">
            <w:pPr>
              <w:spacing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În regimul actual, o săptămână completă de concediu consumă 7 zile calendaristice, dar oprește activitatea/producția pentru 5 zile lucrătoare. Prin fracționarea standard (de exemplu, 4 perioade de câte 7 zile), cele 28 de zile calendaristice acoperă 20 de zile lucrătoare de absență plătită de angajator.</w:t>
            </w:r>
          </w:p>
          <w:p w14:paraId="30BA6CFC" w14:textId="77777777" w:rsidR="00315874" w:rsidRDefault="00000000">
            <w:pPr>
              <w:spacing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Matematica proiectului de lege: stabilirea noului prag la 22 de zile lucrătoare înseamnă că angajatorul este obligat prin lege să ofere și să plătească 2 zile lucrătoare suplimentare de odihnă în fiecare an pentru fiecare salariat.</w:t>
            </w:r>
          </w:p>
          <w:p w14:paraId="7AF3BE1C" w14:textId="77777777" w:rsidR="00315874" w:rsidRDefault="00000000">
            <w:pPr>
              <w:spacing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Activitate/producție pierdută: Un an standard are aproximativ 250 de zile lucrătoare.</w:t>
            </w:r>
          </w:p>
          <w:p w14:paraId="73D12BB5" w14:textId="77777777" w:rsidR="00315874" w:rsidRDefault="00000000">
            <w:pPr>
              <w:spacing w:line="240" w:lineRule="auto"/>
              <w:jc w:val="both"/>
              <w:rPr>
                <w:rFonts w:ascii="Times New Roman" w:eastAsia="Times New Roman" w:hAnsi="Times New Roman" w:cs="Times New Roman"/>
                <w:b/>
                <w:bCs/>
                <w:i/>
                <w:iCs/>
                <w:sz w:val="24"/>
                <w:szCs w:val="24"/>
                <w:highlight w:val="white"/>
              </w:rPr>
            </w:pPr>
            <w:r>
              <w:rPr>
                <w:rFonts w:ascii="Times New Roman" w:eastAsia="Times New Roman" w:hAnsi="Times New Roman" w:cs="Times New Roman"/>
                <w:sz w:val="24"/>
                <w:szCs w:val="24"/>
                <w:highlight w:val="white"/>
              </w:rPr>
              <w:t>Pierderea a 2 zile suplimentare înseamnă o scădere automată cu 0,8% a timpului total de lucru generat de un angajat, în timp ce salariul anual total calculat și achitat angajaților rămâne neschimbat.</w:t>
            </w:r>
          </w:p>
        </w:tc>
        <w:tc>
          <w:tcPr>
            <w:tcW w:w="5880" w:type="dxa"/>
            <w:tcBorders>
              <w:top w:val="nil"/>
              <w:left w:val="nil"/>
              <w:bottom w:val="single" w:sz="6" w:space="0" w:color="000000"/>
              <w:right w:val="single" w:sz="6" w:space="0" w:color="999999"/>
            </w:tcBorders>
            <w:tcMar>
              <w:top w:w="0" w:type="dxa"/>
              <w:left w:w="100" w:type="dxa"/>
              <w:bottom w:w="0" w:type="dxa"/>
              <w:right w:w="100" w:type="dxa"/>
            </w:tcMar>
          </w:tcPr>
          <w:p w14:paraId="3A86C28E"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Se acceptă</w:t>
            </w:r>
          </w:p>
          <w:p w14:paraId="5EE2888B"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Proiectul a fost ajustat. Salariații cu forme atipice de muncă vor beneficia de același număr de zile de concediu ca și salariații angajați pe o normă întreagă. Diferența constă </w:t>
            </w:r>
            <w:r>
              <w:rPr>
                <w:rFonts w:ascii="Times New Roman" w:eastAsia="Times New Roman" w:hAnsi="Times New Roman" w:cs="Times New Roman"/>
                <w:sz w:val="24"/>
                <w:szCs w:val="24"/>
                <w:highlight w:val="white"/>
              </w:rPr>
              <w:lastRenderedPageBreak/>
              <w:t>doar în modul de calcul și plată a indemnizației de concediu, care se stabilește proporțional cu timpul de muncă și salariul realizat, fără a afecta durata concediului.</w:t>
            </w:r>
          </w:p>
          <w:p w14:paraId="339D16DC" w14:textId="77777777" w:rsidR="00315874" w:rsidRDefault="00315874">
            <w:pPr>
              <w:shd w:val="clear" w:color="auto" w:fill="FFFFFF"/>
              <w:jc w:val="both"/>
              <w:rPr>
                <w:rFonts w:ascii="Times New Roman" w:eastAsia="Times New Roman" w:hAnsi="Times New Roman" w:cs="Times New Roman"/>
                <w:sz w:val="24"/>
                <w:szCs w:val="24"/>
                <w:highlight w:val="white"/>
              </w:rPr>
            </w:pPr>
          </w:p>
          <w:p w14:paraId="2C82D203"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Stabilirea unui număr minim uniform de zile de concediu de odihnă anual asigură aplicarea principiului egalității de tratament, astfel încât salariații încadrați în forme atipice de muncă beneficiază de aceeași durată a concediului de odihnă anual ca și salariații angajați cu normă întreagă, fără discriminare în funcție de forma de organizare a muncii.</w:t>
            </w:r>
          </w:p>
        </w:tc>
      </w:tr>
      <w:tr w:rsidR="00315874" w14:paraId="5BD1CE6C" w14:textId="77777777">
        <w:trPr>
          <w:trHeight w:val="1185"/>
        </w:trPr>
        <w:tc>
          <w:tcPr>
            <w:tcW w:w="870" w:type="dxa"/>
            <w:vMerge/>
            <w:tcBorders>
              <w:top w:val="nil"/>
              <w:left w:val="single" w:sz="6" w:space="0" w:color="999999"/>
              <w:bottom w:val="single" w:sz="6" w:space="0" w:color="999999"/>
              <w:right w:val="single" w:sz="6" w:space="0" w:color="999999"/>
            </w:tcBorders>
            <w:tcMar>
              <w:top w:w="0" w:type="dxa"/>
              <w:left w:w="100" w:type="dxa"/>
              <w:bottom w:w="0" w:type="dxa"/>
              <w:right w:w="100" w:type="dxa"/>
            </w:tcMar>
          </w:tcPr>
          <w:p w14:paraId="19AA0CB4" w14:textId="77777777" w:rsidR="00315874" w:rsidRDefault="00315874">
            <w:pPr>
              <w:spacing w:line="240" w:lineRule="auto"/>
              <w:jc w:val="center"/>
              <w:rPr>
                <w:rFonts w:ascii="Times New Roman" w:eastAsia="Times New Roman" w:hAnsi="Times New Roman" w:cs="Times New Roman"/>
                <w:b/>
                <w:bCs/>
                <w:sz w:val="24"/>
                <w:szCs w:val="24"/>
                <w:highlight w:val="white"/>
              </w:rPr>
            </w:pPr>
          </w:p>
        </w:tc>
        <w:tc>
          <w:tcPr>
            <w:tcW w:w="2730" w:type="dxa"/>
            <w:vMerge/>
            <w:tcBorders>
              <w:top w:val="nil"/>
              <w:left w:val="nil"/>
              <w:bottom w:val="single" w:sz="6" w:space="0" w:color="999999"/>
              <w:right w:val="single" w:sz="6" w:space="0" w:color="999999"/>
            </w:tcBorders>
            <w:tcMar>
              <w:top w:w="0" w:type="dxa"/>
              <w:left w:w="100" w:type="dxa"/>
              <w:bottom w:w="0" w:type="dxa"/>
              <w:right w:w="100" w:type="dxa"/>
            </w:tcMar>
          </w:tcPr>
          <w:p w14:paraId="2BB6087E" w14:textId="77777777" w:rsidR="00315874" w:rsidRDefault="00315874">
            <w:pPr>
              <w:spacing w:line="240" w:lineRule="auto"/>
              <w:jc w:val="center"/>
              <w:rPr>
                <w:rFonts w:ascii="Times New Roman" w:eastAsia="Times New Roman" w:hAnsi="Times New Roman" w:cs="Times New Roman"/>
                <w:sz w:val="24"/>
                <w:szCs w:val="24"/>
                <w:highlight w:val="white"/>
              </w:rPr>
            </w:pPr>
          </w:p>
        </w:tc>
        <w:tc>
          <w:tcPr>
            <w:tcW w:w="5550" w:type="dxa"/>
            <w:tcBorders>
              <w:top w:val="nil"/>
              <w:left w:val="nil"/>
              <w:bottom w:val="single" w:sz="6" w:space="0" w:color="000000"/>
              <w:right w:val="single" w:sz="6" w:space="0" w:color="999999"/>
            </w:tcBorders>
            <w:tcMar>
              <w:top w:w="0" w:type="dxa"/>
              <w:left w:w="100" w:type="dxa"/>
              <w:bottom w:w="0" w:type="dxa"/>
              <w:right w:w="100" w:type="dxa"/>
            </w:tcMar>
          </w:tcPr>
          <w:p w14:paraId="01709EF9" w14:textId="77777777" w:rsidR="00315874" w:rsidRDefault="00000000">
            <w:pPr>
              <w:spacing w:line="240" w:lineRule="auto"/>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1.2. Creșterea provizioanelor contabile privind concediile neutilizate</w:t>
            </w:r>
          </w:p>
          <w:p w14:paraId="588F57B9" w14:textId="77777777" w:rsidR="00315874" w:rsidRDefault="00000000">
            <w:pPr>
              <w:spacing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Companiile sunt obligate prin standardele naționale de contabilitate (pct. 851 din SNC Capital propriu și datorii) să înregistreze în bilanț un provizion (datorie) pentru zilele de concediu acumulate și neutilizate de către angajați.</w:t>
            </w:r>
          </w:p>
          <w:p w14:paraId="0E2546ED" w14:textId="77777777" w:rsidR="00315874" w:rsidRDefault="00000000">
            <w:pPr>
              <w:spacing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Creșterea fondului de la 20 la 22 de zile lucrătoare mărește automat această datorie financiară din bilanțul firmei cu 10% pe an.</w:t>
            </w:r>
          </w:p>
          <w:p w14:paraId="471EB48F" w14:textId="77777777" w:rsidR="00315874" w:rsidRDefault="00000000">
            <w:pPr>
              <w:spacing w:line="240" w:lineRule="auto"/>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sz w:val="24"/>
                <w:szCs w:val="24"/>
                <w:highlight w:val="white"/>
              </w:rPr>
              <w:t>În cazul încetării contractelor de muncă (demisii, concedieri), valoarea compensațiilor în bani pe care angajatorul trebuie să le achite va fi semnificativ mai mare, deoarece baza de calcul este raportată la zile lucrătoare plătite integral.</w:t>
            </w:r>
          </w:p>
        </w:tc>
        <w:tc>
          <w:tcPr>
            <w:tcW w:w="5880" w:type="dxa"/>
            <w:tcBorders>
              <w:top w:val="nil"/>
              <w:left w:val="nil"/>
              <w:bottom w:val="single" w:sz="6" w:space="0" w:color="000000"/>
              <w:right w:val="single" w:sz="6" w:space="0" w:color="999999"/>
            </w:tcBorders>
            <w:tcMar>
              <w:top w:w="0" w:type="dxa"/>
              <w:left w:w="100" w:type="dxa"/>
              <w:bottom w:w="0" w:type="dxa"/>
              <w:right w:w="100" w:type="dxa"/>
            </w:tcMar>
          </w:tcPr>
          <w:p w14:paraId="0001B037"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Se ia act</w:t>
            </w:r>
          </w:p>
        </w:tc>
      </w:tr>
      <w:tr w:rsidR="00315874" w14:paraId="4C0ACBAA" w14:textId="77777777">
        <w:trPr>
          <w:trHeight w:val="1185"/>
        </w:trPr>
        <w:tc>
          <w:tcPr>
            <w:tcW w:w="870" w:type="dxa"/>
            <w:vMerge/>
            <w:tcBorders>
              <w:top w:val="nil"/>
              <w:left w:val="single" w:sz="6" w:space="0" w:color="999999"/>
              <w:bottom w:val="single" w:sz="6" w:space="0" w:color="999999"/>
              <w:right w:val="single" w:sz="6" w:space="0" w:color="999999"/>
            </w:tcBorders>
            <w:tcMar>
              <w:top w:w="0" w:type="dxa"/>
              <w:left w:w="100" w:type="dxa"/>
              <w:bottom w:w="0" w:type="dxa"/>
              <w:right w:w="100" w:type="dxa"/>
            </w:tcMar>
          </w:tcPr>
          <w:p w14:paraId="1AE8F807" w14:textId="77777777" w:rsidR="00315874" w:rsidRDefault="00315874">
            <w:pPr>
              <w:spacing w:line="240" w:lineRule="auto"/>
              <w:jc w:val="center"/>
              <w:rPr>
                <w:rFonts w:ascii="Times New Roman" w:eastAsia="Times New Roman" w:hAnsi="Times New Roman" w:cs="Times New Roman"/>
                <w:b/>
                <w:bCs/>
                <w:sz w:val="24"/>
                <w:szCs w:val="24"/>
                <w:highlight w:val="white"/>
              </w:rPr>
            </w:pPr>
          </w:p>
        </w:tc>
        <w:tc>
          <w:tcPr>
            <w:tcW w:w="2730" w:type="dxa"/>
            <w:vMerge/>
            <w:tcBorders>
              <w:top w:val="nil"/>
              <w:left w:val="nil"/>
              <w:bottom w:val="single" w:sz="6" w:space="0" w:color="999999"/>
              <w:right w:val="single" w:sz="6" w:space="0" w:color="999999"/>
            </w:tcBorders>
            <w:tcMar>
              <w:top w:w="0" w:type="dxa"/>
              <w:left w:w="100" w:type="dxa"/>
              <w:bottom w:w="0" w:type="dxa"/>
              <w:right w:w="100" w:type="dxa"/>
            </w:tcMar>
          </w:tcPr>
          <w:p w14:paraId="767FF05E" w14:textId="77777777" w:rsidR="00315874" w:rsidRDefault="00315874">
            <w:pPr>
              <w:spacing w:line="240" w:lineRule="auto"/>
              <w:jc w:val="center"/>
              <w:rPr>
                <w:rFonts w:ascii="Times New Roman" w:eastAsia="Times New Roman" w:hAnsi="Times New Roman" w:cs="Times New Roman"/>
                <w:sz w:val="24"/>
                <w:szCs w:val="24"/>
                <w:highlight w:val="white"/>
              </w:rPr>
            </w:pPr>
          </w:p>
        </w:tc>
        <w:tc>
          <w:tcPr>
            <w:tcW w:w="5550" w:type="dxa"/>
            <w:tcBorders>
              <w:top w:val="nil"/>
              <w:left w:val="nil"/>
              <w:bottom w:val="single" w:sz="6" w:space="0" w:color="000000"/>
              <w:right w:val="single" w:sz="6" w:space="0" w:color="999999"/>
            </w:tcBorders>
            <w:tcMar>
              <w:top w:w="0" w:type="dxa"/>
              <w:left w:w="100" w:type="dxa"/>
              <w:bottom w:w="0" w:type="dxa"/>
              <w:right w:w="100" w:type="dxa"/>
            </w:tcMar>
          </w:tcPr>
          <w:p w14:paraId="25353F76" w14:textId="77777777" w:rsidR="00315874" w:rsidRDefault="00000000">
            <w:pPr>
              <w:spacing w:line="240" w:lineRule="auto"/>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1.3. Costul orelor suplimentare sau al personalului de înlocuire</w:t>
            </w:r>
          </w:p>
          <w:p w14:paraId="06D04858" w14:textId="77777777" w:rsidR="00315874" w:rsidRDefault="00000000">
            <w:pPr>
              <w:spacing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Când un angajat lipsește încă 2 zile de la serviciu, volumul său de muncă nu dispare. Pentru a menține ritmul de producție la același nivel, angajatorul are două opțiuni costisitoare:</w:t>
            </w:r>
          </w:p>
          <w:p w14:paraId="7F740D77" w14:textId="77777777" w:rsidR="00315874" w:rsidRDefault="00000000">
            <w:pPr>
              <w:spacing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w:t>
            </w:r>
            <w:r>
              <w:rPr>
                <w:rFonts w:ascii="Times New Roman" w:eastAsia="Times New Roman" w:hAnsi="Times New Roman" w:cs="Times New Roman"/>
                <w:sz w:val="24"/>
                <w:szCs w:val="24"/>
                <w:highlight w:val="white"/>
              </w:rPr>
              <w:t xml:space="preserve"> Plata orelor suplimentare (overtime): distribuirea muncii către colegii rămași la birou, care vor trebui plătiți cu sporuri de ore suplimentare (care conform legii sunt mult mai scumpe decât tariful unei ore normale).</w:t>
            </w:r>
          </w:p>
          <w:p w14:paraId="22358299" w14:textId="77777777" w:rsidR="00315874" w:rsidRDefault="00000000">
            <w:pPr>
              <w:spacing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 </w:t>
            </w:r>
            <w:r>
              <w:rPr>
                <w:rFonts w:ascii="Times New Roman" w:eastAsia="Times New Roman" w:hAnsi="Times New Roman" w:cs="Times New Roman"/>
                <w:sz w:val="24"/>
                <w:szCs w:val="24"/>
                <w:highlight w:val="white"/>
              </w:rPr>
              <w:t>Supracontractarea: Angajarea de personal temporar sau permanent (creșterea statelor de personal) pentru a acoperi golurile de productivitate, generând costuri suplimentare de recrutare și training.</w:t>
            </w:r>
          </w:p>
          <w:p w14:paraId="79DFDE80" w14:textId="77777777" w:rsidR="00315874" w:rsidRDefault="00315874">
            <w:pPr>
              <w:spacing w:line="240" w:lineRule="auto"/>
              <w:jc w:val="both"/>
              <w:rPr>
                <w:rFonts w:ascii="Times New Roman" w:eastAsia="Times New Roman" w:hAnsi="Times New Roman" w:cs="Times New Roman"/>
                <w:b/>
                <w:bCs/>
                <w:sz w:val="24"/>
                <w:szCs w:val="24"/>
                <w:highlight w:val="white"/>
              </w:rPr>
            </w:pPr>
          </w:p>
          <w:p w14:paraId="1C67DA2D" w14:textId="77777777" w:rsidR="00315874" w:rsidRDefault="00000000">
            <w:pPr>
              <w:spacing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Astfel, pentru o companie medie cu 100 de angajați, această modificare legislativă adaugă 200 de zile </w:t>
            </w:r>
            <w:r>
              <w:rPr>
                <w:rFonts w:ascii="Times New Roman" w:eastAsia="Times New Roman" w:hAnsi="Times New Roman" w:cs="Times New Roman"/>
                <w:sz w:val="24"/>
                <w:szCs w:val="24"/>
                <w:highlight w:val="white"/>
              </w:rPr>
              <w:lastRenderedPageBreak/>
              <w:t>lucrătoare plătite în plus pe an în care nu se produce nimic (echivalentul salariului integral al unui angajat suplimentar care ar sta acasă un an întreg, dar ar fi plătit).</w:t>
            </w:r>
          </w:p>
          <w:p w14:paraId="5729A59F" w14:textId="77777777" w:rsidR="00315874" w:rsidRDefault="00000000">
            <w:pPr>
              <w:spacing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Prin urmare, solicităm ca proiectul să fie ajustat astfel încât conversia din zile calendaristice în zile lucrătoare să fie neutră din punct de vedere financiar și operațional pentru angajatori (20 zile lucrătoare), fără extinderea implicită a duratei minime a concediului anual, iar orice majorare a dreptului la concediu să fie analizată separat, cu evaluarea impactului bugetar și economic asupra angajatorilor.</w:t>
            </w:r>
          </w:p>
        </w:tc>
        <w:tc>
          <w:tcPr>
            <w:tcW w:w="5880" w:type="dxa"/>
            <w:tcBorders>
              <w:top w:val="nil"/>
              <w:left w:val="nil"/>
              <w:bottom w:val="single" w:sz="6" w:space="0" w:color="000000"/>
              <w:right w:val="single" w:sz="6" w:space="0" w:color="999999"/>
            </w:tcBorders>
            <w:tcMar>
              <w:top w:w="0" w:type="dxa"/>
              <w:left w:w="100" w:type="dxa"/>
              <w:bottom w:w="0" w:type="dxa"/>
              <w:right w:w="100" w:type="dxa"/>
            </w:tcMar>
          </w:tcPr>
          <w:p w14:paraId="73C3A438"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Nu se acceptă</w:t>
            </w:r>
          </w:p>
          <w:p w14:paraId="337FE1EB"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În cadrul consultărilor publice s-a demonstrat că, potrivit reglementărilor în vigoare, salariații pot beneficia, în anumite situații, de un număr de zile de concediu mai mare de 22 de zile lucrătoare prin utilizarea fracționată a concediului de odihnă anual. Prin urmare, argumentul invocat nu este relevant și nu justifică obiecția respectivă.</w:t>
            </w:r>
          </w:p>
        </w:tc>
      </w:tr>
      <w:tr w:rsidR="00315874" w14:paraId="31B98645" w14:textId="77777777">
        <w:trPr>
          <w:trHeight w:val="1185"/>
        </w:trPr>
        <w:tc>
          <w:tcPr>
            <w:tcW w:w="870" w:type="dxa"/>
            <w:vMerge/>
            <w:tcBorders>
              <w:top w:val="nil"/>
              <w:left w:val="single" w:sz="6" w:space="0" w:color="999999"/>
              <w:bottom w:val="single" w:sz="6" w:space="0" w:color="999999"/>
              <w:right w:val="single" w:sz="6" w:space="0" w:color="999999"/>
            </w:tcBorders>
            <w:tcMar>
              <w:top w:w="0" w:type="dxa"/>
              <w:left w:w="100" w:type="dxa"/>
              <w:bottom w:w="0" w:type="dxa"/>
              <w:right w:w="100" w:type="dxa"/>
            </w:tcMar>
          </w:tcPr>
          <w:p w14:paraId="553403AF" w14:textId="77777777" w:rsidR="00315874" w:rsidRDefault="00315874">
            <w:pPr>
              <w:spacing w:line="240" w:lineRule="auto"/>
              <w:jc w:val="center"/>
              <w:rPr>
                <w:rFonts w:ascii="Times New Roman" w:eastAsia="Times New Roman" w:hAnsi="Times New Roman" w:cs="Times New Roman"/>
                <w:b/>
                <w:bCs/>
                <w:sz w:val="24"/>
                <w:szCs w:val="24"/>
                <w:highlight w:val="white"/>
              </w:rPr>
            </w:pPr>
          </w:p>
        </w:tc>
        <w:tc>
          <w:tcPr>
            <w:tcW w:w="2730" w:type="dxa"/>
            <w:vMerge/>
            <w:tcBorders>
              <w:top w:val="nil"/>
              <w:left w:val="nil"/>
              <w:bottom w:val="single" w:sz="6" w:space="0" w:color="999999"/>
              <w:right w:val="single" w:sz="6" w:space="0" w:color="999999"/>
            </w:tcBorders>
            <w:tcMar>
              <w:top w:w="0" w:type="dxa"/>
              <w:left w:w="100" w:type="dxa"/>
              <w:bottom w:w="0" w:type="dxa"/>
              <w:right w:w="100" w:type="dxa"/>
            </w:tcMar>
          </w:tcPr>
          <w:p w14:paraId="477E42FD" w14:textId="77777777" w:rsidR="00315874" w:rsidRDefault="00315874">
            <w:pPr>
              <w:spacing w:line="240" w:lineRule="auto"/>
              <w:jc w:val="center"/>
              <w:rPr>
                <w:rFonts w:ascii="Times New Roman" w:eastAsia="Times New Roman" w:hAnsi="Times New Roman" w:cs="Times New Roman"/>
                <w:sz w:val="24"/>
                <w:szCs w:val="24"/>
                <w:highlight w:val="white"/>
              </w:rPr>
            </w:pPr>
          </w:p>
        </w:tc>
        <w:tc>
          <w:tcPr>
            <w:tcW w:w="5550" w:type="dxa"/>
            <w:tcBorders>
              <w:top w:val="nil"/>
              <w:left w:val="nil"/>
              <w:bottom w:val="single" w:sz="6" w:space="0" w:color="000000"/>
              <w:right w:val="single" w:sz="6" w:space="0" w:color="999999"/>
            </w:tcBorders>
            <w:tcMar>
              <w:top w:w="0" w:type="dxa"/>
              <w:left w:w="100" w:type="dxa"/>
              <w:bottom w:w="0" w:type="dxa"/>
              <w:right w:w="100" w:type="dxa"/>
            </w:tcMar>
          </w:tcPr>
          <w:p w14:paraId="51DCCBC3" w14:textId="77777777" w:rsidR="00315874" w:rsidRDefault="00000000">
            <w:pPr>
              <w:spacing w:line="240" w:lineRule="auto"/>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 xml:space="preserve">2. </w:t>
            </w:r>
            <w:r>
              <w:rPr>
                <w:rFonts w:ascii="Times New Roman" w:eastAsia="Times New Roman" w:hAnsi="Times New Roman" w:cs="Times New Roman"/>
                <w:sz w:val="24"/>
                <w:szCs w:val="24"/>
                <w:highlight w:val="white"/>
              </w:rPr>
              <w:t>Asumă facil că majoritatea salariaților activează în regim de 5 zile lucrătoare pe săptămână, fără a avea în vedere categoriile semnificative de salariați și unități cu programe atipice (timp parțial, muncă în ture, săptămână de 6 zile, evidență globală a timpului de muncă). Această omisiune afectează consistența analizei de impact.</w:t>
            </w:r>
          </w:p>
        </w:tc>
        <w:tc>
          <w:tcPr>
            <w:tcW w:w="5880" w:type="dxa"/>
            <w:tcBorders>
              <w:top w:val="nil"/>
              <w:left w:val="nil"/>
              <w:bottom w:val="single" w:sz="6" w:space="0" w:color="000000"/>
              <w:right w:val="single" w:sz="6" w:space="0" w:color="999999"/>
            </w:tcBorders>
            <w:tcMar>
              <w:top w:w="0" w:type="dxa"/>
              <w:left w:w="100" w:type="dxa"/>
              <w:bottom w:w="0" w:type="dxa"/>
              <w:right w:w="100" w:type="dxa"/>
            </w:tcMar>
          </w:tcPr>
          <w:p w14:paraId="15F5A520" w14:textId="77777777" w:rsidR="0009241B" w:rsidRPr="0009241B" w:rsidRDefault="00000000">
            <w:pPr>
              <w:shd w:val="clear" w:color="auto" w:fill="FFFFFF"/>
              <w:jc w:val="both"/>
              <w:rPr>
                <w:rFonts w:ascii="Times New Roman" w:eastAsia="Times New Roman" w:hAnsi="Times New Roman" w:cs="Times New Roman"/>
                <w:b/>
                <w:bCs/>
                <w:sz w:val="24"/>
                <w:szCs w:val="24"/>
                <w:highlight w:val="white"/>
              </w:rPr>
            </w:pPr>
            <w:r w:rsidRPr="0009241B">
              <w:rPr>
                <w:rFonts w:ascii="Times New Roman" w:eastAsia="Times New Roman" w:hAnsi="Times New Roman" w:cs="Times New Roman"/>
                <w:b/>
                <w:bCs/>
                <w:sz w:val="24"/>
                <w:szCs w:val="24"/>
                <w:highlight w:val="white"/>
              </w:rPr>
              <w:t xml:space="preserve">Se acceptă parțial. </w:t>
            </w:r>
          </w:p>
          <w:p w14:paraId="73EBA22D" w14:textId="0BCC8456" w:rsidR="0021239A" w:rsidRDefault="00000000">
            <w:pPr>
              <w:shd w:val="clear" w:color="auto" w:fill="FFFFFF"/>
              <w:jc w:val="both"/>
              <w:rPr>
                <w:rFonts w:ascii="Times New Roman" w:eastAsia="Times New Roman" w:hAnsi="Times New Roman" w:cs="Times New Roman"/>
                <w:b/>
                <w:bCs/>
                <w:sz w:val="24"/>
                <w:szCs w:val="24"/>
                <w:highlight w:val="white"/>
              </w:rPr>
            </w:pPr>
            <w:r w:rsidRPr="0009241B">
              <w:rPr>
                <w:rFonts w:ascii="Times New Roman" w:eastAsia="Times New Roman" w:hAnsi="Times New Roman" w:cs="Times New Roman"/>
                <w:sz w:val="24"/>
                <w:szCs w:val="24"/>
                <w:highlight w:val="white"/>
              </w:rPr>
              <w:t>Art. 113 alin. (1) prevede durata și pentru săptămâna de 6 zile, iar alin. (1²) reglementează salariații în ture, schimburi și cu timp parțial.</w:t>
            </w:r>
            <w:r>
              <w:rPr>
                <w:b/>
                <w:color w:val="FF0000"/>
              </w:rPr>
              <w:t xml:space="preserve"> </w:t>
            </w:r>
          </w:p>
        </w:tc>
      </w:tr>
      <w:tr w:rsidR="00315874" w14:paraId="68C59B3B" w14:textId="77777777">
        <w:trPr>
          <w:trHeight w:val="1185"/>
        </w:trPr>
        <w:tc>
          <w:tcPr>
            <w:tcW w:w="870" w:type="dxa"/>
            <w:vMerge/>
            <w:tcBorders>
              <w:top w:val="nil"/>
              <w:left w:val="single" w:sz="6" w:space="0" w:color="999999"/>
              <w:bottom w:val="single" w:sz="6" w:space="0" w:color="999999"/>
              <w:right w:val="single" w:sz="6" w:space="0" w:color="999999"/>
            </w:tcBorders>
            <w:tcMar>
              <w:top w:w="0" w:type="dxa"/>
              <w:left w:w="100" w:type="dxa"/>
              <w:bottom w:w="0" w:type="dxa"/>
              <w:right w:w="100" w:type="dxa"/>
            </w:tcMar>
          </w:tcPr>
          <w:p w14:paraId="3560CA87" w14:textId="77777777" w:rsidR="00315874" w:rsidRDefault="00315874">
            <w:pPr>
              <w:spacing w:line="240" w:lineRule="auto"/>
              <w:jc w:val="center"/>
              <w:rPr>
                <w:rFonts w:ascii="Times New Roman" w:eastAsia="Times New Roman" w:hAnsi="Times New Roman" w:cs="Times New Roman"/>
                <w:b/>
                <w:bCs/>
                <w:sz w:val="24"/>
                <w:szCs w:val="24"/>
                <w:highlight w:val="white"/>
              </w:rPr>
            </w:pPr>
          </w:p>
        </w:tc>
        <w:tc>
          <w:tcPr>
            <w:tcW w:w="2730" w:type="dxa"/>
            <w:vMerge/>
            <w:tcBorders>
              <w:top w:val="nil"/>
              <w:left w:val="nil"/>
              <w:bottom w:val="single" w:sz="6" w:space="0" w:color="999999"/>
              <w:right w:val="single" w:sz="6" w:space="0" w:color="999999"/>
            </w:tcBorders>
            <w:tcMar>
              <w:top w:w="0" w:type="dxa"/>
              <w:left w:w="100" w:type="dxa"/>
              <w:bottom w:w="0" w:type="dxa"/>
              <w:right w:w="100" w:type="dxa"/>
            </w:tcMar>
          </w:tcPr>
          <w:p w14:paraId="5D465F21" w14:textId="77777777" w:rsidR="00315874" w:rsidRDefault="00315874">
            <w:pPr>
              <w:spacing w:line="240" w:lineRule="auto"/>
              <w:jc w:val="center"/>
              <w:rPr>
                <w:rFonts w:ascii="Times New Roman" w:eastAsia="Times New Roman" w:hAnsi="Times New Roman" w:cs="Times New Roman"/>
                <w:sz w:val="24"/>
                <w:szCs w:val="24"/>
                <w:highlight w:val="white"/>
              </w:rPr>
            </w:pPr>
          </w:p>
        </w:tc>
        <w:tc>
          <w:tcPr>
            <w:tcW w:w="5550" w:type="dxa"/>
            <w:tcBorders>
              <w:top w:val="nil"/>
              <w:left w:val="nil"/>
              <w:bottom w:val="single" w:sz="6" w:space="0" w:color="000000"/>
              <w:right w:val="single" w:sz="6" w:space="0" w:color="999999"/>
            </w:tcBorders>
            <w:tcMar>
              <w:top w:w="0" w:type="dxa"/>
              <w:left w:w="100" w:type="dxa"/>
              <w:bottom w:w="0" w:type="dxa"/>
              <w:right w:w="100" w:type="dxa"/>
            </w:tcMar>
          </w:tcPr>
          <w:p w14:paraId="6FBC56C4" w14:textId="77777777" w:rsidR="00315874" w:rsidRDefault="00000000">
            <w:pPr>
              <w:spacing w:line="240" w:lineRule="auto"/>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3.</w:t>
            </w:r>
            <w:r>
              <w:rPr>
                <w:rFonts w:ascii="Times New Roman" w:eastAsia="Times New Roman" w:hAnsi="Times New Roman" w:cs="Times New Roman"/>
                <w:sz w:val="24"/>
                <w:szCs w:val="24"/>
                <w:highlight w:val="white"/>
              </w:rPr>
              <w:t xml:space="preserve"> Nu cuprinde documentarea comparată impusă de art. 271 alin. (2) din Legea nr. 100/2017, deși există modele europene direct relevante, unele dintre care au fost menționate mai sus.</w:t>
            </w:r>
          </w:p>
        </w:tc>
        <w:tc>
          <w:tcPr>
            <w:tcW w:w="5880" w:type="dxa"/>
            <w:tcBorders>
              <w:top w:val="nil"/>
              <w:left w:val="nil"/>
              <w:bottom w:val="single" w:sz="6" w:space="0" w:color="000000"/>
              <w:right w:val="single" w:sz="6" w:space="0" w:color="999999"/>
            </w:tcBorders>
            <w:tcMar>
              <w:top w:w="0" w:type="dxa"/>
              <w:left w:w="100" w:type="dxa"/>
              <w:bottom w:w="0" w:type="dxa"/>
              <w:right w:w="100" w:type="dxa"/>
            </w:tcMar>
          </w:tcPr>
          <w:p w14:paraId="27599EFB" w14:textId="77777777" w:rsidR="00315874" w:rsidRDefault="00000000">
            <w:pPr>
              <w:shd w:val="clear" w:color="auto" w:fill="FFFFFF"/>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Nu se acceptă,</w:t>
            </w:r>
          </w:p>
          <w:p w14:paraId="3434CDBD" w14:textId="77777777" w:rsidR="00315874" w:rsidRDefault="00000000">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Nota de fundamentare conține date privind practica altor țări în ceea ce ține de numărul de zile de concedii acordate</w:t>
            </w:r>
          </w:p>
        </w:tc>
      </w:tr>
      <w:tr w:rsidR="00315874" w14:paraId="0BCAD153" w14:textId="77777777">
        <w:trPr>
          <w:trHeight w:val="1185"/>
        </w:trPr>
        <w:tc>
          <w:tcPr>
            <w:tcW w:w="870" w:type="dxa"/>
            <w:vMerge/>
            <w:tcBorders>
              <w:top w:val="nil"/>
              <w:left w:val="single" w:sz="6" w:space="0" w:color="999999"/>
              <w:bottom w:val="single" w:sz="6" w:space="0" w:color="999999"/>
              <w:right w:val="single" w:sz="6" w:space="0" w:color="999999"/>
            </w:tcBorders>
            <w:tcMar>
              <w:top w:w="0" w:type="dxa"/>
              <w:left w:w="100" w:type="dxa"/>
              <w:bottom w:w="0" w:type="dxa"/>
              <w:right w:w="100" w:type="dxa"/>
            </w:tcMar>
          </w:tcPr>
          <w:p w14:paraId="7FE122E3" w14:textId="77777777" w:rsidR="00315874" w:rsidRDefault="00315874">
            <w:pPr>
              <w:spacing w:line="240" w:lineRule="auto"/>
              <w:jc w:val="center"/>
              <w:rPr>
                <w:rFonts w:ascii="Times New Roman" w:eastAsia="Times New Roman" w:hAnsi="Times New Roman" w:cs="Times New Roman"/>
                <w:b/>
                <w:bCs/>
                <w:sz w:val="24"/>
                <w:szCs w:val="24"/>
                <w:highlight w:val="white"/>
              </w:rPr>
            </w:pPr>
          </w:p>
        </w:tc>
        <w:tc>
          <w:tcPr>
            <w:tcW w:w="2730" w:type="dxa"/>
            <w:vMerge/>
            <w:tcBorders>
              <w:top w:val="nil"/>
              <w:left w:val="nil"/>
              <w:bottom w:val="single" w:sz="6" w:space="0" w:color="999999"/>
              <w:right w:val="single" w:sz="6" w:space="0" w:color="999999"/>
            </w:tcBorders>
            <w:tcMar>
              <w:top w:w="0" w:type="dxa"/>
              <w:left w:w="100" w:type="dxa"/>
              <w:bottom w:w="0" w:type="dxa"/>
              <w:right w:w="100" w:type="dxa"/>
            </w:tcMar>
          </w:tcPr>
          <w:p w14:paraId="7B04535A" w14:textId="77777777" w:rsidR="00315874" w:rsidRDefault="00315874">
            <w:pPr>
              <w:spacing w:line="240" w:lineRule="auto"/>
              <w:jc w:val="center"/>
              <w:rPr>
                <w:rFonts w:ascii="Times New Roman" w:eastAsia="Times New Roman" w:hAnsi="Times New Roman" w:cs="Times New Roman"/>
                <w:sz w:val="24"/>
                <w:szCs w:val="24"/>
                <w:highlight w:val="white"/>
              </w:rPr>
            </w:pPr>
          </w:p>
        </w:tc>
        <w:tc>
          <w:tcPr>
            <w:tcW w:w="5550" w:type="dxa"/>
            <w:tcBorders>
              <w:top w:val="nil"/>
              <w:left w:val="nil"/>
              <w:bottom w:val="single" w:sz="6" w:space="0" w:color="000000"/>
              <w:right w:val="single" w:sz="6" w:space="0" w:color="999999"/>
            </w:tcBorders>
            <w:tcMar>
              <w:top w:w="0" w:type="dxa"/>
              <w:left w:w="100" w:type="dxa"/>
              <w:bottom w:w="0" w:type="dxa"/>
              <w:right w:w="100" w:type="dxa"/>
            </w:tcMar>
          </w:tcPr>
          <w:p w14:paraId="6FFE8B52" w14:textId="77777777" w:rsidR="00315874" w:rsidRDefault="00000000">
            <w:pPr>
              <w:spacing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t xml:space="preserve">4. </w:t>
            </w:r>
            <w:r>
              <w:rPr>
                <w:rFonts w:ascii="Times New Roman" w:eastAsia="Times New Roman" w:hAnsi="Times New Roman" w:cs="Times New Roman"/>
                <w:sz w:val="24"/>
                <w:szCs w:val="24"/>
                <w:highlight w:val="white"/>
              </w:rPr>
              <w:t>Nu abordează modul de încorporare în cadrul normativ existent și măsurile de implementare (art. 30 alin. (1) lit. h) și i) din Legea nr. 100/2017), respectiv modul în care conversia se corelează cu regimurile speciale de muncă și de evidență a timpului de muncă.</w:t>
            </w:r>
          </w:p>
          <w:p w14:paraId="1333AAB9" w14:textId="77777777" w:rsidR="00315874" w:rsidRDefault="00315874">
            <w:pPr>
              <w:spacing w:line="240" w:lineRule="auto"/>
              <w:jc w:val="both"/>
              <w:rPr>
                <w:rFonts w:ascii="Times New Roman" w:eastAsia="Times New Roman" w:hAnsi="Times New Roman" w:cs="Times New Roman"/>
                <w:sz w:val="24"/>
                <w:szCs w:val="24"/>
                <w:highlight w:val="white"/>
              </w:rPr>
            </w:pPr>
          </w:p>
          <w:p w14:paraId="40293E45" w14:textId="77777777" w:rsidR="00315874" w:rsidRDefault="00000000">
            <w:pPr>
              <w:spacing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În consecință, în lipsa completării notei de fundamentare cu o analiză de impact adecvată, Proiectul nu corespunde exigențelor legale aplicabile.</w:t>
            </w:r>
          </w:p>
          <w:p w14:paraId="0946A65A" w14:textId="77777777" w:rsidR="00315874" w:rsidRDefault="00315874">
            <w:pPr>
              <w:spacing w:line="240" w:lineRule="auto"/>
              <w:jc w:val="both"/>
              <w:rPr>
                <w:rFonts w:ascii="Times New Roman" w:eastAsia="Times New Roman" w:hAnsi="Times New Roman" w:cs="Times New Roman"/>
                <w:sz w:val="24"/>
                <w:szCs w:val="24"/>
                <w:highlight w:val="white"/>
              </w:rPr>
            </w:pPr>
          </w:p>
        </w:tc>
        <w:tc>
          <w:tcPr>
            <w:tcW w:w="5880" w:type="dxa"/>
            <w:tcBorders>
              <w:top w:val="nil"/>
              <w:left w:val="nil"/>
              <w:bottom w:val="single" w:sz="6" w:space="0" w:color="000000"/>
              <w:right w:val="single" w:sz="6" w:space="0" w:color="999999"/>
            </w:tcBorders>
            <w:tcMar>
              <w:top w:w="0" w:type="dxa"/>
              <w:left w:w="100" w:type="dxa"/>
              <w:bottom w:w="0" w:type="dxa"/>
              <w:right w:w="100" w:type="dxa"/>
            </w:tcMar>
          </w:tcPr>
          <w:p w14:paraId="1FB20732" w14:textId="3DA0E065" w:rsidR="0021239A" w:rsidRDefault="00000000">
            <w:pPr>
              <w:shd w:val="clear" w:color="auto" w:fill="FFFFFF"/>
              <w:jc w:val="both"/>
              <w:rPr>
                <w:rFonts w:ascii="Times New Roman" w:eastAsia="Times New Roman" w:hAnsi="Times New Roman" w:cs="Times New Roman"/>
                <w:b/>
                <w:bCs/>
                <w:sz w:val="24"/>
                <w:szCs w:val="24"/>
                <w:highlight w:val="white"/>
              </w:rPr>
            </w:pPr>
            <w:r w:rsidRPr="0009241B">
              <w:rPr>
                <w:rFonts w:ascii="Times New Roman" w:eastAsia="Times New Roman" w:hAnsi="Times New Roman" w:cs="Times New Roman"/>
                <w:b/>
                <w:bCs/>
                <w:sz w:val="24"/>
                <w:szCs w:val="24"/>
                <w:highlight w:val="white"/>
              </w:rPr>
              <w:lastRenderedPageBreak/>
              <w:t>Se acceptă parțial.</w:t>
            </w:r>
            <w:r w:rsidRPr="0009241B">
              <w:rPr>
                <w:rFonts w:ascii="Times New Roman" w:eastAsia="Times New Roman" w:hAnsi="Times New Roman" w:cs="Times New Roman"/>
                <w:sz w:val="24"/>
                <w:szCs w:val="24"/>
                <w:highlight w:val="white"/>
              </w:rPr>
              <w:t xml:space="preserve"> Compartimentele 8 și 9 din Nota de fundamentare au fost completate cu actele modificate și cu actele subordonate care necesită ajustare</w:t>
            </w:r>
            <w:r w:rsidR="0009241B">
              <w:rPr>
                <w:rFonts w:ascii="Times New Roman" w:eastAsia="Times New Roman" w:hAnsi="Times New Roman" w:cs="Times New Roman"/>
                <w:sz w:val="24"/>
                <w:szCs w:val="24"/>
                <w:highlight w:val="white"/>
              </w:rPr>
              <w:t>.</w:t>
            </w:r>
          </w:p>
        </w:tc>
      </w:tr>
    </w:tbl>
    <w:p w14:paraId="7ECD0D8D" w14:textId="77777777" w:rsidR="00315874" w:rsidRDefault="00315874"/>
    <w:sectPr w:rsidR="00315874">
      <w:footerReference w:type="default" r:id="rId15"/>
      <w:pgSz w:w="16834" w:h="11909" w:orient="landscape"/>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CCB640" w14:textId="77777777" w:rsidR="008A5148" w:rsidRDefault="008A5148">
      <w:pPr>
        <w:spacing w:line="240" w:lineRule="auto"/>
      </w:pPr>
      <w:r>
        <w:separator/>
      </w:r>
    </w:p>
  </w:endnote>
  <w:endnote w:type="continuationSeparator" w:id="0">
    <w:p w14:paraId="25D8EC57" w14:textId="77777777" w:rsidR="008A5148" w:rsidRDefault="008A514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991E09FB-F7A9-4392-88B5-71D1BF0D2C5A}"/>
  </w:font>
  <w:font w:name="Cambria">
    <w:panose1 w:val="02040503050406030204"/>
    <w:charset w:val="00"/>
    <w:family w:val="roman"/>
    <w:pitch w:val="variable"/>
    <w:sig w:usb0="E00006FF" w:usb1="420024FF" w:usb2="02000000" w:usb3="00000000" w:csb0="0000019F" w:csb1="00000000"/>
    <w:embedRegular r:id="rId2" w:fontKey="{156DC083-298A-478E-B4C9-46FA29B4711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E2C8F" w14:textId="77777777" w:rsidR="00315874" w:rsidRDefault="00000000">
    <w:pPr>
      <w:jc w:val="right"/>
    </w:pPr>
    <w:r>
      <w:fldChar w:fldCharType="begin"/>
    </w:r>
    <w:r>
      <w:instrText>PAGE</w:instrText>
    </w:r>
    <w:r>
      <w:fldChar w:fldCharType="separate"/>
    </w:r>
    <w:r w:rsidR="00334664">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394B94" w14:textId="77777777" w:rsidR="008A5148" w:rsidRDefault="008A5148">
      <w:pPr>
        <w:spacing w:line="240" w:lineRule="auto"/>
      </w:pPr>
      <w:r>
        <w:separator/>
      </w:r>
    </w:p>
  </w:footnote>
  <w:footnote w:type="continuationSeparator" w:id="0">
    <w:p w14:paraId="209FD1ED" w14:textId="77777777" w:rsidR="008A5148" w:rsidRDefault="008A5148">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AB560B"/>
    <w:multiLevelType w:val="multilevel"/>
    <w:tmpl w:val="52422B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63CD0D20"/>
    <w:multiLevelType w:val="multilevel"/>
    <w:tmpl w:val="94A60BB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236674298">
    <w:abstractNumId w:val="1"/>
  </w:num>
  <w:num w:numId="2" w16cid:durableId="10877317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5874"/>
    <w:rsid w:val="0009241B"/>
    <w:rsid w:val="000C6A13"/>
    <w:rsid w:val="001A0717"/>
    <w:rsid w:val="0021239A"/>
    <w:rsid w:val="00315874"/>
    <w:rsid w:val="00334664"/>
    <w:rsid w:val="00494A41"/>
    <w:rsid w:val="00607B56"/>
    <w:rsid w:val="007900D9"/>
    <w:rsid w:val="008047B7"/>
    <w:rsid w:val="008A5148"/>
    <w:rsid w:val="00A62E1D"/>
    <w:rsid w:val="00E2710F"/>
    <w:rsid w:val="00F93170"/>
  </w:rsids>
  <m:mathPr>
    <m:mathFont m:val="Cambria Math"/>
    <m:brkBin m:val="before"/>
    <m:brkBinSub m:val="--"/>
    <m:smallFrac m:val="0"/>
    <m:dispDef/>
    <m:lMargin m:val="0"/>
    <m:rMargin m:val="0"/>
    <m:defJc m:val="centerGroup"/>
    <m:wrapIndent m:val="1440"/>
    <m:intLim m:val="subSup"/>
    <m:naryLim m:val="undOvr"/>
  </m:mathPr>
  <w:themeFontLang w:val="ro-M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1CE986"/>
  <w15:docId w15:val="{9432D7FC-DBEA-4160-BED6-85F104378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o" w:eastAsia="ro-MD"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ipn.md/guvernul-aloca-192-de-milioane-de-lei-pentru-concediile-nefolosite-ale-bugetarilor/?fsp_sid=22512&amp;fbclid=IwY2xjawSWUc1leHRuA2FlbQIxMQBzcnRjBmFwcF9pZBAyMjIwMzkxNzg4MjAwODkyAAEek0ugprpTnf0b2a4FAssEjNvOqrN_qjifx7cnrF-v29ddCshoUen56Mg4aWs_aem_Abx7jMQ-gTaJw58R55EtGQ&amp;__cf_chl_tk=dYZ4CJwEotIv5s_5_68j_NBeFbIAfy4zWC8qHH64XaY-1782731018-1.0.1.1-23WaNKX4DXcnB2R1wPJ7OJMrxUDupGkQhWh.CPJTItU" TargetMode="External"/><Relationship Id="rId13" Type="http://schemas.openxmlformats.org/officeDocument/2006/relationships/hyperlink" Target="https://ipn.md/guvernul-aloca-192-de-milioane-de-lei-pentru-concediile-nefolosite-ale-bugetarilor/?fsp_sid=22512&amp;fbclid=IwY2xjawSWUc1leHRuA2FlbQIxMQBzcnRjBmFwcF9pZBAyMjIwMzkxNzg4MjAwODkyAAEek0ugprpTnf0b2a4FAssEjNvOqrN_qjifx7cnrF-v29ddCshoUen56Mg4aWs_aem_Abx7jMQ-gTaJw58R55EtGQ&amp;__cf_chl_tk=dYZ4CJwEotIv5s_5_68j_NBeFbIAfy4zWC8qHH64XaY-1782731018-1.0.1.1-23WaNKX4DXcnB2R1wPJ7OJMrxUDupGkQhWh.CPJTIt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legis.md/cautare/getResults?doc_id=154910&amp;lang=ro"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pn.md/guvernul-aloca-192-de-milioane-de-lei-pentru-concediile-nefolosite-ale-bugetarilor/?fsp_sid=22512&amp;fbclid=IwY2xjawSWUc1leHRuA2FlbQIxMQBzcnRjBmFwcF9pZBAyMjIwMzkxNzg4MjAwODkyAAEek0ugprpTnf0b2a4FAssEjNvOqrN_qjifx7cnrF-v29ddCshoUen56Mg4aWs_aem_Abx7jMQ-gTaJw58R55EtGQ&amp;__cf_chl_tk=dYZ4CJwEotIv5s_5_68j_NBeFbIAfy4zWC8qHH64XaY-1782731018-1.0.1.1-23WaNKX4DXcnB2R1wPJ7OJMrxUDupGkQhWh.CPJTItU"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sindicate.md/2026/06/29/reducerea-duratei-concediului-de-odihna-anual-nu-este-o-solutie-pozitia-sindicatelor-privind-propunerea-de-modificare-a-codului-muncii/" TargetMode="External"/><Relationship Id="rId4" Type="http://schemas.openxmlformats.org/officeDocument/2006/relationships/settings" Target="settings.xml"/><Relationship Id="rId9" Type="http://schemas.openxmlformats.org/officeDocument/2006/relationships/hyperlink" Target="https://www.legis.md/cautare/getResults?doc_id=154910&amp;lang=ro" TargetMode="External"/><Relationship Id="rId14" Type="http://schemas.openxmlformats.org/officeDocument/2006/relationships/hyperlink" Target="https://www.legis.md/cautare/getResults?doc_id=154910&amp;lang=ro"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87AE79-4D2F-4B88-BCCD-8453E83BB8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272</Pages>
  <Words>68074</Words>
  <Characters>388023</Characters>
  <Application>Microsoft Office Word</Application>
  <DocSecurity>0</DocSecurity>
  <Lines>3233</Lines>
  <Paragraphs>910</Paragraphs>
  <ScaleCrop>false</ScaleCrop>
  <Company/>
  <LinksUpToDate>false</LinksUpToDate>
  <CharactersWithSpaces>455187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Snejana.Turcanu</dc:creator>
  <cp:lastModifiedBy>Direcția Politici în Domeniul Raporturi de Muncă</cp:lastModifiedBy>
  <cp:revision>2</cp:revision>
  <dcterms:created xsi:type="dcterms:W3CDTF">2026-10-16T13:57:00Z</dcterms:created>
  <dcterms:modified xsi:type="dcterms:W3CDTF">2026-10-16T13:57:00Z</dcterms:modified>
</cp:coreProperties>
</file>