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C70910" w14:textId="77777777" w:rsidR="00B2257C" w:rsidRPr="00AE0442" w:rsidRDefault="00E1204F">
      <w:pPr>
        <w:pBdr>
          <w:top w:val="none" w:sz="0" w:space="0" w:color="000000"/>
          <w:left w:val="none" w:sz="0" w:space="0" w:color="000000"/>
          <w:bottom w:val="none" w:sz="0" w:space="0" w:color="000000"/>
          <w:right w:val="none" w:sz="0" w:space="0" w:color="000000"/>
        </w:pBdr>
        <w:tabs>
          <w:tab w:val="left" w:pos="884"/>
          <w:tab w:val="left" w:pos="1196"/>
        </w:tabs>
        <w:ind w:firstLine="0"/>
        <w:jc w:val="center"/>
        <w:rPr>
          <w:b/>
          <w:bCs/>
          <w:color w:val="000000" w:themeColor="text1"/>
          <w:sz w:val="24"/>
          <w:szCs w:val="24"/>
        </w:rPr>
      </w:pPr>
      <w:r w:rsidRPr="00AE0442">
        <w:rPr>
          <w:b/>
          <w:bCs/>
          <w:color w:val="000000" w:themeColor="text1"/>
          <w:sz w:val="24"/>
          <w:szCs w:val="24"/>
        </w:rPr>
        <w:t>TABELUL DE SINTEZĂ</w:t>
      </w:r>
    </w:p>
    <w:p w14:paraId="14C70911" w14:textId="77777777" w:rsidR="00B2257C" w:rsidRPr="00AE0442" w:rsidRDefault="00E1204F">
      <w:pPr>
        <w:pBdr>
          <w:top w:val="none" w:sz="0" w:space="0" w:color="000000"/>
          <w:left w:val="none" w:sz="0" w:space="0" w:color="000000"/>
          <w:bottom w:val="none" w:sz="0" w:space="0" w:color="000000"/>
          <w:right w:val="none" w:sz="0" w:space="0" w:color="000000"/>
        </w:pBdr>
        <w:tabs>
          <w:tab w:val="left" w:pos="884"/>
          <w:tab w:val="left" w:pos="1196"/>
        </w:tabs>
        <w:ind w:firstLine="0"/>
        <w:jc w:val="center"/>
        <w:rPr>
          <w:b/>
          <w:bCs/>
          <w:color w:val="000000" w:themeColor="text1"/>
          <w:sz w:val="24"/>
          <w:szCs w:val="24"/>
        </w:rPr>
      </w:pPr>
      <w:r w:rsidRPr="00AE0442">
        <w:rPr>
          <w:b/>
          <w:bCs/>
          <w:color w:val="000000" w:themeColor="text1"/>
          <w:sz w:val="24"/>
          <w:szCs w:val="24"/>
        </w:rPr>
        <w:t>la proiectul Ordinului privind modificarea Regulamentului cu privire la selectarea</w:t>
      </w:r>
    </w:p>
    <w:p w14:paraId="14C70912" w14:textId="77777777" w:rsidR="00B2257C" w:rsidRPr="00AE0442" w:rsidRDefault="00E1204F">
      <w:pPr>
        <w:pBdr>
          <w:top w:val="none" w:sz="0" w:space="0" w:color="000000"/>
          <w:left w:val="none" w:sz="0" w:space="0" w:color="000000"/>
          <w:bottom w:val="none" w:sz="0" w:space="0" w:color="000000"/>
          <w:right w:val="none" w:sz="0" w:space="0" w:color="000000"/>
        </w:pBdr>
        <w:tabs>
          <w:tab w:val="left" w:pos="884"/>
          <w:tab w:val="left" w:pos="1196"/>
        </w:tabs>
        <w:ind w:firstLine="0"/>
        <w:jc w:val="center"/>
        <w:rPr>
          <w:b/>
          <w:bCs/>
          <w:color w:val="000000" w:themeColor="text1"/>
          <w:sz w:val="24"/>
          <w:szCs w:val="24"/>
        </w:rPr>
      </w:pPr>
      <w:r w:rsidRPr="00AE0442">
        <w:rPr>
          <w:b/>
          <w:bCs/>
          <w:color w:val="000000" w:themeColor="text1"/>
          <w:sz w:val="24"/>
          <w:szCs w:val="24"/>
        </w:rPr>
        <w:t>și achiziția manualelor școlare, aprobat prin Ordinul ministrului</w:t>
      </w:r>
    </w:p>
    <w:p w14:paraId="14C70913" w14:textId="77777777" w:rsidR="00B2257C" w:rsidRPr="00AE0442" w:rsidRDefault="00E1204F">
      <w:pPr>
        <w:pBdr>
          <w:top w:val="none" w:sz="0" w:space="0" w:color="000000"/>
          <w:left w:val="none" w:sz="0" w:space="0" w:color="000000"/>
          <w:bottom w:val="none" w:sz="0" w:space="0" w:color="000000"/>
          <w:right w:val="none" w:sz="0" w:space="0" w:color="000000"/>
        </w:pBdr>
        <w:tabs>
          <w:tab w:val="left" w:pos="884"/>
          <w:tab w:val="left" w:pos="1196"/>
        </w:tabs>
        <w:spacing w:after="280"/>
        <w:ind w:firstLine="0"/>
        <w:jc w:val="center"/>
        <w:rPr>
          <w:b/>
          <w:bCs/>
          <w:color w:val="000000" w:themeColor="text1"/>
          <w:sz w:val="24"/>
          <w:szCs w:val="24"/>
        </w:rPr>
      </w:pPr>
      <w:r w:rsidRPr="00AE0442">
        <w:rPr>
          <w:b/>
          <w:bCs/>
          <w:color w:val="000000" w:themeColor="text1"/>
          <w:sz w:val="24"/>
          <w:szCs w:val="24"/>
        </w:rPr>
        <w:t>educației și cercetării nr. 300/2022</w:t>
      </w:r>
    </w:p>
    <w:p w14:paraId="14C70914" w14:textId="77777777" w:rsidR="00B2257C" w:rsidRPr="00AE0442" w:rsidRDefault="00B2257C">
      <w:pPr>
        <w:pBdr>
          <w:top w:val="none" w:sz="0" w:space="0" w:color="000000"/>
          <w:left w:val="none" w:sz="0" w:space="0" w:color="000000"/>
          <w:bottom w:val="none" w:sz="0" w:space="0" w:color="000000"/>
          <w:right w:val="none" w:sz="0" w:space="0" w:color="000000"/>
        </w:pBdr>
        <w:tabs>
          <w:tab w:val="left" w:pos="884"/>
          <w:tab w:val="left" w:pos="1196"/>
        </w:tabs>
        <w:ind w:firstLine="0"/>
        <w:rPr>
          <w:color w:val="000000" w:themeColor="text1"/>
          <w:sz w:val="24"/>
          <w:szCs w:val="24"/>
        </w:rPr>
      </w:pPr>
    </w:p>
    <w:tbl>
      <w:tblPr>
        <w:tblStyle w:val="a"/>
        <w:tblW w:w="14520"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265"/>
        <w:gridCol w:w="705"/>
        <w:gridCol w:w="6720"/>
        <w:gridCol w:w="4830"/>
      </w:tblGrid>
      <w:tr w:rsidR="00AE0442" w:rsidRPr="00AE0442" w14:paraId="14C7091B" w14:textId="77777777">
        <w:trPr>
          <w:trHeight w:val="829"/>
          <w:tblHeader/>
        </w:trPr>
        <w:tc>
          <w:tcPr>
            <w:tcW w:w="226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4C70915"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color w:val="000000" w:themeColor="text1"/>
                <w:sz w:val="24"/>
                <w:szCs w:val="24"/>
              </w:rPr>
            </w:pPr>
            <w:r w:rsidRPr="00AE0442">
              <w:rPr>
                <w:rFonts w:ascii="Times New Roman" w:eastAsia="Times New Roman" w:hAnsi="Times New Roman" w:cs="Times New Roman"/>
                <w:b/>
                <w:bCs/>
                <w:color w:val="000000" w:themeColor="text1"/>
                <w:sz w:val="24"/>
                <w:szCs w:val="24"/>
              </w:rPr>
              <w:t>Participantul la avizare, consultare publică, expertizare</w:t>
            </w:r>
          </w:p>
        </w:tc>
        <w:tc>
          <w:tcPr>
            <w:tcW w:w="705"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14C70916"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color w:val="000000" w:themeColor="text1"/>
                <w:sz w:val="24"/>
                <w:szCs w:val="24"/>
              </w:rPr>
            </w:pPr>
            <w:r w:rsidRPr="00AE0442">
              <w:rPr>
                <w:rFonts w:ascii="Times New Roman" w:eastAsia="Times New Roman" w:hAnsi="Times New Roman" w:cs="Times New Roman"/>
                <w:b/>
                <w:bCs/>
                <w:color w:val="000000" w:themeColor="text1"/>
                <w:sz w:val="24"/>
                <w:szCs w:val="24"/>
              </w:rPr>
              <w:t>Nr. crt.</w:t>
            </w:r>
          </w:p>
        </w:tc>
        <w:tc>
          <w:tcPr>
            <w:tcW w:w="6720"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14C70917" w14:textId="77777777" w:rsidR="00B2257C" w:rsidRPr="00AE0442" w:rsidRDefault="00E1204F">
            <w:pPr>
              <w:pBdr>
                <w:top w:val="none" w:sz="0" w:space="0" w:color="000000"/>
                <w:left w:val="none" w:sz="0" w:space="0" w:color="000000"/>
                <w:bottom w:val="none" w:sz="0" w:space="0" w:color="000000"/>
                <w:right w:val="none" w:sz="0" w:space="0" w:color="000000"/>
              </w:pBdr>
              <w:tabs>
                <w:tab w:val="left" w:pos="884"/>
                <w:tab w:val="left" w:pos="1196"/>
              </w:tabs>
              <w:ind w:firstLine="0"/>
              <w:jc w:val="center"/>
              <w:rPr>
                <w:rFonts w:ascii="Times New Roman" w:eastAsia="Times New Roman" w:hAnsi="Times New Roman" w:cs="Times New Roman"/>
                <w:b/>
                <w:bCs/>
                <w:color w:val="000000" w:themeColor="text1"/>
                <w:sz w:val="24"/>
                <w:szCs w:val="24"/>
              </w:rPr>
            </w:pPr>
            <w:r w:rsidRPr="00AE0442">
              <w:rPr>
                <w:rFonts w:ascii="Times New Roman" w:eastAsia="Times New Roman" w:hAnsi="Times New Roman" w:cs="Times New Roman"/>
                <w:b/>
                <w:bCs/>
                <w:color w:val="000000" w:themeColor="text1"/>
                <w:sz w:val="24"/>
                <w:szCs w:val="24"/>
              </w:rPr>
              <w:t>Conținutul obiecției,</w:t>
            </w:r>
          </w:p>
          <w:p w14:paraId="14C70918"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color w:val="000000" w:themeColor="text1"/>
                <w:sz w:val="24"/>
                <w:szCs w:val="24"/>
              </w:rPr>
            </w:pPr>
            <w:r w:rsidRPr="00AE0442">
              <w:rPr>
                <w:rFonts w:ascii="Times New Roman" w:eastAsia="Times New Roman" w:hAnsi="Times New Roman" w:cs="Times New Roman"/>
                <w:b/>
                <w:bCs/>
                <w:color w:val="000000" w:themeColor="text1"/>
                <w:sz w:val="24"/>
                <w:szCs w:val="24"/>
              </w:rPr>
              <w:t>propunerii, recomandării, concluziei</w:t>
            </w:r>
          </w:p>
        </w:tc>
        <w:tc>
          <w:tcPr>
            <w:tcW w:w="4830"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14C70919" w14:textId="77777777" w:rsidR="00B2257C" w:rsidRPr="00AE0442" w:rsidRDefault="00E1204F">
            <w:pPr>
              <w:pBdr>
                <w:top w:val="none" w:sz="0" w:space="0" w:color="000000"/>
                <w:left w:val="none" w:sz="0" w:space="0" w:color="000000"/>
                <w:bottom w:val="none" w:sz="0" w:space="0" w:color="000000"/>
                <w:right w:val="none" w:sz="0" w:space="0" w:color="000000"/>
              </w:pBdr>
              <w:tabs>
                <w:tab w:val="left" w:pos="884"/>
                <w:tab w:val="left" w:pos="1196"/>
              </w:tabs>
              <w:ind w:firstLine="0"/>
              <w:jc w:val="center"/>
              <w:rPr>
                <w:rFonts w:ascii="Times New Roman" w:eastAsia="Times New Roman" w:hAnsi="Times New Roman" w:cs="Times New Roman"/>
                <w:b/>
                <w:bCs/>
                <w:color w:val="000000" w:themeColor="text1"/>
                <w:sz w:val="24"/>
                <w:szCs w:val="24"/>
              </w:rPr>
            </w:pPr>
            <w:r w:rsidRPr="00AE0442">
              <w:rPr>
                <w:rFonts w:ascii="Times New Roman" w:eastAsia="Times New Roman" w:hAnsi="Times New Roman" w:cs="Times New Roman"/>
                <w:b/>
                <w:bCs/>
                <w:color w:val="000000" w:themeColor="text1"/>
                <w:sz w:val="24"/>
                <w:szCs w:val="24"/>
              </w:rPr>
              <w:t>Argumentarea</w:t>
            </w:r>
          </w:p>
          <w:p w14:paraId="14C7091A"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color w:val="000000" w:themeColor="text1"/>
                <w:sz w:val="24"/>
                <w:szCs w:val="24"/>
              </w:rPr>
            </w:pPr>
            <w:r w:rsidRPr="00AE0442">
              <w:rPr>
                <w:rFonts w:ascii="Times New Roman" w:eastAsia="Times New Roman" w:hAnsi="Times New Roman" w:cs="Times New Roman"/>
                <w:b/>
                <w:bCs/>
                <w:color w:val="000000" w:themeColor="text1"/>
                <w:sz w:val="24"/>
                <w:szCs w:val="24"/>
              </w:rPr>
              <w:t>autorului proiectului</w:t>
            </w:r>
          </w:p>
        </w:tc>
      </w:tr>
      <w:tr w:rsidR="00AE0442" w:rsidRPr="00AE0442" w14:paraId="14C7091D" w14:textId="77777777">
        <w:trPr>
          <w:trHeight w:val="269"/>
        </w:trPr>
        <w:tc>
          <w:tcPr>
            <w:tcW w:w="14520" w:type="dxa"/>
            <w:gridSpan w:val="4"/>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91C"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Avizare și consultare publică</w:t>
            </w:r>
          </w:p>
        </w:tc>
      </w:tr>
      <w:tr w:rsidR="00AE0442" w:rsidRPr="00AE0442" w14:paraId="14C70923" w14:textId="77777777">
        <w:trPr>
          <w:trHeight w:val="2130"/>
        </w:trPr>
        <w:tc>
          <w:tcPr>
            <w:tcW w:w="2265" w:type="dxa"/>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91E"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Editura PRUT (Olga Stanciu, director)</w:t>
            </w: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91F"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1</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920"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4 lit. d¹) și pct. 69¹ – se solicită excluderea prevederilor privind prezentarea, la decizia operatorilor economici, a 25% din conținutul proiectului de manual pentru a obține recomandările evaluatorilor.</w:t>
            </w:r>
          </w:p>
          <w:p w14:paraId="14C70921"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Argumentare: prevederile contravin principiului concurenței loiale și egalității de tratament; evaluatorii riscă o predispoziție favorabilă față de manuscrisul deja cunoscut, la a cărui îmbunătățire au contribuit; participanții ale căror lucrări nu au beneficiat de recomandări prealabile ar fi dezavantajați.</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922"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Se acceptă</w:t>
            </w:r>
          </w:p>
        </w:tc>
      </w:tr>
      <w:tr w:rsidR="00AE0442" w:rsidRPr="00AE0442" w14:paraId="14C70929"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924"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925"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2</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926"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4 lit. k¹) – excluderea sintagmei „comisii me</w:t>
            </w:r>
            <w:bookmarkStart w:id="0" w:name="_GoBack"/>
            <w:bookmarkEnd w:id="0"/>
            <w:r w:rsidRPr="00AE0442">
              <w:rPr>
                <w:rFonts w:ascii="Times New Roman" w:eastAsia="Times New Roman" w:hAnsi="Times New Roman" w:cs="Times New Roman"/>
                <w:color w:val="000000" w:themeColor="text1"/>
                <w:sz w:val="24"/>
                <w:szCs w:val="24"/>
              </w:rPr>
              <w:t>todice din instituțiile de învățământ, consiliul elevilor, comitete părintești etc.”.</w:t>
            </w:r>
          </w:p>
          <w:p w14:paraId="14C70927"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Argumentare: Regulamentul instituie deja un mecanism profesional de evaluare (fișa-tip, caietul de sarcini, CNAM, evaluatori selectați, instruiți și remunerați); nu sunt clare criteriile de selectare a acestor structuri și valoarea juridică/metodologică a opiniilor lor; consiliile elevilor și comitetele părintești nu dispun de pregătirea de specialitate necesară; opiniile elevilor și părinților pot fi colectate în cadrul consultării publice, iar expertizarea tematică trebuie să rămână în competența experților naționali sau internaționali.</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928"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Se acceptă parțial. Sintagma „consiliul elevilor, comitete părintești etc.” a fost exclusă. </w:t>
            </w:r>
          </w:p>
        </w:tc>
      </w:tr>
      <w:tr w:rsidR="00AE0442" w:rsidRPr="00AE0442" w14:paraId="14C70931"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92A"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92B"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3</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92C"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6 lit. c) – excluderea formei de achiziție „manuscris cu drepturi de traducere, adaptare, reproducere, distribuire, închiriere, împrumut, comunicare publică, punere la dispoziția publicului, realizare de opere/manuale școlare derivate”.</w:t>
            </w:r>
          </w:p>
          <w:p w14:paraId="14C7092D"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lastRenderedPageBreak/>
              <w:t>Argumentare: manuscrisul este o versiune de lucru care poate diferi esențial de produsul final; nu este clară necesitatea dobândirii unui ansamblu atât de extins de drepturi patrimoniale asupra unui document de lucru; obiectul achiziției trebuie să fie manualul în forma finală, evaluată și aprobată.</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92E"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lastRenderedPageBreak/>
              <w:t xml:space="preserve">Se acceptă. </w:t>
            </w:r>
          </w:p>
          <w:p w14:paraId="14C7092F"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Pct. 6 lit. c) a fost reformulat și expus după cum urmează: </w:t>
            </w:r>
          </w:p>
          <w:p w14:paraId="14C70930" w14:textId="77777777" w:rsidR="00B2257C" w:rsidRPr="00AE0442" w:rsidRDefault="00E1204F">
            <w:pPr>
              <w:ind w:firstLine="0"/>
              <w:rPr>
                <w:rFonts w:ascii="Times New Roman" w:eastAsia="Times New Roman" w:hAnsi="Times New Roman" w:cs="Times New Roman"/>
                <w:color w:val="000000" w:themeColor="text1"/>
                <w:sz w:val="24"/>
                <w:szCs w:val="24"/>
                <w:highlight w:val="white"/>
              </w:rPr>
            </w:pPr>
            <w:r w:rsidRPr="00AE0442">
              <w:rPr>
                <w:rFonts w:ascii="Times New Roman" w:eastAsia="Times New Roman" w:hAnsi="Times New Roman" w:cs="Times New Roman"/>
                <w:color w:val="000000" w:themeColor="text1"/>
                <w:sz w:val="24"/>
                <w:szCs w:val="24"/>
              </w:rPr>
              <w:t>„</w:t>
            </w:r>
            <w:r w:rsidRPr="00AE0442">
              <w:rPr>
                <w:rFonts w:ascii="Times New Roman" w:eastAsia="Times New Roman" w:hAnsi="Times New Roman" w:cs="Times New Roman"/>
                <w:color w:val="000000" w:themeColor="text1"/>
                <w:sz w:val="24"/>
                <w:szCs w:val="24"/>
                <w:highlight w:val="white"/>
              </w:rPr>
              <w:t xml:space="preserve">c) conținut cu drepturi de traducere, adaptare, reproducere, distribuire, închiriere, împrumut, </w:t>
            </w:r>
            <w:r w:rsidRPr="00AE0442">
              <w:rPr>
                <w:rFonts w:ascii="Times New Roman" w:eastAsia="Times New Roman" w:hAnsi="Times New Roman" w:cs="Times New Roman"/>
                <w:color w:val="000000" w:themeColor="text1"/>
                <w:sz w:val="24"/>
                <w:szCs w:val="24"/>
                <w:highlight w:val="white"/>
              </w:rPr>
              <w:lastRenderedPageBreak/>
              <w:t>comunicare publică, punere la dispoziția publicului, realizare de opere/manuale școlare derivate</w:t>
            </w:r>
            <w:r w:rsidRPr="00AE0442">
              <w:rPr>
                <w:rFonts w:ascii="Times New Roman" w:eastAsia="Times New Roman" w:hAnsi="Times New Roman" w:cs="Times New Roman"/>
                <w:color w:val="000000" w:themeColor="text1"/>
                <w:sz w:val="24"/>
                <w:szCs w:val="24"/>
              </w:rPr>
              <w:t xml:space="preserve"> și printare”.</w:t>
            </w:r>
          </w:p>
        </w:tc>
      </w:tr>
      <w:tr w:rsidR="00AE0442" w:rsidRPr="00AE0442" w14:paraId="14C7093A"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932"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highlight w:val="white"/>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933"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4</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934"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bookmarkStart w:id="1" w:name="_a7yk3iwey9mp" w:colFirst="0" w:colLast="0"/>
            <w:bookmarkEnd w:id="1"/>
            <w:r w:rsidRPr="00AE0442">
              <w:rPr>
                <w:rFonts w:ascii="Times New Roman" w:eastAsia="Times New Roman" w:hAnsi="Times New Roman" w:cs="Times New Roman"/>
                <w:color w:val="000000" w:themeColor="text1"/>
                <w:sz w:val="24"/>
                <w:szCs w:val="24"/>
              </w:rPr>
              <w:t>Pct. 10 – excluderea sintagmei „sau de conținut”. Text propus: „10. În cazul sesizărilor privind erorile tehnice ale unui manual, Ministerul va solicita CNAM analiza problemei și identificarea, în comun cu editura, a soluțiilor/căilor de remediere. Editura va fi responsabilă de lichidarea, în termene proxime, a erorilor tehnice, cu suportarea cheltuielilor.”</w:t>
            </w:r>
          </w:p>
          <w:p w14:paraId="14C70935"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Argumentare: conținutul final este produsul unei proceduri instituționale (evaluatori, experți, pilotare, consultare publică, CNAM, ordinul ministrului), astfel încât răspunderea financiară exclusivă și automată a editurii pentru erori de conținut nu este justificată; noțiunea „eroare de conținut” este prea largă (modificări ale curriculumului, informații științifice noi, diferențe de interpretare); erorile tehnice (tipar, machetare, imprimare) pot fi atribuite obiectiv editurii, iar problemele de conținut trebuie analizate individual.</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936" w14:textId="26DDB54C" w:rsidR="00B2257C" w:rsidRPr="00AE0442" w:rsidRDefault="0011692E">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Nu se</w:t>
            </w:r>
            <w:r w:rsidR="00E1204F" w:rsidRPr="00AE0442">
              <w:rPr>
                <w:rFonts w:ascii="Times New Roman" w:eastAsia="Times New Roman" w:hAnsi="Times New Roman" w:cs="Times New Roman"/>
                <w:color w:val="000000" w:themeColor="text1"/>
                <w:sz w:val="24"/>
                <w:szCs w:val="24"/>
              </w:rPr>
              <w:t xml:space="preserve"> acceptă.</w:t>
            </w:r>
          </w:p>
          <w:p w14:paraId="3A4432FD" w14:textId="77777777" w:rsidR="00F86558" w:rsidRPr="00AE0442" w:rsidRDefault="00F86558" w:rsidP="00F86558">
            <w:pPr>
              <w:pStyle w:val="NormalWeb"/>
              <w:spacing w:before="0" w:beforeAutospacing="0" w:after="0" w:afterAutospacing="0"/>
              <w:jc w:val="both"/>
              <w:rPr>
                <w:rFonts w:ascii="Times New Roman" w:eastAsia="Times New Roman" w:hAnsi="Times New Roman" w:cs="Times New Roman"/>
                <w:color w:val="000000" w:themeColor="text1"/>
                <w:lang w:val="ro-MD"/>
              </w:rPr>
            </w:pPr>
            <w:r w:rsidRPr="00AE0442">
              <w:rPr>
                <w:rFonts w:ascii="Times New Roman" w:eastAsia="Times New Roman" w:hAnsi="Times New Roman" w:cs="Times New Roman"/>
                <w:color w:val="000000" w:themeColor="text1"/>
                <w:lang w:val="ro-MD"/>
              </w:rPr>
              <w:t>Evaluatorii, experții și CNAM verifică corespunderea cu criteriile și formulează recomandări, fără a prelua calitatea de autor; potrivit pct. 83 și 84, ofertantul își poate menține poziția prin tabelul de divergențe. Modificarea curriculumului și actualizarea conținutului sunt tratate distinct, la pct. 7 lit. b) și c), iar redactările neesențiale sunt excluse expres din noțiunea de modificare de conținut.</w:t>
            </w:r>
          </w:p>
          <w:p w14:paraId="6564DD43" w14:textId="342B7FC4" w:rsidR="00F86558" w:rsidRPr="00AE0442" w:rsidRDefault="00F86558" w:rsidP="00F86558">
            <w:pPr>
              <w:pStyle w:val="NormalWeb"/>
              <w:spacing w:before="0" w:beforeAutospacing="0" w:after="0" w:afterAutospacing="0"/>
              <w:jc w:val="both"/>
              <w:rPr>
                <w:rFonts w:ascii="Times New Roman" w:eastAsia="Times New Roman" w:hAnsi="Times New Roman" w:cs="Times New Roman"/>
                <w:color w:val="000000" w:themeColor="text1"/>
                <w:lang w:val="ro-MD"/>
              </w:rPr>
            </w:pPr>
            <w:r w:rsidRPr="00AE0442">
              <w:rPr>
                <w:rFonts w:ascii="Times New Roman" w:eastAsia="Times New Roman" w:hAnsi="Times New Roman" w:cs="Times New Roman"/>
                <w:color w:val="000000" w:themeColor="text1"/>
                <w:lang w:val="ro-MD"/>
              </w:rPr>
              <w:t>Determinant este faptul că, potrivit pct. 87, versiunea tradusă a manualului nu este evaluată în cadrul procedurii, editura fiind responsabilă de calitatea traducerii. Practica Ministerului a înregistrat cazuri de conținut deficient al manualelor traduse în limba rusă. Excluderea sintagmei „sau de conținut” ar lăsa aceste situații fără mecanism de remediere.</w:t>
            </w:r>
          </w:p>
          <w:p w14:paraId="14C70939" w14:textId="6C0BA0AF" w:rsidR="00B2257C" w:rsidRPr="00AE0442" w:rsidRDefault="0011692E" w:rsidP="0011692E">
            <w:pPr>
              <w:spacing w:after="80"/>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lang w:val="ro-MD"/>
              </w:rPr>
              <w:t xml:space="preserve">Totodată, </w:t>
            </w:r>
            <w:r w:rsidR="00E1204F" w:rsidRPr="00AE0442">
              <w:rPr>
                <w:rFonts w:ascii="Times New Roman" w:eastAsia="Times New Roman" w:hAnsi="Times New Roman" w:cs="Times New Roman"/>
                <w:color w:val="000000" w:themeColor="text1"/>
                <w:sz w:val="24"/>
                <w:szCs w:val="24"/>
                <w:lang w:val="ro-MD"/>
              </w:rPr>
              <w:t xml:space="preserve">punctul 10 se completează, după cuvântul „lichidarea”, cu textul „ în termeni proximi a erorilor”. </w:t>
            </w:r>
          </w:p>
        </w:tc>
      </w:tr>
      <w:tr w:rsidR="00AE0442" w:rsidRPr="00AE0442" w14:paraId="14C70940"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93B"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93C"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5</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93D"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30 – reformulare: CNAM examinează dosarele evaluatorilor și include evaluatorii selectați într-o listă unică, din care aceștia sunt selectați printr-un program aleatoriu (random).</w:t>
            </w:r>
          </w:p>
          <w:p w14:paraId="14C7093E"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Argumentare: pct. 30, 31, 41 lit. a), b), e) creează premise pentru trafic de influență și posibilități de influențare a rezultatelor evaluării.</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93F"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Nu se acceptă. Lista nu este omogenă. Un evaluator este selectat conform corespunderii ciclului de studii, disciplinei, limbii de predare, etc. Selectarea random ar neglija aceste criterii esențiale pentru asigurarea unei evaluări de calitate.</w:t>
            </w:r>
          </w:p>
        </w:tc>
      </w:tr>
      <w:tr w:rsidR="00AE0442" w:rsidRPr="00AE0442" w14:paraId="14C70948"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941"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942"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6</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943"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31 – excluderea sintagmei „membrii CNAM pot înainta propuneri de candidați care întrunesc criteriile/cerințele stabilite pentru completarea grupurilor de evaluatori”.</w:t>
            </w:r>
          </w:p>
          <w:p w14:paraId="14C70944"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Argumentare: vine în contradicție cu principiile de imparțialitate, transparență și șanse egale.</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945" w14:textId="77777777" w:rsidR="00B2257C" w:rsidRPr="00AE0442" w:rsidRDefault="00E1204F">
            <w:pPr>
              <w:ind w:firstLine="0"/>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Se acceptă parțial. </w:t>
            </w:r>
          </w:p>
          <w:p w14:paraId="14C70946" w14:textId="77777777" w:rsidR="00B2257C" w:rsidRPr="00AE0442" w:rsidRDefault="00E1204F">
            <w:pPr>
              <w:ind w:firstLine="0"/>
              <w:rPr>
                <w:rFonts w:ascii="Times New Roman" w:eastAsia="Times New Roman" w:hAnsi="Times New Roman" w:cs="Times New Roman"/>
                <w:color w:val="000000" w:themeColor="text1"/>
                <w:sz w:val="24"/>
                <w:szCs w:val="24"/>
                <w:highlight w:val="white"/>
              </w:rPr>
            </w:pPr>
            <w:r w:rsidRPr="00AE0442">
              <w:rPr>
                <w:rFonts w:ascii="Times New Roman" w:eastAsia="Times New Roman" w:hAnsi="Times New Roman" w:cs="Times New Roman"/>
                <w:color w:val="000000" w:themeColor="text1"/>
                <w:sz w:val="24"/>
                <w:szCs w:val="24"/>
                <w:highlight w:val="white"/>
              </w:rPr>
              <w:t>Pct. 31 se expune după cum urmează:</w:t>
            </w:r>
          </w:p>
          <w:p w14:paraId="14C70947" w14:textId="77777777" w:rsidR="00B2257C" w:rsidRPr="00AE0442" w:rsidRDefault="00E1204F">
            <w:pPr>
              <w:ind w:firstLine="0"/>
              <w:rPr>
                <w:rFonts w:ascii="Times New Roman" w:eastAsia="Times New Roman" w:hAnsi="Times New Roman" w:cs="Times New Roman"/>
                <w:color w:val="000000" w:themeColor="text1"/>
                <w:sz w:val="24"/>
                <w:szCs w:val="24"/>
                <w:highlight w:val="white"/>
              </w:rPr>
            </w:pPr>
            <w:r w:rsidRPr="00AE0442">
              <w:rPr>
                <w:rFonts w:ascii="Times New Roman" w:eastAsia="Times New Roman" w:hAnsi="Times New Roman" w:cs="Times New Roman"/>
                <w:color w:val="000000" w:themeColor="text1"/>
                <w:sz w:val="24"/>
                <w:szCs w:val="24"/>
                <w:highlight w:val="white"/>
              </w:rPr>
              <w:t>„31. Pe parcursul evaluării dosarelor, în cazul identificării numărului insuficient de candidați, participanți în concurs la anumite discipline școlare, doar după expirarea termenului pentru depunerea dosarelor, membrii CNAM, pot înainta propuneri de candidați care întrunesc criteriile/ cerințele stabilite pentru completarea grupurilor de evaluatori.</w:t>
            </w:r>
          </w:p>
        </w:tc>
      </w:tr>
      <w:tr w:rsidR="00AE0442" w:rsidRPr="00AE0442" w14:paraId="14C7094E"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949"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highlight w:val="white"/>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94A"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7</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94B"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43 – obiecție: vine în contradicție cu pct. 41 lit. c) și e) și creează oportunități pentru influențarea rezultatelor finale ale evaluării (cu referire la discrepanța de 15 puncte față de evaluările celorlalți membri ai comisiei).</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94C"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Nu se acceptă. </w:t>
            </w:r>
          </w:p>
          <w:p w14:paraId="14C7094D"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43 nu contrazice pct. 41. pct. 4 lit. k^1) și k^2). Acestea se aplică doar după ce procedura de evaluare a fost finalizată și doar pentru manualul declarat câștigător.</w:t>
            </w:r>
          </w:p>
        </w:tc>
      </w:tr>
      <w:tr w:rsidR="00AE0442" w:rsidRPr="00AE0442" w14:paraId="14C70956"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94F"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950"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8</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951"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Cap. III – introducerea responsabilității evaluatorilor pentru evaluare neconformă, netransparentă și/sau neargumentată. Text propus: „În cazul în care se va constata la ședința comună a grupului de evaluatori că unul din evaluatori a acordat un punctaj cu 15 pct. mai mare sau mai mic decât ceilalți evaluatori, fără a aduce argumente științifice, metodologice etc. solide, aceasta poate constitui temei pentru descalificarea evaluatorului și anularea contractului de prestări servicii, ceea ce va atrage după sine neachitarea serviciilor prestate neconform și excluderea din baza de date a evaluatorilor”. Aceleași consecințe – pentru evaluatorii care oferă evaluări subiective, demonstrabile de editură în procesul de contestație.</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952" w14:textId="77777777" w:rsidR="00B2257C" w:rsidRPr="00AE0442" w:rsidRDefault="00E1204F">
            <w:pPr>
              <w:pBdr>
                <w:top w:val="nil"/>
                <w:left w:val="nil"/>
                <w:bottom w:val="nil"/>
                <w:right w:val="nil"/>
                <w:between w:val="nil"/>
              </w:pBdr>
              <w:ind w:firstLine="0"/>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Se acceptă.</w:t>
            </w:r>
          </w:p>
          <w:p w14:paraId="14C70953" w14:textId="77777777" w:rsidR="00B2257C" w:rsidRPr="00AE0442" w:rsidRDefault="00E1204F">
            <w:pPr>
              <w:pBdr>
                <w:top w:val="nil"/>
                <w:left w:val="nil"/>
                <w:bottom w:val="nil"/>
                <w:right w:val="nil"/>
                <w:between w:val="nil"/>
              </w:pBdr>
              <w:ind w:firstLine="0"/>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48 se expune după cum urmează:</w:t>
            </w:r>
          </w:p>
          <w:p w14:paraId="14C70954" w14:textId="77777777" w:rsidR="00B2257C" w:rsidRPr="00AE0442" w:rsidRDefault="00E1204F">
            <w:pPr>
              <w:pBdr>
                <w:top w:val="nil"/>
                <w:left w:val="nil"/>
                <w:bottom w:val="nil"/>
                <w:right w:val="nil"/>
                <w:between w:val="nil"/>
              </w:pBdr>
              <w:ind w:firstLine="567"/>
              <w:rPr>
                <w:rFonts w:ascii="Times New Roman" w:eastAsia="Times New Roman" w:hAnsi="Times New Roman" w:cs="Times New Roman"/>
                <w:color w:val="000000" w:themeColor="text1"/>
                <w:sz w:val="24"/>
                <w:szCs w:val="24"/>
                <w:highlight w:val="white"/>
              </w:rPr>
            </w:pPr>
            <w:r w:rsidRPr="00AE0442">
              <w:rPr>
                <w:rFonts w:ascii="Times New Roman" w:eastAsia="Times New Roman" w:hAnsi="Times New Roman" w:cs="Times New Roman"/>
                <w:color w:val="000000" w:themeColor="text1"/>
                <w:sz w:val="24"/>
                <w:szCs w:val="24"/>
              </w:rPr>
              <w:t>„</w:t>
            </w:r>
            <w:r w:rsidRPr="00AE0442">
              <w:rPr>
                <w:rFonts w:ascii="Times New Roman" w:eastAsia="Times New Roman" w:hAnsi="Times New Roman" w:cs="Times New Roman"/>
                <w:color w:val="000000" w:themeColor="text1"/>
                <w:sz w:val="24"/>
                <w:szCs w:val="24"/>
                <w:highlight w:val="white"/>
              </w:rPr>
              <w:t xml:space="preserve"> În cazul în care se constată, de către CNAM sau de către experți consultați la decizia CNAM, că evaluatorul a acordat un punctaj eronat ori neargumentat științific și metodologic, precum și în cazul în care se dovedește că evaluatorul s-a aflat într-una dintre situațiile prevăzute la pct. 27 lit. a)–c) și nu a declarat-o potrivit pct. 38¹, contractul de prestări servicii se reziliază, serviciile prestate neconform nu se achită, iar evaluatorul se exclude din baza de date a evaluatorilor. Decizia CNAM se adoptă motivat, în scris, și se comunică evaluatorului în termen de 3 zile lucrătoare. Excluderea operează pentru un termen de 3 ani; în cazul declarației false privind situațiile de la pct. 27 lit. a)–c) — definitiv.</w:t>
            </w:r>
            <w:r w:rsidRPr="00AE0442">
              <w:rPr>
                <w:rFonts w:ascii="Times New Roman" w:eastAsia="Times New Roman" w:hAnsi="Times New Roman" w:cs="Times New Roman"/>
                <w:color w:val="000000" w:themeColor="text1"/>
                <w:sz w:val="24"/>
                <w:szCs w:val="24"/>
              </w:rPr>
              <w:t>.”</w:t>
            </w:r>
          </w:p>
          <w:p w14:paraId="14C70955" w14:textId="77777777" w:rsidR="00B2257C" w:rsidRPr="00AE0442" w:rsidRDefault="00B2257C">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p>
        </w:tc>
      </w:tr>
      <w:tr w:rsidR="00AE0442" w:rsidRPr="00AE0442" w14:paraId="14C7095B"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957"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958"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9</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959"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81 lit. a) – solicitare de clarificare: în cazul reevaluării de către alți evaluatori, ce se întâmplă cu prima echipă de evaluare, este ea plătită din bani publici și care este limita costurilor suportate de stat pentru evaluare în cadrul unui lot; în cazul evaluărilor repetate, plățile ar putea depăși onorariul autorilor.</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95A"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Clarificare. Este achitată doar în cazul în care nu se încadrează în prevederile pct. 48.  </w:t>
            </w:r>
          </w:p>
        </w:tc>
      </w:tr>
      <w:tr w:rsidR="00AE0442" w:rsidRPr="00AE0442" w14:paraId="14C70963"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95C"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95D"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10</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95E"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Cap. II (competențele CNAM) – adăugarea unui punct prin care CNAM decide, în situații de discrepanță mare de punctaj, în baza argumentelor membrilor comisiilor de evaluare și a contestațiilor editurilor (argumentate științific, metodologic etc.), încetarea contractului de prestări servicii cu evaluatorul care a depunctat sau a punctat excesiv o ofertă și/sau a oferit servicii necalificate, care generează reevaluări, deplasări de termene și plăți dublate.</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95F"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Se acceptă. </w:t>
            </w:r>
          </w:p>
          <w:p w14:paraId="14C70960" w14:textId="77777777" w:rsidR="00B2257C" w:rsidRPr="00AE0442" w:rsidRDefault="00E1204F">
            <w:pPr>
              <w:ind w:firstLine="0"/>
              <w:rPr>
                <w:rFonts w:ascii="Times New Roman" w:eastAsia="Times New Roman" w:hAnsi="Times New Roman" w:cs="Times New Roman"/>
                <w:color w:val="000000" w:themeColor="text1"/>
                <w:sz w:val="24"/>
                <w:szCs w:val="24"/>
                <w:highlight w:val="white"/>
              </w:rPr>
            </w:pPr>
            <w:r w:rsidRPr="00AE0442">
              <w:rPr>
                <w:rFonts w:ascii="Times New Roman" w:eastAsia="Times New Roman" w:hAnsi="Times New Roman" w:cs="Times New Roman"/>
                <w:color w:val="000000" w:themeColor="text1"/>
                <w:sz w:val="24"/>
                <w:szCs w:val="24"/>
                <w:highlight w:val="white"/>
              </w:rPr>
              <w:t>Pct. 18 a fost copletat cu o literă nouă:</w:t>
            </w:r>
          </w:p>
          <w:p w14:paraId="14C70961" w14:textId="77777777" w:rsidR="00B2257C" w:rsidRPr="00AE0442" w:rsidRDefault="00E1204F">
            <w:pPr>
              <w:ind w:firstLine="0"/>
              <w:rPr>
                <w:rFonts w:ascii="Times New Roman" w:eastAsia="Times New Roman" w:hAnsi="Times New Roman" w:cs="Times New Roman"/>
                <w:color w:val="000000" w:themeColor="text1"/>
                <w:sz w:val="24"/>
                <w:szCs w:val="24"/>
                <w:highlight w:val="white"/>
              </w:rPr>
            </w:pPr>
            <w:bookmarkStart w:id="2" w:name="_d4euacayavz2" w:colFirst="0" w:colLast="0"/>
            <w:bookmarkEnd w:id="2"/>
            <w:r w:rsidRPr="00AE0442">
              <w:rPr>
                <w:rFonts w:ascii="Times New Roman" w:eastAsia="Times New Roman" w:hAnsi="Times New Roman" w:cs="Times New Roman"/>
                <w:color w:val="000000" w:themeColor="text1"/>
                <w:sz w:val="24"/>
                <w:szCs w:val="24"/>
                <w:highlight w:val="white"/>
              </w:rPr>
              <w:t>„h) decide asupra rezilierii contractului și/sau excluderii din baza de date a evaluatorilor pentru</w:t>
            </w:r>
            <w:r w:rsidRPr="00AE0442">
              <w:rPr>
                <w:rFonts w:ascii="Times New Roman" w:eastAsia="Times New Roman" w:hAnsi="Times New Roman" w:cs="Times New Roman"/>
                <w:color w:val="000000" w:themeColor="text1"/>
                <w:sz w:val="24"/>
                <w:szCs w:val="24"/>
              </w:rPr>
              <w:t xml:space="preserve"> care se constată că au acordat un punctaj eronat ori neargumentat științific și metodologic, conform pct. 48.”</w:t>
            </w:r>
          </w:p>
          <w:p w14:paraId="14C70962" w14:textId="77777777" w:rsidR="00B2257C" w:rsidRPr="00AE0442" w:rsidRDefault="00B2257C">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p>
        </w:tc>
      </w:tr>
      <w:tr w:rsidR="00AE0442" w:rsidRPr="00AE0442" w14:paraId="14C70969"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964"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965"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11</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966"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Prevederea responsabilităților evaluatorilor (menționate mai sus) și în contractul de prestări servicii încheiat cu evaluatorii.</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967"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Se acceptă.</w:t>
            </w:r>
          </w:p>
          <w:p w14:paraId="14C70968"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Răspunderea evaluatorului și consecințele acesteia sunt reglementate la pct. 48, în redacția subpct. 2.34; conținutul contractului se stabilește la încheierea acestuia, în afara Regulamentului.</w:t>
            </w:r>
          </w:p>
        </w:tc>
      </w:tr>
      <w:tr w:rsidR="00AE0442" w:rsidRPr="00AE0442" w14:paraId="14C7096E"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96A"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96B"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12</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96C"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70 – solicitare de precizare: „secretarul grupului de lucru pentru achiziții publice de manuale” este aceeași persoană cu funcționarul care exercită funcția de secretar al CNAM (pct. 15) sau este o altă persoană?</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96D"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Clarificare. Nu este specificat. Pot fi și diferite. CNAM are rolul de evaluare doar a factorului „Calitatea ofertei”. </w:t>
            </w:r>
          </w:p>
        </w:tc>
      </w:tr>
      <w:tr w:rsidR="00AE0442" w:rsidRPr="00AE0442" w14:paraId="14C70973"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96F"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970"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13</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971"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Secțiunea 5 (Depunerea, rezolvarea contestațiilor și stabilirea rezultatelor finale) – obiecție: poate crea un blocaj al tuturor proceselor și oportunitatea unor contestări nesfârșite; dacă va fi acceptată responsabilitatea evaluatorilor pentru o evaluare corectă, echidistantă și calificată, secțiunea poate rămâne în varianta existentă.</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972"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Recomandarea 8 a fost acceptată.</w:t>
            </w:r>
          </w:p>
        </w:tc>
      </w:tr>
      <w:tr w:rsidR="00AE0442" w:rsidRPr="00AE0442" w14:paraId="14C7097A"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974"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975"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14</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976"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Secțiunea 4 – completare cu un punct nou: „Ministerul Educației și Cercetării va compensa parțial munca prestată de editură și autori, </w:t>
            </w:r>
            <w:r w:rsidRPr="00AE0442">
              <w:rPr>
                <w:rFonts w:ascii="Times New Roman" w:eastAsia="Times New Roman" w:hAnsi="Times New Roman" w:cs="Times New Roman"/>
                <w:color w:val="000000" w:themeColor="text1"/>
                <w:sz w:val="24"/>
                <w:szCs w:val="24"/>
              </w:rPr>
              <w:lastRenderedPageBreak/>
              <w:t>în cazul în care achiziția este anulată la etape avansate din motive care nu țin de editură: 1) reevaluări repetate cu rezultate contradictorii sau opuse; 2) schimbări ale curriculumului, cu anularea/modificarea disciplinei pentru care s-a elaborat lucrarea; 3) anularea lotului de către MEC. Suma compensării – un salariu mediu lunar pe economie pentru o coală de autor (16 pagini în formatul solicitat).”</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977"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lastRenderedPageBreak/>
              <w:t>Nu se acceptă.</w:t>
            </w:r>
          </w:p>
          <w:p w14:paraId="14C70978"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lastRenderedPageBreak/>
              <w:t>1. Lipsa temeiului legal. Regimul anulării procedurii de achiziție și consecințele ei sunt reglementate exhaustiv de Legea nr. 131/2015. Un regulament departamental nu poate adăuga la lege o obligație pecuniară a autorității contractante față de ofertanți.</w:t>
            </w:r>
          </w:p>
          <w:p w14:paraId="14C70979"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2. Lipsa sursei de finanțare. Norma creează o cheltuială publică nouă, cu caracter contingent și nelimitat ca volum. Fundamentarea financiară și indicarea sursei sunt obligatorii. În absența lor, norma este inaplicabilă și expune MEC la constatări ale Curții de Conturi.</w:t>
            </w:r>
          </w:p>
        </w:tc>
      </w:tr>
      <w:tr w:rsidR="00AE0442" w:rsidRPr="00AE0442" w14:paraId="14C70984"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97B"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97C"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15</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97D"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Secțiunea 6 – completare cu un punct privind ajustarea și indexarea prețului: „Prețul total al contractului este cel ofertat la licitație, dar poate fi ajustat la data semnării, în cazul în care procedurile de evaluare și aprobare depășesc un an de la data ofertării prețului. Indexarea prețului contractului se va face în funcție de evoluția indicelui prețurilor de consum (inflație) și a costurilor la materiile prime (în special hârtia și cartonul de tipografie), dar și a costurilor serviciilor poligrafice, la solicitarea scrisă a editurii, însoțită de documentele justificative (extras BNS, oferte furnizori, facturi).”</w:t>
            </w:r>
          </w:p>
          <w:p w14:paraId="14C7097E"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Temei invocat: Legea nr. 325/2025 privind achizițiile publice și HG nr. 1129/2018 privind ajustarea periodică a valorii contractelor de achiziții publice cu executare continuă, încheiate pe un termen mai mare de un an.</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97F" w14:textId="77777777" w:rsidR="00B2257C" w:rsidRPr="00AE0442" w:rsidRDefault="00E1204F">
            <w:pPr>
              <w:ind w:firstLine="0"/>
              <w:rPr>
                <w:rFonts w:ascii="Times New Roman" w:eastAsia="Times New Roman" w:hAnsi="Times New Roman" w:cs="Times New Roman"/>
                <w:b/>
                <w:bCs/>
                <w:color w:val="000000" w:themeColor="text1"/>
                <w:sz w:val="24"/>
                <w:szCs w:val="24"/>
                <w:highlight w:val="white"/>
              </w:rPr>
            </w:pPr>
            <w:r w:rsidRPr="00AE0442">
              <w:rPr>
                <w:rFonts w:ascii="Times New Roman" w:eastAsia="Times New Roman" w:hAnsi="Times New Roman" w:cs="Times New Roman"/>
                <w:color w:val="000000" w:themeColor="text1"/>
                <w:sz w:val="24"/>
                <w:szCs w:val="24"/>
              </w:rPr>
              <w:t>Nu se acceptă.</w:t>
            </w:r>
          </w:p>
          <w:p w14:paraId="14C70980" w14:textId="77777777" w:rsidR="00B2257C" w:rsidRPr="00AE0442" w:rsidRDefault="00E1204F">
            <w:pPr>
              <w:spacing w:after="80"/>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Temeiul invocat nu este aplicabil. Hotărârea Guvernului nr. 1129/2018 reglementează, potrivit titlului și pct. 1, exclusiv ajustarea periodică a valorii contractelor de achiziții publice cu executare continuă, încheiate pe un termen mai mare de un an, iar art. 76 alin. (4) din Legea nr. 131/2015 privind achizițiile publice permite ajustarea periodică numai pentru aceeași categorie de contracte. Contractul de achiziție publică de manuale nu are executare continuă: obiectul său este livrarea unui tiraj determinat, într-un termen unic stabilit prin documentația de atribuire, iar realizarea lui se încadrează în limitele alocațiilor anuale, potrivit art. 76 alin. (1) teza finală din aceeași lege. Prin urmare, niciunul dintre cele două acte invocate nu constituie temei pentru mecanismul propus.</w:t>
            </w:r>
          </w:p>
          <w:p w14:paraId="14C70981" w14:textId="77777777" w:rsidR="00B2257C" w:rsidRPr="00AE0442" w:rsidRDefault="00E1204F">
            <w:pPr>
              <w:spacing w:after="80"/>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Mecanismul propus contravine regimului modificării contractului. Potrivit art. </w:t>
            </w:r>
            <w:r w:rsidRPr="00AE0442">
              <w:rPr>
                <w:rFonts w:ascii="Times New Roman" w:eastAsia="Times New Roman" w:hAnsi="Times New Roman" w:cs="Times New Roman"/>
                <w:color w:val="000000" w:themeColor="text1"/>
                <w:sz w:val="24"/>
                <w:szCs w:val="24"/>
              </w:rPr>
              <w:lastRenderedPageBreak/>
              <w:t>76 alin. (3) din Legea nr. 131/2015, se interzice modificarea oricărui element al contractului de achiziții publice încheiat dacă aceasta este de natură să schimbe condițiile ofertei care au constituit temei pentru selectarea acesteia și să majoreze valoarea ei. Prețul ofertei este factor de evaluare, cu ponderea de 10% din punctajul total, iar oferta câștigătoare se stabilește prin formula de la pct. 76 din Regulament. Majorarea prețului după atribuire ar modifica tocmai elementul punctat și ar schimba retroactiv raportul dintre ofertele evaluate: un ofertant care a câștigat printr-un preț mai mic ar ajunge, prin indexare, la un preț care, dacă ar fi fost ofertat inițial, nu i-ar fi adus atribuirea.</w:t>
            </w:r>
          </w:p>
          <w:p w14:paraId="14C70982" w14:textId="77777777" w:rsidR="00B2257C" w:rsidRPr="00AE0442" w:rsidRDefault="00E1204F">
            <w:pPr>
              <w:spacing w:after="80"/>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Formula propusă nu este nici verificabilă, nici plafonată. Indexarea după evoluția prețurilor la hârtie, carton și servicii poligrafice, pe baza unor oferte ale furnizorilor și facturi prezentate de editură, ar obliga autoritatea contractantă să administreze documente pe care nu le poate verifica și pe care ofertantul le selectează în funcție de propriul interes. Propunerea nu prevede nici plafon, nici perioadă de referință, nici sursă unică de date — spre deosebire de art. 76 alin. (7) pct. 2) din aceeași lege, care, în cazurile excepționale în care admite modificarea fără o nouă procedură, o limitează cumulativ la circumstanțe pe care autoritatea contractantă, acționând cu diligență, nu le-ar fi putut prevedea, la păstrarea naturii </w:t>
            </w:r>
            <w:r w:rsidRPr="00AE0442">
              <w:rPr>
                <w:rFonts w:ascii="Times New Roman" w:eastAsia="Times New Roman" w:hAnsi="Times New Roman" w:cs="Times New Roman"/>
                <w:color w:val="000000" w:themeColor="text1"/>
                <w:sz w:val="24"/>
                <w:szCs w:val="24"/>
              </w:rPr>
              <w:lastRenderedPageBreak/>
              <w:t>generale a contractului și la o creștere de cel mult 15% din valoarea inițială.</w:t>
            </w:r>
          </w:p>
          <w:p w14:paraId="14C70983" w14:textId="77777777" w:rsidR="00B2257C" w:rsidRPr="00AE0442" w:rsidRDefault="00E1204F">
            <w:pPr>
              <w:ind w:firstLine="0"/>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În consecință, Regulamentul nu instituie un mecanism de ajustare a prețului. Prețul contractului este cel din oferta desemnată câștigătoare, iar riscul evoluției costurilor pe durata procedurii revine ofertantului, care îl încorporează în preț la data depunerii ofertei. Situațiile excepționale rămân guvernate de art. 76 alin. (7) din Legea nr. 131/2015, aplicabil direct, fără a fi necesară reluarea lui în Regulament.</w:t>
            </w:r>
          </w:p>
        </w:tc>
      </w:tr>
      <w:tr w:rsidR="00AE0442" w:rsidRPr="00AE0442" w14:paraId="14C70989" w14:textId="77777777">
        <w:trPr>
          <w:trHeight w:val="143"/>
        </w:trPr>
        <w:tc>
          <w:tcPr>
            <w:tcW w:w="2265" w:type="dxa"/>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985"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lastRenderedPageBreak/>
              <w:t>Sergiu Cârlig</w:t>
            </w: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986"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16</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987"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Concluzie generală: proiectul conține îmbunătățiri importante – consolidarea transparenței evaluării (documentarea în proces-verbal a cauzelor divergențelor dintre evaluatori, obligativitatea argumentării modificării punctajului), detalierea Fișei de evaluare (descriptori diversificați, punctaje distribuite mai diferențiat), instruirea obligatorie a evaluatorilor și introducerea matricei de corelare curriculum–manual. Totodată, sunt semnalate vulnerabilitățile de mai jos.</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988"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Se ia act.</w:t>
            </w:r>
          </w:p>
        </w:tc>
      </w:tr>
      <w:tr w:rsidR="00AE0442" w:rsidRPr="00AE0442" w14:paraId="14C70992"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98A"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98B"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17</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98C"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4 lit. k¹) – consultarea publică să fie obligatorie, nu „la decizia CNAM”.</w:t>
            </w:r>
          </w:p>
          <w:p w14:paraId="14C7098D"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Argumentare: există riscul ca un proiect de manual să nu fie supus consultării publice, deoarece caracterul obligatoriu al acesteia nu este specificat.</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98E"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Se acceptă. </w:t>
            </w:r>
          </w:p>
          <w:p w14:paraId="14C7098F" w14:textId="77777777" w:rsidR="00B2257C" w:rsidRPr="00AE0442" w:rsidRDefault="00E1204F">
            <w:pPr>
              <w:ind w:firstLine="0"/>
              <w:rPr>
                <w:rFonts w:ascii="Times New Roman" w:eastAsia="Times New Roman" w:hAnsi="Times New Roman" w:cs="Times New Roman"/>
                <w:color w:val="000000" w:themeColor="text1"/>
                <w:sz w:val="24"/>
                <w:szCs w:val="24"/>
                <w:highlight w:val="white"/>
              </w:rPr>
            </w:pPr>
            <w:r w:rsidRPr="00AE0442">
              <w:rPr>
                <w:rFonts w:ascii="Times New Roman" w:eastAsia="Times New Roman" w:hAnsi="Times New Roman" w:cs="Times New Roman"/>
                <w:color w:val="000000" w:themeColor="text1"/>
                <w:sz w:val="24"/>
                <w:szCs w:val="24"/>
                <w:highlight w:val="white"/>
              </w:rPr>
              <w:t>Reformulat:</w:t>
            </w:r>
          </w:p>
          <w:p w14:paraId="14C70990"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„k¹) consultarea publică timp de 10 zile lucrătoare a proiectului de manual câștigător prin plasarea acestuia pe pagina web a Ministerului, observațiile fiind transmise în formă electronică, la adresa indicată în anunțul de consultare publică;</w:t>
            </w:r>
          </w:p>
          <w:p w14:paraId="14C70991"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k²) avizarea/expertizarea tematică (inclusiv caracterul nediscriminatoriu, implementarea noilor educații la disciplină), la decizia CNAM, de către experți naționali sau internaționali, </w:t>
            </w:r>
            <w:r w:rsidRPr="00AE0442">
              <w:rPr>
                <w:rFonts w:ascii="Times New Roman" w:eastAsia="Times New Roman" w:hAnsi="Times New Roman" w:cs="Times New Roman"/>
                <w:color w:val="000000" w:themeColor="text1"/>
                <w:sz w:val="24"/>
                <w:szCs w:val="24"/>
              </w:rPr>
              <w:lastRenderedPageBreak/>
              <w:t>comisii metodice din instituțiile de învățământ a proiectului de manual câștigător;”.</w:t>
            </w:r>
          </w:p>
        </w:tc>
      </w:tr>
      <w:tr w:rsidR="00AE0442" w:rsidRPr="00AE0442" w14:paraId="14C7099A"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993"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994"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18</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995"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4 lit. j¹) și pct. 18 lit. e¹) – obiecție: pilotarea „la decizia CNAM” este introdusă fără reguli privind durata, eșantionul de școli/elevi/profesori, instrumentele, criteriile, raportul de pilotare, publicarea rezultatelor și efectul juridic al rezultatului pilotării; în forma actuală, pilotarea poate deveni fie pur formală, fie un mecanism cu influență majoră asupra manualului, fără reguli prestabilite.</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996" w14:textId="77777777" w:rsidR="00B2257C" w:rsidRPr="00AE0442" w:rsidRDefault="00E1204F">
            <w:pPr>
              <w:ind w:firstLine="0"/>
              <w:rPr>
                <w:rFonts w:ascii="Times New Roman" w:eastAsia="Times New Roman" w:hAnsi="Times New Roman" w:cs="Times New Roman"/>
                <w:color w:val="000000" w:themeColor="text1"/>
                <w:sz w:val="24"/>
                <w:szCs w:val="24"/>
                <w:highlight w:val="white"/>
              </w:rPr>
            </w:pPr>
            <w:r w:rsidRPr="00AE0442">
              <w:rPr>
                <w:rFonts w:ascii="Times New Roman" w:eastAsia="Times New Roman" w:hAnsi="Times New Roman" w:cs="Times New Roman"/>
                <w:color w:val="000000" w:themeColor="text1"/>
                <w:sz w:val="24"/>
                <w:szCs w:val="24"/>
                <w:highlight w:val="white"/>
              </w:rPr>
              <w:t>Se acceptă.</w:t>
            </w:r>
          </w:p>
          <w:p w14:paraId="14C70997" w14:textId="77777777" w:rsidR="00B2257C" w:rsidRPr="00AE0442" w:rsidRDefault="00E1204F">
            <w:pPr>
              <w:ind w:firstLine="0"/>
              <w:rPr>
                <w:rFonts w:ascii="Times New Roman" w:eastAsia="Times New Roman" w:hAnsi="Times New Roman" w:cs="Times New Roman"/>
                <w:color w:val="000000" w:themeColor="text1"/>
                <w:sz w:val="24"/>
                <w:szCs w:val="24"/>
                <w:highlight w:val="white"/>
              </w:rPr>
            </w:pPr>
            <w:r w:rsidRPr="00AE0442">
              <w:rPr>
                <w:rFonts w:ascii="Times New Roman" w:eastAsia="Times New Roman" w:hAnsi="Times New Roman" w:cs="Times New Roman"/>
                <w:color w:val="000000" w:themeColor="text1"/>
                <w:sz w:val="24"/>
                <w:szCs w:val="24"/>
                <w:highlight w:val="white"/>
              </w:rPr>
              <w:t>Reformulat:</w:t>
            </w:r>
          </w:p>
          <w:p w14:paraId="14C70998" w14:textId="77777777" w:rsidR="00B2257C" w:rsidRPr="00AE0442" w:rsidRDefault="00E1204F">
            <w:pPr>
              <w:ind w:firstLine="0"/>
              <w:rPr>
                <w:rFonts w:ascii="Times New Roman" w:eastAsia="Times New Roman" w:hAnsi="Times New Roman" w:cs="Times New Roman"/>
                <w:color w:val="000000" w:themeColor="text1"/>
                <w:sz w:val="24"/>
                <w:szCs w:val="24"/>
                <w:highlight w:val="white"/>
              </w:rPr>
            </w:pPr>
            <w:r w:rsidRPr="00AE0442">
              <w:rPr>
                <w:rFonts w:ascii="Times New Roman" w:eastAsia="Times New Roman" w:hAnsi="Times New Roman" w:cs="Times New Roman"/>
                <w:color w:val="000000" w:themeColor="text1"/>
                <w:sz w:val="24"/>
                <w:szCs w:val="24"/>
                <w:highlight w:val="white"/>
              </w:rPr>
              <w:t xml:space="preserve">e^1) decide asupra necesității/posibilității pilotării proiectului de manual câștigător în înstituțiile de învățământ, precum și a perioadei și eșantionului de pilotare; </w:t>
            </w:r>
          </w:p>
          <w:p w14:paraId="14C70999" w14:textId="77777777" w:rsidR="00B2257C" w:rsidRPr="00AE0442" w:rsidRDefault="00B2257C">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p>
        </w:tc>
      </w:tr>
      <w:tr w:rsidR="00AE0442" w:rsidRPr="00AE0442" w14:paraId="14C7099F"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99B"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99C"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19</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99D"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15 – necorelare între tabelul comparativ și textul Regulamentului: sintagma „(preferabil coordonatorul unui grup de lucru de elaborare a curricula în vigoare)” apare doar în tabel. Propunere: excluderea sintagmei, deoarece nu a existat concurs deschis pentru aceste funcții, iar experții curriculari nu sunt în mod automat competenți pentru CNAM.</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99E"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Se acceptă.</w:t>
            </w:r>
          </w:p>
        </w:tc>
      </w:tr>
      <w:tr w:rsidR="00AE0442" w:rsidRPr="00AE0442" w14:paraId="14C709A6"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9A0"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9A1"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20</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9A2"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16 („Activitatea CNAM nu se remunerează”) – membrii CNAM să fie remunerați per oră de ședință, precum și pentru analiza contestațiilor sau elaborarea altor documente, la același cuantum cu cel prevăzut pentru experții evaluatori.</w:t>
            </w:r>
          </w:p>
          <w:p w14:paraId="14C709A3"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Argumentare: neremunerarea unei activități laborioase (prognoză, supraveghere, examinare, selectare) poate duce la analize superficiale și vulnerabilizează membrii în fața eventualelor presiuni.</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9A4"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Nu se acceptă. </w:t>
            </w:r>
          </w:p>
          <w:p w14:paraId="14C709A5"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Regulamentul aprobat prin ordin al ministrului nu poate institui forme de remunerare a persoanelor din sectorul bugetar — acestea se stabilesc exclusiv în condițiile Legii nr. 270/2018 privind sistemul unitar de salarizare în sectorul bugetar, prin act normativ de nivel corespunzător și cu sursă de finanțare identificată. Membrii CNAM exercită o funcție decizională în cadrul atribuțiilor de serviciu, spre deosebire de experții evaluatori, care prestează servicii contractuale pentru un produs măsurabil; echivalarea cuantumurilor nu are fundament funcțional. Riscurile invocate — analiza superficială și expunerea la presiuni — se contracarează prin dimensionarea sarcinii și prin măsuri de integritate, nu prin remunerare.</w:t>
            </w:r>
          </w:p>
        </w:tc>
      </w:tr>
      <w:tr w:rsidR="00AE0442" w:rsidRPr="00AE0442" w14:paraId="14C709AD"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9A7"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9A8"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21</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9A9"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21–27 – elaborarea și publicarea unei grile de selecție a evaluatorilor (criterii, ponderi, punctaje) și publicarea rezultatelor concursului; verificarea suplimentară a experților.</w:t>
            </w:r>
          </w:p>
          <w:p w14:paraId="14C709AA"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Argumentare: pct. 26 proclamă „profesionalism, transparență, nediscriminare, echidistanță”, dar nu există o grilă de punctaj pentru candidați; pct. 24 indică doar cine „are prioritate”, fără a arăta cum se compară candidații (de exemplu, un profesor cu grad superior și 25 de ani de experiență, un universitar doctor și un participant la elaborarea curriculumului).</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9AB" w14:textId="77777777" w:rsidR="00B2257C" w:rsidRPr="00AE0442" w:rsidRDefault="00E1204F">
            <w:pPr>
              <w:ind w:firstLine="0"/>
              <w:rPr>
                <w:rFonts w:ascii="Times New Roman" w:eastAsia="Times New Roman" w:hAnsi="Times New Roman" w:cs="Times New Roman"/>
                <w:color w:val="000000" w:themeColor="text1"/>
                <w:sz w:val="24"/>
                <w:szCs w:val="24"/>
                <w:highlight w:val="white"/>
              </w:rPr>
            </w:pPr>
            <w:r w:rsidRPr="00AE0442">
              <w:rPr>
                <w:rFonts w:ascii="Times New Roman" w:eastAsia="Times New Roman" w:hAnsi="Times New Roman" w:cs="Times New Roman"/>
                <w:color w:val="000000" w:themeColor="text1"/>
                <w:sz w:val="24"/>
                <w:szCs w:val="24"/>
              </w:rPr>
              <w:t xml:space="preserve">Conform modificării precedente a pct.  </w:t>
            </w:r>
            <w:r w:rsidRPr="00AE0442">
              <w:rPr>
                <w:rFonts w:ascii="Times New Roman" w:eastAsia="Times New Roman" w:hAnsi="Times New Roman" w:cs="Times New Roman"/>
                <w:color w:val="000000" w:themeColor="text1"/>
                <w:sz w:val="24"/>
                <w:szCs w:val="24"/>
                <w:highlight w:val="white"/>
              </w:rPr>
              <w:t>36. Identitatea evaluatorilor selectați este confidențială până la atribuirea avizului „Bun de tipar” și nu poate fi dezvăluită decât la solicitarea instanțelor de judecată/organelor abilitate cu funcții de control.</w:t>
            </w:r>
          </w:p>
          <w:p w14:paraId="14C709AC" w14:textId="77777777" w:rsidR="00B2257C" w:rsidRPr="00AE0442" w:rsidRDefault="00B2257C">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p>
        </w:tc>
      </w:tr>
      <w:tr w:rsidR="00AE0442" w:rsidRPr="00AE0442" w14:paraId="14C709B8"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9AE"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9AF"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22</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9B0"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27 – precizarea explicită, la conflictul de interese, a relațiilor profesionale recente: coautor de publicații, conducător/doctorand, colaborator într-un proiect, angajat al aceleiași structuri, raport ierarhic, contracte cu editura etc.</w:t>
            </w:r>
          </w:p>
          <w:p w14:paraId="14C709B1"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Argumentare: în condiții de anonimat, evaluatorii ar putea să nu declare conflictele de interese (coautori, cumetri etc.); conflictul există în realitate, dar este dificil de demonstrat.</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9B2"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Se acceptă parțial. </w:t>
            </w:r>
          </w:p>
          <w:p w14:paraId="14C709B3" w14:textId="77777777" w:rsidR="00B2257C" w:rsidRPr="00AE0442" w:rsidRDefault="00E1204F">
            <w:pPr>
              <w:pBdr>
                <w:top w:val="nil"/>
                <w:left w:val="nil"/>
                <w:bottom w:val="nil"/>
                <w:right w:val="nil"/>
                <w:between w:val="nil"/>
              </w:pBdr>
              <w:ind w:firstLine="0"/>
              <w:rPr>
                <w:rFonts w:ascii="Times New Roman" w:eastAsia="Times New Roman" w:hAnsi="Times New Roman" w:cs="Times New Roman"/>
                <w:color w:val="000000" w:themeColor="text1"/>
                <w:sz w:val="24"/>
                <w:szCs w:val="24"/>
                <w:highlight w:val="white"/>
              </w:rPr>
            </w:pPr>
            <w:r w:rsidRPr="00AE0442">
              <w:rPr>
                <w:rFonts w:ascii="Times New Roman" w:eastAsia="Times New Roman" w:hAnsi="Times New Roman" w:cs="Times New Roman"/>
                <w:color w:val="000000" w:themeColor="text1"/>
                <w:sz w:val="24"/>
                <w:szCs w:val="24"/>
                <w:highlight w:val="white"/>
              </w:rPr>
              <w:t>Pct. 48 se expune după cum urmează:</w:t>
            </w:r>
          </w:p>
          <w:p w14:paraId="14C709B4" w14:textId="77777777" w:rsidR="00B2257C" w:rsidRPr="00AE0442" w:rsidRDefault="00E1204F">
            <w:pPr>
              <w:pBdr>
                <w:top w:val="nil"/>
                <w:left w:val="nil"/>
                <w:bottom w:val="nil"/>
                <w:right w:val="nil"/>
                <w:between w:val="nil"/>
              </w:pBdr>
              <w:ind w:firstLine="0"/>
              <w:rPr>
                <w:rFonts w:ascii="Times New Roman" w:eastAsia="Times New Roman" w:hAnsi="Times New Roman" w:cs="Times New Roman"/>
                <w:color w:val="000000" w:themeColor="text1"/>
                <w:sz w:val="24"/>
                <w:szCs w:val="24"/>
                <w:highlight w:val="white"/>
              </w:rPr>
            </w:pPr>
            <w:r w:rsidRPr="00AE0442">
              <w:rPr>
                <w:rFonts w:ascii="Times New Roman" w:eastAsia="Times New Roman" w:hAnsi="Times New Roman" w:cs="Times New Roman"/>
                <w:color w:val="000000" w:themeColor="text1"/>
                <w:sz w:val="24"/>
                <w:szCs w:val="24"/>
                <w:highlight w:val="white"/>
              </w:rPr>
              <w:t>„ În cazul în care se constată, de către CNAM sau de către experți consultați la decizia CNAM, că evaluatorul a acordat un punctaj eronat ori neargumentat științific și metodologic, precum și în cazul în care se dovedește că evaluatorul s-a aflat într-una dintre situațiile prevăzute la pct. 27 lit. a)–c) și nu a declarat-o potrivit pct. 38¹, contractul de prestări servicii se reziliază, serviciile prestate neconform nu se achită, iar evaluatorul se exclude din baza de date a evaluatorilor. Decizia CNAM se adoptă motivat, în scris, și se comunică evaluatorului în termen de 3 zile lucrătoare. Excluderea operează pentru un termen de 3 ani; în cazul declarației false privind situațiile de la pct. 27 lit. a)–c) — definitiv.”</w:t>
            </w:r>
          </w:p>
          <w:p w14:paraId="14C709B5" w14:textId="77777777" w:rsidR="00B2257C" w:rsidRPr="00AE0442" w:rsidRDefault="00E1204F">
            <w:pPr>
              <w:pBdr>
                <w:top w:val="nil"/>
                <w:left w:val="nil"/>
                <w:bottom w:val="nil"/>
                <w:right w:val="nil"/>
                <w:between w:val="nil"/>
              </w:pBdr>
              <w:ind w:firstLine="0"/>
              <w:rPr>
                <w:rFonts w:ascii="Times New Roman" w:eastAsia="Times New Roman" w:hAnsi="Times New Roman" w:cs="Times New Roman"/>
                <w:color w:val="000000" w:themeColor="text1"/>
                <w:sz w:val="24"/>
                <w:szCs w:val="24"/>
                <w:highlight w:val="white"/>
              </w:rPr>
            </w:pPr>
            <w:r w:rsidRPr="00AE0442">
              <w:rPr>
                <w:rFonts w:ascii="Times New Roman" w:eastAsia="Times New Roman" w:hAnsi="Times New Roman" w:cs="Times New Roman"/>
                <w:color w:val="000000" w:themeColor="text1"/>
                <w:sz w:val="24"/>
                <w:szCs w:val="24"/>
                <w:highlight w:val="white"/>
              </w:rPr>
              <w:t>Regulamentul a fost completat cu pct. 38^1:</w:t>
            </w:r>
          </w:p>
          <w:p w14:paraId="14C709B6" w14:textId="77777777" w:rsidR="00B2257C" w:rsidRPr="00AE0442" w:rsidRDefault="00E1204F">
            <w:pPr>
              <w:ind w:firstLine="0"/>
              <w:rPr>
                <w:rFonts w:ascii="Times New Roman" w:eastAsia="Times New Roman" w:hAnsi="Times New Roman" w:cs="Times New Roman"/>
                <w:color w:val="000000" w:themeColor="text1"/>
                <w:sz w:val="24"/>
                <w:szCs w:val="24"/>
                <w:highlight w:val="white"/>
              </w:rPr>
            </w:pPr>
            <w:r w:rsidRPr="00AE0442">
              <w:rPr>
                <w:rFonts w:ascii="Times New Roman" w:eastAsia="Times New Roman" w:hAnsi="Times New Roman" w:cs="Times New Roman"/>
                <w:color w:val="000000" w:themeColor="text1"/>
                <w:sz w:val="24"/>
                <w:szCs w:val="24"/>
                <w:highlight w:val="white"/>
              </w:rPr>
              <w:t xml:space="preserve">„38^1. Evaluatorul are obligația de a informa în scris CNAM, în termen de 2 zile lucrătoare, despre orice situație prevăzută la pct. 27 survenită sau constatată pe parcursul sesiunii. </w:t>
            </w:r>
            <w:r w:rsidRPr="00AE0442">
              <w:rPr>
                <w:rFonts w:ascii="Times New Roman" w:eastAsia="Times New Roman" w:hAnsi="Times New Roman" w:cs="Times New Roman"/>
                <w:color w:val="000000" w:themeColor="text1"/>
                <w:sz w:val="24"/>
                <w:szCs w:val="24"/>
                <w:highlight w:val="white"/>
              </w:rPr>
              <w:lastRenderedPageBreak/>
              <w:t>Până la soluționarea cazului, evaluarea titlului vizat se suspendă.”</w:t>
            </w:r>
          </w:p>
          <w:p w14:paraId="14C709B7" w14:textId="77777777" w:rsidR="00B2257C" w:rsidRPr="00AE0442" w:rsidRDefault="00E1204F">
            <w:pPr>
              <w:ind w:firstLine="0"/>
              <w:rPr>
                <w:rFonts w:ascii="Times New Roman" w:eastAsia="Times New Roman" w:hAnsi="Times New Roman" w:cs="Times New Roman"/>
                <w:color w:val="000000" w:themeColor="text1"/>
                <w:sz w:val="24"/>
                <w:szCs w:val="24"/>
                <w:highlight w:val="white"/>
              </w:rPr>
            </w:pPr>
            <w:r w:rsidRPr="00AE0442">
              <w:rPr>
                <w:rFonts w:ascii="Times New Roman" w:eastAsia="Times New Roman" w:hAnsi="Times New Roman" w:cs="Times New Roman"/>
                <w:color w:val="000000" w:themeColor="text1"/>
                <w:sz w:val="24"/>
                <w:szCs w:val="24"/>
                <w:highlight w:val="white"/>
              </w:rPr>
              <w:t xml:space="preserve">Punctul 48 a fost reformulat și completat cu „48. </w:t>
            </w:r>
            <w:r w:rsidRPr="00AE0442">
              <w:rPr>
                <w:rFonts w:ascii="Times New Roman" w:eastAsia="Times New Roman" w:hAnsi="Times New Roman" w:cs="Times New Roman"/>
                <w:color w:val="000000" w:themeColor="text1"/>
                <w:sz w:val="24"/>
                <w:szCs w:val="24"/>
              </w:rPr>
              <w:t>În cazul în care se constată, de către CNAM sau de către experți consultați la decizia CNAM, că evaluatorul a acordat un punctaj eronat ori neargumentat științific și metodologic, precum și în cazul în care se dovedește că evaluatorul s-a aflat într-una dintre situațiile prevăzute la pct. 27 lit. a)-c) și nu a declarat-o potrivit pct. 38¹, contractul de prestări servicii se reziliază, serviciile prestate neconform nu se achită, iar evaluatorul se exclude din baza de date a evaluatorilor. Decizia CNAM se adoptă motivat, în scris, și se comunică evaluatorului în termen de 3 zile lucrătoare. Excluderea operează pentru un termen de 3 ani, iar în cazul declarației false privind situațiile de la pct. 27 lit. a)-c) - definitiv.”</w:t>
            </w:r>
          </w:p>
        </w:tc>
      </w:tr>
      <w:tr w:rsidR="00AE0442" w:rsidRPr="00AE0442" w14:paraId="14C709D8"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9B9"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highlight w:val="white"/>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9BA"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23</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9BB"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Pct. 36 – fișele de evaluare să fie făcute publice până la atribuirea avizului „Bun de tipar”; </w:t>
            </w:r>
          </w:p>
          <w:p w14:paraId="14C709BC" w14:textId="77777777" w:rsidR="00B2257C" w:rsidRPr="00AE0442" w:rsidRDefault="00B2257C">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p>
          <w:p w14:paraId="14C709BD" w14:textId="77777777" w:rsidR="00B2257C" w:rsidRPr="00AE0442" w:rsidRDefault="00B2257C">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p>
          <w:p w14:paraId="14C709BE" w14:textId="77777777" w:rsidR="00B2257C" w:rsidRPr="00AE0442" w:rsidRDefault="00B2257C">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p>
          <w:p w14:paraId="14C709BF" w14:textId="77777777" w:rsidR="00B2257C" w:rsidRPr="00AE0442" w:rsidRDefault="00B2257C">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p>
          <w:p w14:paraId="14C709C0" w14:textId="77777777" w:rsidR="00B2257C" w:rsidRPr="00AE0442" w:rsidRDefault="00B2257C">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p>
          <w:p w14:paraId="14C709C1" w14:textId="77777777" w:rsidR="00B2257C" w:rsidRPr="00AE0442" w:rsidRDefault="00B2257C">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p>
          <w:p w14:paraId="14C709C2" w14:textId="77777777" w:rsidR="00B2257C" w:rsidRPr="00AE0442" w:rsidRDefault="00B2257C">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p>
          <w:p w14:paraId="14C709C3" w14:textId="77777777" w:rsidR="00B2257C" w:rsidRPr="00AE0442" w:rsidRDefault="00B2257C">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p>
          <w:p w14:paraId="14C709C4" w14:textId="77777777" w:rsidR="00B2257C" w:rsidRPr="00AE0442" w:rsidRDefault="00B2257C">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p>
          <w:p w14:paraId="14C709C5" w14:textId="77777777" w:rsidR="00B2257C" w:rsidRPr="00AE0442" w:rsidRDefault="00B2257C">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p>
          <w:p w14:paraId="14C709C6" w14:textId="77777777" w:rsidR="00B2257C" w:rsidRPr="00AE0442" w:rsidRDefault="00B2257C">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p>
          <w:p w14:paraId="14C709C7" w14:textId="77777777" w:rsidR="00B2257C" w:rsidRPr="00AE0442" w:rsidRDefault="00B2257C">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p>
          <w:p w14:paraId="14C709C8" w14:textId="77777777" w:rsidR="00B2257C" w:rsidRPr="00AE0442" w:rsidRDefault="00B2257C">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p>
          <w:p w14:paraId="14C709C9" w14:textId="77777777" w:rsidR="00B2257C" w:rsidRPr="00AE0442" w:rsidRDefault="00B2257C">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p>
          <w:p w14:paraId="14C709CA" w14:textId="77777777" w:rsidR="00B2257C" w:rsidRPr="00AE0442" w:rsidRDefault="00B2257C">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p>
          <w:p w14:paraId="14C709CB" w14:textId="77777777" w:rsidR="00B2257C" w:rsidRPr="00AE0442" w:rsidRDefault="00B2257C">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p>
          <w:p w14:paraId="14C709CC" w14:textId="77777777" w:rsidR="00B2257C" w:rsidRPr="00AE0442" w:rsidRDefault="00B2257C">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p>
          <w:p w14:paraId="14C709CD" w14:textId="77777777" w:rsidR="00B2257C" w:rsidRPr="00AE0442" w:rsidRDefault="00B2257C">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p>
          <w:p w14:paraId="14C709CE" w14:textId="77777777" w:rsidR="00B2257C" w:rsidRPr="00AE0442" w:rsidRDefault="00B2257C">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p>
          <w:p w14:paraId="14C709CF" w14:textId="77777777" w:rsidR="00B2257C" w:rsidRPr="00AE0442" w:rsidRDefault="00B2257C">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p>
          <w:p w14:paraId="14C709D0" w14:textId="77777777" w:rsidR="00B2257C" w:rsidRPr="00AE0442" w:rsidRDefault="00B2257C">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p>
          <w:p w14:paraId="14C709D1" w14:textId="77777777" w:rsidR="00B2257C" w:rsidRPr="00AE0442" w:rsidRDefault="00B2257C">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p>
          <w:p w14:paraId="14C709D2"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în Anexa nr. 3 să fie incluse informații despre evaluatori, cu indicarea punctajului acordat, pentru publicarea în manual.</w:t>
            </w:r>
          </w:p>
          <w:p w14:paraId="14C709D3"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Argumentare: confidențialitatea permite acordarea neargumentată a punctajului, favorizând sau defavorizând un proiect; accesul autorilor și profesorilor la fișe crește responsabilitatea evaluatorilor și previne generarea fișelor cu inteligența artificială.</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9D4" w14:textId="77777777" w:rsidR="00B2257C" w:rsidRPr="00AE0442" w:rsidRDefault="00E1204F">
            <w:pPr>
              <w:spacing w:after="280"/>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lastRenderedPageBreak/>
              <w:t>Nu se accepta</w:t>
            </w:r>
          </w:p>
          <w:p w14:paraId="14C709D5" w14:textId="77777777" w:rsidR="00B2257C" w:rsidRPr="00AE0442" w:rsidRDefault="00E1204F">
            <w:pPr>
              <w:spacing w:before="280" w:after="280"/>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1. Publicarea fișelor înainte de finalizarea procedurii contravine unei norme imperative de rang superior. Evaluarea și selectarea proiectelor de manuale se realizează în cadrul procedurii de achiziție publică organizate de minister (HG nr. 876/2015, pct. 8). Art. 69 alin. (8) din Legea nr. 131/2015 privind achizițiile publice prevede expres: „</w:t>
            </w:r>
            <w:r w:rsidRPr="00AE0442">
              <w:rPr>
                <w:rFonts w:ascii="Times New Roman" w:eastAsia="Times New Roman" w:hAnsi="Times New Roman" w:cs="Times New Roman"/>
                <w:i/>
                <w:iCs/>
                <w:color w:val="000000" w:themeColor="text1"/>
                <w:sz w:val="24"/>
                <w:szCs w:val="24"/>
              </w:rPr>
              <w:t xml:space="preserve">Până la finalizarea evaluării autoritatea contractantă nu divulgă ofertanților sau altor persoane neimplicate oficial în procedura de atribuire informații privind examinarea, evaluarea și compararea </w:t>
            </w:r>
            <w:r w:rsidRPr="00AE0442">
              <w:rPr>
                <w:rFonts w:ascii="Times New Roman" w:eastAsia="Times New Roman" w:hAnsi="Times New Roman" w:cs="Times New Roman"/>
                <w:i/>
                <w:iCs/>
                <w:color w:val="000000" w:themeColor="text1"/>
                <w:sz w:val="24"/>
                <w:szCs w:val="24"/>
              </w:rPr>
              <w:lastRenderedPageBreak/>
              <w:t>ofertelor</w:t>
            </w:r>
            <w:r w:rsidRPr="00AE0442">
              <w:rPr>
                <w:rFonts w:ascii="Times New Roman" w:eastAsia="Times New Roman" w:hAnsi="Times New Roman" w:cs="Times New Roman"/>
                <w:color w:val="000000" w:themeColor="text1"/>
                <w:sz w:val="24"/>
                <w:szCs w:val="24"/>
              </w:rPr>
              <w:t>", iar alin. (1) impune desfășurarea evaluării fără participarea ofertanților și a altor persoane neautorizate. Regulamentul, act normativ subordonat legii, nu poate institui o obligație de publicare acolo unde legea instituie o interdicție de divulgare.</w:t>
            </w:r>
          </w:p>
          <w:p w14:paraId="14C709D6" w14:textId="77777777" w:rsidR="00B2257C" w:rsidRPr="00AE0442" w:rsidRDefault="00E1204F">
            <w:pPr>
              <w:spacing w:before="280" w:after="280"/>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2. Reperul temporal propus este ales eronat. Potrivit anexei nr. 2 pct. 35 din HG nr. 876/2015, avizul „Bun de tipar" se acordă în faza de executare a contractului, ulterior atribuirii acestuia. La acel moment termenele de contestare au expirat, iar contractul se află în derulare. Publicarea la reperul propus nu permite nici contestarea punctajului, nici corectarea unei evaluări viciate — deci nu produce efectul urmărit de autorii recomandării.</w:t>
            </w:r>
          </w:p>
          <w:p w14:paraId="14C709D7" w14:textId="77777777" w:rsidR="00B2257C" w:rsidRPr="00AE0442" w:rsidRDefault="00E1204F">
            <w:pPr>
              <w:spacing w:before="280"/>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Se acceptă includerea în Anexa 3 a informației despre comisia de evaluare.</w:t>
            </w:r>
          </w:p>
        </w:tc>
      </w:tr>
      <w:tr w:rsidR="00AE0442" w:rsidRPr="00AE0442" w14:paraId="14C709DE"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9D9"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9DA"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24</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9DB"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69¹ – excluderea articolului.</w:t>
            </w:r>
          </w:p>
          <w:p w14:paraId="14C709DC"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Argumentare: opțiune consultativă, care nu obligă la modificarea celorlalte 75% din conținut; nu este clar dacă aceiași experți vor evalua întregul conținut (ar trebui selectați mai devreme, remunerați suplimentar; pot apărea presiuni sau scurgeri de informații); discuțiile dintre autori și experți ar fi cronofage și pot degenera în impunerea opiniilor experților.</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9DD"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Se acceptă</w:t>
            </w:r>
          </w:p>
        </w:tc>
      </w:tr>
      <w:tr w:rsidR="00AE0442" w:rsidRPr="00AE0442" w14:paraId="14C709E3"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9DF"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9E0"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25</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9E1"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71 – lipsește din document Anexa nr. 4 (Fișa de totalizare a rezultatelor evaluării); de adăugat.</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9E2"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Anexa 4 este parte integranta a documentului.</w:t>
            </w:r>
          </w:p>
        </w:tc>
      </w:tr>
      <w:tr w:rsidR="00AE0442" w:rsidRPr="00AE0442" w14:paraId="14C709EA"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9E4"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9E5"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26</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9E6"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71 – indiferent de decalajul dintre punctaje, fișele de evaluare să fie făcute publice; de analizat dispersia punctajelor pe criterii, nu numai diferența totală (doi evaluatori pot avea totaluri apropiate, dar aprecieri radical diferite pe criterii importante).</w:t>
            </w:r>
          </w:p>
          <w:p w14:paraId="14C709E7"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lastRenderedPageBreak/>
              <w:t>Argumentare: ședințele „de mediere” se încheie, de regulă, cu acceptarea punctajelor unui evaluator mai volitiv; un evaluator extrem de sever sau indulgent poate deplasa rezultatul suficient pentru a trece sau elimina manualul; pragul de 15 puncte rezolvă doar parțial problema.</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9E8"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lastRenderedPageBreak/>
              <w:t>Nu se accepta.</w:t>
            </w:r>
          </w:p>
          <w:p w14:paraId="14C709E9"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Publicarea fișelor înainte de finalizarea procedurii contravine unei norme imperative de rang superior. Evaluarea și selectarea </w:t>
            </w:r>
            <w:r w:rsidRPr="00AE0442">
              <w:rPr>
                <w:rFonts w:ascii="Times New Roman" w:eastAsia="Times New Roman" w:hAnsi="Times New Roman" w:cs="Times New Roman"/>
                <w:color w:val="000000" w:themeColor="text1"/>
                <w:sz w:val="24"/>
                <w:szCs w:val="24"/>
              </w:rPr>
              <w:lastRenderedPageBreak/>
              <w:t>proiectelor de manuale se realizează în cadrul procedurii de achiziție publică organizate de minister (HG nr. 876/2015, pct. 8). Art. 69 alin. (8) din Legea nr. 131/2015 privind achizițiile publice prevede expres: „</w:t>
            </w:r>
            <w:r w:rsidRPr="00AE0442">
              <w:rPr>
                <w:rFonts w:ascii="Times New Roman" w:eastAsia="Times New Roman" w:hAnsi="Times New Roman" w:cs="Times New Roman"/>
                <w:i/>
                <w:iCs/>
                <w:color w:val="000000" w:themeColor="text1"/>
                <w:sz w:val="24"/>
                <w:szCs w:val="24"/>
              </w:rPr>
              <w:t>Până la finalizarea evaluării autoritatea contractantă nu divulgă ofertanților sau altor persoane neimplicate oficial în procedura de atribuire informații privind examinarea, evaluarea și compararea ofertelor</w:t>
            </w:r>
            <w:r w:rsidRPr="00AE0442">
              <w:rPr>
                <w:rFonts w:ascii="Times New Roman" w:eastAsia="Times New Roman" w:hAnsi="Times New Roman" w:cs="Times New Roman"/>
                <w:color w:val="000000" w:themeColor="text1"/>
                <w:sz w:val="24"/>
                <w:szCs w:val="24"/>
              </w:rPr>
              <w:t>", iar alin. (1) impune desfășurarea evaluării fără participarea ofertanților și a altor persoane neautorizate. Regulamentul, act normativ subordonat legii, nu poate institui o obligație de publicare acolo unde legea instituie o interdicție de divulgare.</w:t>
            </w:r>
          </w:p>
        </w:tc>
      </w:tr>
      <w:tr w:rsidR="00AE0442" w:rsidRPr="00AE0442" w14:paraId="14C709F2"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9EB"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9EC"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27</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9ED"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72, 73 – unificarea și micșorarea pragului de trecere pe criterii (de exemplu, 60–70%) și instruirea experților.</w:t>
            </w:r>
          </w:p>
          <w:p w14:paraId="14C709EE"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Argumentare: pragurile sunt asimetrice (Criteriul II – 8 din 10, adică 80%; Criteriul IX – sub 73%); criteriile suplimentare de excludere pot deveni „un bici” în mâna unui evaluator – o depunctare de 2–3 puncte (de exemplu, pentru lipsa referinței la un savant cu dizabilități) blochează manualul.</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9EF"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Se acceptă parțial.</w:t>
            </w:r>
          </w:p>
          <w:p w14:paraId="14C709F0"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Pragul minim a fost modificat:</w:t>
            </w:r>
          </w:p>
          <w:p w14:paraId="14C709F1"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Criteriul II – 7 puncte; Criteriul III – 15 puncte; Criteriul IV – 15 puncte; Criteriul IX – 8 puncte.</w:t>
            </w:r>
          </w:p>
        </w:tc>
      </w:tr>
      <w:tr w:rsidR="00AE0442" w:rsidRPr="00AE0442" w14:paraId="14C709FB"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9F3"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9F4"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28</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9F5"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76 – obiecție: reducerea ponderii prețului diminuează stimulentul competitiv pentru ofertarea unui preț mai mic și permite ca diferențe mari de preț să aibă un efect redus asupra clasamentului final.</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9F6"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Nu se acceptă.</w:t>
            </w:r>
          </w:p>
          <w:p w14:paraId="14C709F7"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Manualul școlar este un produs de conținut intelectual, utilizat 4–5 ani de întreaga cohortă de elevi; economia obținută pe un tiraj este unică, deficitul de calitate se suportă în fiecare oră de curs, pe toată durata de utilizare.</w:t>
            </w:r>
          </w:p>
          <w:p w14:paraId="14C709F8"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La ponderea de 10% și formula uzuală (P&lt;sub&gt;min&lt;/sub&gt;/P&lt;sub&gt;ofertat&lt;/sub&gt; × 10), diferențele de preț rămân decisive între oferte de calitate apropiată:</w:t>
            </w:r>
          </w:p>
          <w:p w14:paraId="14C709F9"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lastRenderedPageBreak/>
              <w:t>Întrucât ofertele admisibile se grupează, de regulă, într-o bandă îngustă de punctaj calitativ, un avantaj de preț de 11% este suficient pentru a răsturna clasamentul între două proiecte practic echivalente. Prețul își păstrează exact funcția pentru care există: departajează ofertele de calitate comparabilă, fără a permite ca una slabă să câștige prin ieftinătate.</w:t>
            </w:r>
          </w:p>
          <w:p w14:paraId="14C709FA" w14:textId="77777777" w:rsidR="00B2257C" w:rsidRPr="00AE0442" w:rsidRDefault="00B2257C">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p>
        </w:tc>
      </w:tr>
      <w:tr w:rsidR="00AE0442" w:rsidRPr="00AE0442" w14:paraId="14C70A01"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9FC"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9FD"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29</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9FE"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82¹ și pct. 4 lit. k¹) – contradicție: pct. 4 lit. k¹) prevede consultarea publică „la decizia CNAM”, iar pct. 82¹ – că proiectul câștigător „este consultat public și, după caz, avizat/expertizat” („după caz” pare să privească doar expertizarea). Propunere: consultarea publică să fie obligatorie, nu la decizia CNAM.</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9FF"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Se acceptă. Contradicția a fost eliminată. Pct. 4 lit. k¹) se expune fără condiționarea de decizia CNAM și cu indicarea procedurii: „k¹) consultarea publică timp de 10 zile lucrătoare a proiectului de manual câștigător prin plasarea acestuia pe pagina web a Ministerului, observațiile fiind transmise în formă electronică, la adresa indicată în anunțul de consultare publică”. Consultarea publică devine astfel obligatorie pentru fiecare proiect de manual câștigător, cu durată determinată și cu mecanism definit de transmitere a observațiilor.</w:t>
            </w:r>
          </w:p>
          <w:p w14:paraId="14C70A00" w14:textId="77777777" w:rsidR="00B2257C" w:rsidRPr="00AE0442" w:rsidRDefault="00E1204F">
            <w:pPr>
              <w:spacing w:after="8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Sintagma „după caz” de la pct. 82¹ se raportează exclusiv la avizarea/expertizarea tematică prevăzută la pct. 4 lit. k²), care rămâne la decizia CNAM, întrucât necesitatea acesteia depinde de disciplină și de conținutul concret al proiectului. Valorificarea observațiilor recepționate este reglementată la pct. 41 lit. b¹) și pct. 83.</w:t>
            </w:r>
          </w:p>
        </w:tc>
      </w:tr>
      <w:tr w:rsidR="00AE0442" w:rsidRPr="00AE0442" w14:paraId="14C70A06"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02"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03"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30</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A04"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Pct. 81 – specificarea mai precisă a procedurii de contestare și reevaluare: câți evaluatori noi, cum sunt selectați, dacă au acces la </w:t>
            </w:r>
            <w:r w:rsidRPr="00AE0442">
              <w:rPr>
                <w:rFonts w:ascii="Times New Roman" w:eastAsia="Times New Roman" w:hAnsi="Times New Roman" w:cs="Times New Roman"/>
                <w:color w:val="000000" w:themeColor="text1"/>
                <w:sz w:val="24"/>
                <w:szCs w:val="24"/>
              </w:rPr>
              <w:lastRenderedPageBreak/>
              <w:t>evaluarea inițială, ce se întâmplă dacă diferența dintre prima și a doua evaluare este enormă, care evaluare devine definitivă.</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A05"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lastRenderedPageBreak/>
              <w:t>Nu se acceptă.</w:t>
            </w:r>
          </w:p>
        </w:tc>
      </w:tr>
      <w:tr w:rsidR="00AE0442" w:rsidRPr="00AE0442" w14:paraId="14C70A0D"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07"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08"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31</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A09"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83 – ajustarea termenului de 20 de zile lucrătoare la volumul fișelor de evaluare (de exemplu, 20 de zile pentru 50 de pagini de comentarii).</w:t>
            </w:r>
          </w:p>
          <w:p w14:paraId="14C70A0A"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Argumentare: termenul este insuficient dacă experții prezintă zeci de pagini de propuneri de modificare.</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A0B"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Nu se acceptă. </w:t>
            </w:r>
          </w:p>
          <w:p w14:paraId="14C70A0C"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Teremnul de pregătire a unui manual este foarte extins.</w:t>
            </w:r>
          </w:p>
        </w:tc>
      </w:tr>
      <w:tr w:rsidR="00AE0442" w:rsidRPr="00AE0442" w14:paraId="14C70A13"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0E"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0F"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32</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A10"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83 – stabilirea în Regulament a limitelor modificărilor post-concurs și a situațiilor în care modificarea este atât de importantă încât necesită reevaluare.</w:t>
            </w:r>
          </w:p>
          <w:p w14:paraId="14C70A11"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Argumentare: dacă, după desemnarea câștigătorului, manualul este modificat substanțial în urma recomandărilor altor experți, manualul care primește „Bun de tipar” nu mai este manualul care a câștigat concursul; manualele respinse ar putea concura, după o procedură similară de recomandări, cu manualul câștigător.</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A12"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Nu se acceptă.</w:t>
            </w:r>
          </w:p>
        </w:tc>
      </w:tr>
      <w:tr w:rsidR="00AE0442" w:rsidRPr="00AE0442" w14:paraId="14C70A18"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14"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15"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33</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A16"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Anexa nr. 2 – obiecție de procedură: tabelul comparativ menționează doar că Anexa nr. 2 „se expune într-o nouă redacție”, fără a prezenta comparativ schimbările descriptor cu descriptor; o modificare substanțială a mecanismului de evaluare (criterii, punctaje, praguri eliminatorii, indicatori Da/Nu) este scoasă din comparația transparentă dintre redacția veche și cea nouă.</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A17"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Schimbările descriptor cu descriptor pot fi urmărite analizând în paralel ambele fisiere.</w:t>
            </w:r>
          </w:p>
        </w:tc>
      </w:tr>
      <w:tr w:rsidR="00AE0442" w:rsidRPr="00AE0442" w14:paraId="14C70A1D"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19"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1A"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34</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A1B"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Anexa nr. 2, Criteriul I – indicatorii a), b), c) sunt dificil/imposibil de cuantificat și depind de factorul subiectiv; „unitate de competență acoperită” nu este definită (este suficientă o sarcină? tratare sistematică? de câte ori?). Propunere: de prevăzut în anexă modalități de cuantificare a conținuturilor, unităților de competență și rezultatelor învățării, inclusiv unitatea de măsură a „acoperirii”.</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A1C"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Nu se acceptă.</w:t>
            </w:r>
          </w:p>
        </w:tc>
      </w:tr>
      <w:tr w:rsidR="00AE0442" w:rsidRPr="00AE0442" w14:paraId="14C70A24"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1E"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1F"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35</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A20"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Anexa nr. 2, Criteriul I, indicatorul d) („manualul nu conține conținuturi din afara curriculumului”) – de exclus sau de limitat depășirea la circa 10%, cu specificarea modului de măsurare.</w:t>
            </w:r>
          </w:p>
          <w:p w14:paraId="14C70A21"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Argumentare: indicatorul este tranșant și poate bloca un manual vizionar; manualul nu este curriculumul – exemplele, </w:t>
            </w:r>
            <w:r w:rsidRPr="00AE0442">
              <w:rPr>
                <w:rFonts w:ascii="Times New Roman" w:eastAsia="Times New Roman" w:hAnsi="Times New Roman" w:cs="Times New Roman"/>
                <w:color w:val="000000" w:themeColor="text1"/>
                <w:sz w:val="24"/>
                <w:szCs w:val="24"/>
              </w:rPr>
              <w:lastRenderedPageBreak/>
              <w:t>contextualizările, lecturile suplimentare, aplicațiile interdisciplinare și explicațiile necesare înțelegerii pot să nu figureze textual în curriculum.</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A22"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lastRenderedPageBreak/>
              <w:t xml:space="preserve">Se acceptă parțial. </w:t>
            </w:r>
          </w:p>
          <w:p w14:paraId="14C70A23"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Nu se acceptă excluderea indicatorului și nici introducerea unui prag procentual de depășire, care ar fi nemăsurabil și ar legitima conținutul extracurricular în locul excluderii lui. Se </w:t>
            </w:r>
            <w:r w:rsidRPr="00AE0442">
              <w:rPr>
                <w:rFonts w:ascii="Times New Roman" w:eastAsia="Times New Roman" w:hAnsi="Times New Roman" w:cs="Times New Roman"/>
                <w:color w:val="000000" w:themeColor="text1"/>
                <w:sz w:val="24"/>
                <w:szCs w:val="24"/>
              </w:rPr>
              <w:lastRenderedPageBreak/>
              <w:t>acceptă reformularea indicatorului, prin distincția dintre unitățile de conținut și de competență prevăzute de curriculum, care rămân limita obligatorie, și mijloacele didactice de realizare a acestora — exemple, texte-suport, contextualizări, aplicații și explicații — care nu constituie depășire a curriculumului. Indicatorul se completează cu modul de măsurare prin matricea de corelare curriculum–manual și cu obligația marcării grafice distincte a materialelor de sprijin.</w:t>
            </w:r>
          </w:p>
        </w:tc>
      </w:tr>
      <w:tr w:rsidR="00AE0442" w:rsidRPr="00AE0442" w14:paraId="14C70A2B"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25"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26"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36</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A27"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Anexa nr. 2 – de specificat concret pasul de punctare (puncte întregi sau cu zecimale) și condițiile în care se acordă/se scad punctele la fiecare descriptor, prin rubrici de tipul: 5 = îndeplinire integrală; 4 = deficiențe minore; 3 = îndeplinire parțială etc., cu exemple/ancore pentru fiecare nivel.</w:t>
            </w:r>
          </w:p>
          <w:p w14:paraId="14C70A28"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Argumentare: în lipsa acestora, doi evaluatori pot fi „corecți” procedural și totuși să acorde 2 și 5 puncte aceleiași situații.</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A29"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Se acceptă.</w:t>
            </w:r>
          </w:p>
          <w:p w14:paraId="14C70A2A"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Punctajul se acordă în numere întregi, cu pasul de 1 punct. Nivelurile de punctare, se stabilesc prin grila de evaluare a conformității, parte a documentației de atribuire.</w:t>
            </w:r>
          </w:p>
        </w:tc>
      </w:tr>
      <w:tr w:rsidR="00AE0442" w:rsidRPr="00AE0442" w14:paraId="14C70A30" w14:textId="77777777">
        <w:trPr>
          <w:trHeight w:val="143"/>
        </w:trPr>
        <w:tc>
          <w:tcPr>
            <w:tcW w:w="2265" w:type="dxa"/>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2C"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Evghenii Goloșceapov</w:t>
            </w: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2D"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37</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A2E"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4 lit. b) – solicitare de explicație: de ce este necesar termenul „nu mai târziu de 60 de zile de la anunțarea procedurii” pentru depunerea ofertelor?</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A2F"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Pentru a respecta termenul setat de legislație, dar și a oferi MEC posibilitatea de intervenție și planificare a achizițiilor pentru titlurile fără oferte.</w:t>
            </w:r>
          </w:p>
        </w:tc>
      </w:tr>
      <w:tr w:rsidR="00AE0442" w:rsidRPr="00AE0442" w14:paraId="14C70A35"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31"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32"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38</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A33"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4 lit. d¹) și pct. 69¹ – procedura prezentării a 25% din conținutul proiectului de manual nu este clară; sunt necesare explicații; formularea „până la expirarea a 100 de zile de la data deschiderii ofertelor” necesită precizare („înainte de?”).</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A34"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4 lit. d¹) și pct. 69¹ au fost excluse la propunerea avizatorilor.</w:t>
            </w:r>
          </w:p>
        </w:tc>
      </w:tr>
      <w:tr w:rsidR="00AE0442" w:rsidRPr="00AE0442" w14:paraId="14C70A3D"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36"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37"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39</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A38"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4 lit. k¹) – consultarea publică să fie întreprinsă în mod automat, fără decizia CNAM.</w:t>
            </w:r>
          </w:p>
          <w:p w14:paraId="14C70A39"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Întrebări: consultarea publică (publicarea proiectelor pe site) se efectuează înainte sau după redactarea proiectelor conform recomandărilor evaluatorilor și CNAM? Expertizarea adițională din partea membrilor CNAM trebuie efectuată numai după decizia </w:t>
            </w:r>
            <w:r w:rsidRPr="00AE0442">
              <w:rPr>
                <w:rFonts w:ascii="Times New Roman" w:eastAsia="Times New Roman" w:hAnsi="Times New Roman" w:cs="Times New Roman"/>
                <w:color w:val="000000" w:themeColor="text1"/>
                <w:sz w:val="24"/>
                <w:szCs w:val="24"/>
              </w:rPr>
              <w:lastRenderedPageBreak/>
              <w:t>CNAM? Consultarea cu experți externi trebuie aprobată de CNAM?</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A3A"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lastRenderedPageBreak/>
              <w:t xml:space="preserve">Se acceptă. </w:t>
            </w:r>
          </w:p>
          <w:p w14:paraId="14C70A3B"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Pct. </w:t>
            </w:r>
            <w:r w:rsidRPr="00AE0442">
              <w:rPr>
                <w:rFonts w:ascii="Times New Roman" w:eastAsia="Times New Roman" w:hAnsi="Times New Roman" w:cs="Times New Roman"/>
                <w:color w:val="000000" w:themeColor="text1"/>
                <w:sz w:val="24"/>
                <w:szCs w:val="24"/>
                <w:highlight w:val="white"/>
              </w:rPr>
              <w:t>k</w:t>
            </w:r>
            <w:r w:rsidRPr="00AE0442">
              <w:rPr>
                <w:rFonts w:ascii="Times New Roman" w:eastAsia="Times New Roman" w:hAnsi="Times New Roman" w:cs="Times New Roman"/>
                <w:color w:val="000000" w:themeColor="text1"/>
                <w:sz w:val="24"/>
                <w:szCs w:val="24"/>
                <w:highlight w:val="white"/>
                <w:vertAlign w:val="superscript"/>
              </w:rPr>
              <w:t>1</w:t>
            </w:r>
            <w:r w:rsidRPr="00AE0442">
              <w:rPr>
                <w:rFonts w:ascii="Times New Roman" w:eastAsia="Times New Roman" w:hAnsi="Times New Roman" w:cs="Times New Roman"/>
                <w:color w:val="000000" w:themeColor="text1"/>
                <w:sz w:val="24"/>
                <w:szCs w:val="24"/>
                <w:highlight w:val="white"/>
              </w:rPr>
              <w:t xml:space="preserve">)  </w:t>
            </w:r>
            <w:r w:rsidRPr="00AE0442">
              <w:rPr>
                <w:rFonts w:ascii="Times New Roman" w:eastAsia="Times New Roman" w:hAnsi="Times New Roman" w:cs="Times New Roman"/>
                <w:color w:val="000000" w:themeColor="text1"/>
                <w:sz w:val="24"/>
                <w:szCs w:val="24"/>
              </w:rPr>
              <w:t>a fost expus în următoarea redacție:</w:t>
            </w:r>
          </w:p>
          <w:p w14:paraId="14C70A3C"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„k¹) consultarea publică timp de 10 zile lucrătoare a proiectului de manual câștigător prin plasarea acestuia pe pagina web a Ministerului, observațiile fiind transmise în </w:t>
            </w:r>
            <w:r w:rsidRPr="00AE0442">
              <w:rPr>
                <w:rFonts w:ascii="Times New Roman" w:eastAsia="Times New Roman" w:hAnsi="Times New Roman" w:cs="Times New Roman"/>
                <w:color w:val="000000" w:themeColor="text1"/>
                <w:sz w:val="24"/>
                <w:szCs w:val="24"/>
              </w:rPr>
              <w:lastRenderedPageBreak/>
              <w:t>formă electronică, la adresa indicată în anunțul de consultare publică;”.</w:t>
            </w:r>
          </w:p>
        </w:tc>
      </w:tr>
      <w:tr w:rsidR="00AE0442" w:rsidRPr="00AE0442" w14:paraId="14C70A42"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3E"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3F"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40</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A40"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11 – de precizat dacă proiectele de manual „pot fi” sau „trebuie” să fie însoțite de Ghidul de implementare a manualului; mai mulți profesori au solicitat aceste ghiduri.</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A41"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Se ia decizia în dependență de diverși factori, inclusiv perioada de implementare a curricula, disciplina de studiu, factori financiari.</w:t>
            </w:r>
          </w:p>
        </w:tc>
      </w:tr>
      <w:tr w:rsidR="00AE0442" w:rsidRPr="00AE0442" w14:paraId="14C70A4A"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43"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44"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41</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A45"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15 – completare: specialistul în egalitate și incluziune din componența CNAM să fie „desemnat de Consiliul pentru egalitate”.</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A46"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Nu se acceptă. Consiliul pentru prevenirea și eliminarea discriminării și asigurarea egalității nu are, potrivit art. 12 din Legea nr. 121/2012 cu privire la asigurarea egalității, competența de a desemna membri în organele colegiale ale altor autorități publice; atribuțiile sale sunt de examinare a plângerilor, de avizare consultativă a proiectelor de acte normative, de monitorizare, de cercetare și de sensibilizare.</w:t>
            </w:r>
          </w:p>
          <w:p w14:paraId="14C70A47" w14:textId="77777777" w:rsidR="00B2257C" w:rsidRPr="00AE0442" w:rsidRDefault="00E1204F">
            <w:pPr>
              <w:spacing w:after="8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Desemnarea ar situa Consiliul într-o dublă calitate incompatibilă: ar participa, prin persoana desemnată, la aprobarea manualului și ar fi, ulterior, organul chemat să examineze o eventuală plângere privind conținutul aceluiași manual.</w:t>
            </w:r>
          </w:p>
          <w:p w14:paraId="14C70A48" w14:textId="77777777" w:rsidR="00B2257C" w:rsidRPr="00AE0442" w:rsidRDefault="00E1204F">
            <w:pPr>
              <w:spacing w:after="8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CNAM se constituie prin ordinul ministrului educației și cercetării, în exercitarea competenței prevăzute la art. 41 alin. (1) din Codul educației nr. 152/2014; condiționarea ordinului de desemnarea făcută de o altă autoritate ar necesita temei legal expres, care nu există.</w:t>
            </w:r>
          </w:p>
          <w:p w14:paraId="14C70A49" w14:textId="77777777" w:rsidR="00B2257C" w:rsidRPr="00AE0442" w:rsidRDefault="00E1204F">
            <w:pPr>
              <w:spacing w:after="8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Preocuparea privind competența membrului respectiv se soluționează prin criteriul de calificare cerut la constituirea CNAM, nu prin schimbarea autorității care desemnează. Consiliul poate fi implicat, în </w:t>
            </w:r>
            <w:r w:rsidRPr="00AE0442">
              <w:rPr>
                <w:rFonts w:ascii="Times New Roman" w:eastAsia="Times New Roman" w:hAnsi="Times New Roman" w:cs="Times New Roman"/>
                <w:color w:val="000000" w:themeColor="text1"/>
                <w:sz w:val="24"/>
                <w:szCs w:val="24"/>
              </w:rPr>
              <w:lastRenderedPageBreak/>
              <w:t>calitate de organ de expertiză tematică privind caracterul nediscriminatoriu, în condițiile pct. 4 lit. k²).</w:t>
            </w:r>
          </w:p>
        </w:tc>
      </w:tr>
      <w:tr w:rsidR="00AE0442" w:rsidRPr="00AE0442" w14:paraId="14C70A4F"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4B"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4C"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42</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A4D"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18 lit. b) și pct. 41 lit. c) – completarea competențelor CNAM cu dreptul de a completa recomandările elaborate de evaluatori sau de a propune recomandări suplimentare; includerea recomandărilor CNAM printre cele a căror îndeplinire este verificată de coordonatorul grupului de evaluatori: „...recomandărilor înaintate de evaluatori, CNAM, experți și participanții la consultarea publică...”.</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A4E"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Se acceptă. Dreptul CNAM de a înainta recomandări este deja prevăzut la pct. 18 lit. e), potrivit căruia Consiliul „examinează tabelul de divergențe […] și înaintează, la necesitate, recomandări de remediere”. Pct. 41 lit. c) și pct. 83 se armonizează, urmând să conțină aceeași enumerare: recomandările evaluatorilor, ale CNAM, ale experților și ale participanților la consultarea publică, reținute potrivit pct. 41 lit. b¹). A se vedea și argumentarea la recomandarea nr. 58.</w:t>
            </w:r>
          </w:p>
        </w:tc>
      </w:tr>
      <w:tr w:rsidR="00AE0442" w:rsidRPr="00AE0442" w14:paraId="14C70A54"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50"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51"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43</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A52"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bookmarkStart w:id="3" w:name="_917kwn9mbp6t" w:colFirst="0" w:colLast="0"/>
            <w:bookmarkEnd w:id="3"/>
            <w:r w:rsidRPr="00AE0442">
              <w:rPr>
                <w:rFonts w:ascii="Times New Roman" w:eastAsia="Times New Roman" w:hAnsi="Times New Roman" w:cs="Times New Roman"/>
                <w:color w:val="000000" w:themeColor="text1"/>
                <w:sz w:val="24"/>
                <w:szCs w:val="24"/>
              </w:rPr>
              <w:t>Pct. 18 lit. f) – completare: „organizează consultarea publică cu părțile interesate (elevi, cadre didactice, persoane cu competențe în domeniul disciplinelor școlare), inclusiv prin publicarea proiectelor de manual pe site-ul web al Ministerului”.</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A53"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Se acceptă.</w:t>
            </w:r>
          </w:p>
        </w:tc>
      </w:tr>
      <w:tr w:rsidR="00AE0442" w:rsidRPr="00AE0442" w14:paraId="14C70A5A"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55"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56"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44</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A57"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20 – introducerea unor prevederi privind remunerarea membrilor CNAM, de exemplu: membrii Consiliului care nu activează permanent la Minister primesc o indemnizație de 10% din salariul mediu pe economie pentru fiecare ședință a Consiliului; pentru analiza scrisă a fiecărui proiect de manual prezentată Consiliului conform domeniului de competență al membrului; pentru fiecare sesiune sau zi de instruire a evaluatorilor organizată de Consiliu.</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A58"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Nu se acceptă. </w:t>
            </w:r>
          </w:p>
          <w:p w14:paraId="14C70A59"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Regulamentul aprobat prin ordin al ministrului nu poate institui forme de remunerare a persoanelor din sectorul bugetar — acestea se stabilesc exclusiv în condițiile Legii nr. 270/2018 privind sistemul unitar de salarizare în sectorul bugetar, prin act normativ de nivel corespunzător și cu sursă de finanțare identificată. Membrii CNAM exercită o funcție decizională în cadrul atribuțiilor de serviciu, spre deosebire de experții evaluatori, care prestează servicii contractuale pentru un produs măsurabil; echivalarea cuantumurilor nu are fundament funcțional. Riscurile invocate — </w:t>
            </w:r>
            <w:r w:rsidRPr="00AE0442">
              <w:rPr>
                <w:rFonts w:ascii="Times New Roman" w:eastAsia="Times New Roman" w:hAnsi="Times New Roman" w:cs="Times New Roman"/>
                <w:color w:val="000000" w:themeColor="text1"/>
                <w:sz w:val="24"/>
                <w:szCs w:val="24"/>
              </w:rPr>
              <w:lastRenderedPageBreak/>
              <w:t>analiza superficială și expunerea la presiuni — se contracarează prin dimensionarea sarcinii și prin măsuri de integritate, nu prin remunerare.</w:t>
            </w:r>
          </w:p>
        </w:tc>
      </w:tr>
      <w:tr w:rsidR="00AE0442" w:rsidRPr="00AE0442" w14:paraId="14C70A5F"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5B"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5C"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45</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A5D"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82² – întrebare: aprobarea prin ordin a listei experților se aplică și celor care analizează manualele gratuit/pe bază voluntară? Dacă da, se propun prevederi privind lipsa necesității acestei aprobări pentru cei care oferă analiza gratuit.</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A5E"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Ordinul nu este un act de plată, ci de învestire. Obiectul aprobării nu este remunerarea, ci calitatea de expert în procedură: dreptul de acces la proiectul de manual și competența de a formula recomandări. Gratuitatea prestației nu schimbă natura efectelor juridice ale actului expertului.</w:t>
            </w:r>
          </w:p>
        </w:tc>
      </w:tr>
      <w:tr w:rsidR="00AE0442" w:rsidRPr="00AE0442" w14:paraId="14C70A66"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60"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61"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46</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A62"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87 – introducerea unei proceduri de verificare a traducerii manualului, deoarece au fost identificate probleme permanente în traducerea terminologiei din domeniul drepturilor omului.</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A63"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Nu se acceptă. </w:t>
            </w:r>
          </w:p>
          <w:p w14:paraId="14C70A64"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Introducerea unei verificări administrative deplasează răspunderea de la editură la Minister. Pct. 87 stabilește deja, expres, că „editura este responsabilă pentru calitatea traducerii manualului și a Ghidului profesorului". Este o obligație contractuală, sancționabilă prin mecanismele contractului de achiziție, inclusiv rezoluțiunea prevăzută la pct. 86. Din momentul în care Ministerul verifică și avizează traducerea, editura va invoca avizul ca temei de exonerare pentru orice eroare nedepistată. Efectul măsurii este contrar scopului declarat: diluează răspunderea operatorului economic, în loc să o întărească.</w:t>
            </w:r>
          </w:p>
          <w:p w14:paraId="14C70A65"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Mecanismul de remediere există și este proporțional. Pct. 18 lit. g) prevede că CNAM „analizează, în cazul sesizărilor, problemele privind erorile tehnice sau de conținut ale manualelor și identifică, de comun cu editura, soluțiile/căile de remediere". Erorile de traducere semnalate intră în această competență și se corectează la reeditare, fără a condiționa </w:t>
            </w:r>
            <w:r w:rsidRPr="00AE0442">
              <w:rPr>
                <w:rFonts w:ascii="Times New Roman" w:eastAsia="Times New Roman" w:hAnsi="Times New Roman" w:cs="Times New Roman"/>
                <w:color w:val="000000" w:themeColor="text1"/>
                <w:sz w:val="24"/>
                <w:szCs w:val="24"/>
              </w:rPr>
              <w:lastRenderedPageBreak/>
              <w:t>circuitul tuturor titlurilor. Este control ex post, declanșat de o problemă constatată, în locul unui control ex ante generalizat.</w:t>
            </w:r>
          </w:p>
        </w:tc>
      </w:tr>
      <w:tr w:rsidR="00AE0442" w:rsidRPr="00AE0442" w14:paraId="14C70A6B"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67"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68"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47</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A69"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Redactări tehnice pe textul Regulamentului (modificări marcate în text): „Legea nr. 325/2025”, „Hotărârea Guvernului nr. 876/2015”, „în baza ordinului”, „părintești”, „obținerea”, completarea punctuației la pct. 6 lit. c) și pct. 60 lit. g), unificarea spațiilor.</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A6A"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Se acceptă</w:t>
            </w:r>
          </w:p>
        </w:tc>
      </w:tr>
      <w:tr w:rsidR="00AE0442" w:rsidRPr="00AE0442" w14:paraId="14C70A70"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6C"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6D"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48</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A6E"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Anexa nr. 2, Criteriul II, descriptorul II.1 – reformulare în conformitate cu art. 1 din Legea nr. 121/2012 cu privire la asigurarea egalității: „Proiectul de manual școlar respectă și promovează valorile general umane, egalitatea, diversitatea, incluziunea și nediscriminarea fără deosebire de rasă, culoare, origine națională, etnică și socială, statut social, cetățenie, limbă, religie sau convingeri, vârstă, sex, identitate de gen, statut matrimonial, orientare sexuală, dizabilitate, stare de sănătate, statut HIV, opinie, apartenență politică, avere, naștere sau orice alt criteriu, evitând prejudecățile, stereotipurile negative și reprezentările discriminatorii.”</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A6F"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Se acceptă, cu amendamente. Lista criteriilor se preia din art. 1 alin. (1) al Legii nr. 121/2012, în redacția LP180 din 18.07.2024, în vigoare din 05.09.2024, întrucât textul actual al descriptorului omite criteriul cetățeniei, dublează criteriul originii naționale și utilizează formula „opinii politice" în locul celei legale „opinie, apartenență politică". Se păstrează însă termenul „echitate" alături de „egalitate", acestea desemnând concepte distincte, iar termenul „stereotipuri" rămâne fără calificativul „negative", care ar îngusta nejustificat descriptorul și ar permite acceptarea reprezentărilor stereotipe cu valență aparent pozitivă.</w:t>
            </w:r>
          </w:p>
        </w:tc>
      </w:tr>
      <w:tr w:rsidR="00AE0442" w:rsidRPr="00AE0442" w14:paraId="14C70A78"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71"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72"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49</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A73"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Anexa nr. 2, descriptorul II.2 – completare: „...ideologiei național-extremiste, a violenței, a bullying-ului sau comportamente dăunătoare pentru sănătate”; transformarea descriptorului în unul eliminatoriu („Da, nu conține / Nu, conține”), în Criteriul II sau în Criteriul I, cu posibilitatea introducerii corectărilor; punctajul II.2 (3 p.) se transferă la II.3; pragul minim al Criteriului II devine „8 + Nu” (la II.2).</w:t>
            </w:r>
          </w:p>
          <w:p w14:paraId="14C70A74"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Argumentare: asemenea conținuturi nu trebuie să existe deloc în manuale.</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A75"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Se acceptă parțial. </w:t>
            </w:r>
          </w:p>
          <w:p w14:paraId="14C70A76"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Completarea are temei în art. 3 din Codul educației, care definește noțiunea de bullying, și în art. 3 alin. (1) lit. a), f), g) și i) din Legea nr. 30/2013 cu privire la protecția copiilor împotriva impactului negativ al informației. </w:t>
            </w:r>
          </w:p>
          <w:p w14:paraId="14C70A77"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Formularea se ajustează gramatical.</w:t>
            </w:r>
          </w:p>
        </w:tc>
      </w:tr>
      <w:tr w:rsidR="00AE0442" w:rsidRPr="00AE0442" w14:paraId="14C70A7E"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79"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7A"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50</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A7B"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Anexa nr. 2, descriptorul II.3 – completare și majorare de punctaj (de la 2 la 5 puncte): „Informația transmisă prin text, imagini, hărți, grafice, tabele, diagrame, simboluri respectă echilibrul de gen, respectă și promovează drepturile omului și asigură incluziunea persoanelor cu dizabilități, persoanelor din diferite grupe rasiale, etnice, lingvistice și confesionale, persoanelor de diferite vârste, persoanelor aparținând altor grupuri vulnerabile, ținând cont de specificul disciplinei.”</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A7C"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Se acceptă parțial.</w:t>
            </w:r>
          </w:p>
          <w:p w14:paraId="14C70A7D"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Extinderea descriptorului dincolo de echilibrul de gen este întemeiată. Nu se preia însă formularea propusă în partea privind respectarea drepturilor omului și incluziunea pe criterii de rasă, etnie, limbă și confesiune, întrucât acestea sunt deja reglementate la descriptorul II.1, iar preluarea lor ar genera dublă punctare a aceleiași deficiențe. Descriptorul II.3 se reformulează astfel încât să vizeze exclusiv reprezentarea — echilibrul numeric și absența stereotipurilor în rolurile și contextele în care persoanele sunt înfățișate — aspect verificabil cantitativ și distinct de principiile enunțate la II.1. Sintagma „alte grupuri vulnerabile" nu se preia, fiind lipsită de definiție și susceptibilă de aplicare arbitrară în procesul de punctare.</w:t>
            </w:r>
          </w:p>
        </w:tc>
      </w:tr>
      <w:tr w:rsidR="00AE0442" w:rsidRPr="00AE0442" w14:paraId="14C70A85"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7F"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80"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51</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A81"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Anexa nr. 2, descriptorii VII.1 și VII.2 – completare: elementele vizuale să fie „clare, inteligibile, relevante, corelate cu conținuturile curriculare și prietenoase pentru elevii cu dificultăți de citire și daltonism”; organizarea vizuală a conținutului să fie „prietenoasă pentru elevii cu dificultăți de citire și daltonism”.</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A82"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Se acceptă parțial.</w:t>
            </w:r>
          </w:p>
          <w:p w14:paraId="14C70A83"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Subcriteriul VII.1 se expune după cum urmează:</w:t>
            </w:r>
          </w:p>
          <w:p w14:paraId="14C70A84"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„Proiectul de manual utilizează elemente vizuale (imagini, scheme, hărți, grafice, diagrame, simboluri etc.) relevante și corelate cu conținuturile curriculare, lizibile la dimensiunea de tipar, în care informația nu este transmisă exclusiv prin culoare, ci este dublată de etichete, simboluri, texturi sau diferențe de formă.”</w:t>
            </w:r>
          </w:p>
        </w:tc>
      </w:tr>
      <w:tr w:rsidR="00AE0442" w:rsidRPr="00AE0442" w14:paraId="14C70A8B"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86"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87"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52</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A88"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Anexa nr. 2, descriptorul VIII.1 – excluderea sintagmei „fonturi prietenoase cu dislexia”.</w:t>
            </w:r>
          </w:p>
          <w:p w14:paraId="14C70A89"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lastRenderedPageBreak/>
              <w:t>Argumentare: recomandările în domeniu nu sunt uniforme/sunt contradictorii, iar eficiența fonturilor adaptate nu a fost demonstrată.</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A8A"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lastRenderedPageBreak/>
              <w:t>Se acceptă</w:t>
            </w:r>
          </w:p>
        </w:tc>
      </w:tr>
      <w:tr w:rsidR="00AE0442" w:rsidRPr="00AE0442" w14:paraId="14C70A91" w14:textId="77777777">
        <w:trPr>
          <w:trHeight w:val="143"/>
        </w:trPr>
        <w:tc>
          <w:tcPr>
            <w:tcW w:w="2265" w:type="dxa"/>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8C"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Mircea Colpajiu</w:t>
            </w: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8D"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53</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A8E"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Anularea pct. 72 și 73 (pragurile eliminatorii pe criterii).</w:t>
            </w:r>
          </w:p>
          <w:p w14:paraId="14C70A8F"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Argumentare: mecanism disproporțional – o depunctare minimă la un singur criteriu atrage descalificarea automată a proiectului de manual; a) pârghie pentru corupție și eliminare selectivă (veto absolut asupra muncii echipei de autori și a editurii); b) subminarea scopului reformei – deși ponderea calității este de 90%, regula eliminatorie mută decizia finală în zona unui singur indicator penalizator; c) descurajarea concurenței editoriale și a profesorilor de a elabora manuale.</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A90"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Nu se acceptă</w:t>
            </w:r>
          </w:p>
        </w:tc>
      </w:tr>
      <w:tr w:rsidR="00AE0442" w:rsidRPr="00AE0442" w14:paraId="14C70A98"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92"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93"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54</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A94"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Eliminarea/modificarea tuturor prevederilor care lasă hotărârile administrative și didactice exclusiv „la decizia CNAM” și înlocuirea lor cu norme exprese.</w:t>
            </w:r>
          </w:p>
          <w:p w14:paraId="14C70A95"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Obiecție conexă: contestațiile depuse de edituri sunt examinate tot de CNAM – instituția își examinează propriile decizii.</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A96"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Nu se acceptă.</w:t>
            </w:r>
          </w:p>
          <w:p w14:paraId="14C70A97"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CNAM examinează argumentele operatorului economic și fișele evaluatorului. CNAM nu are atribuții de evaluare a manualului (acordare de punctaj).</w:t>
            </w:r>
          </w:p>
        </w:tc>
      </w:tr>
      <w:tr w:rsidR="00AE0442" w:rsidRPr="00AE0442" w14:paraId="14C70A9E"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99"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9A"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55</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A9B"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Introducerea unei clauze obligatorii: odată cu începerea evaluării („momentul zero”), toate proiectele de manuale depuse să fie publicate pe site-ul MEC în variantă complet anonimizată (fără denumirea editurii, logo-uri, prețuri); fișierul PDF încărcat pe serverul MEC, cu hash aplicat, să nu mai poată fi modificat, iar concurenții să aibă acces la această „versiune înghețată”.</w:t>
            </w:r>
          </w:p>
          <w:p w14:paraId="14C70A9C"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Argumentare: secretizarea încalcă principiul transparenței achizițiilor publice și sporește suspiciunile privind conflictul de interese; textul unui manual într-o competiție de interes public nu poate fi secret comercial; publicarea permite consultarea publică reală a calității științifice și metodice și previne rescrierea ulterioară a unui manual slab declarat câștigător.</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A9D"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Nu se acceptă. </w:t>
            </w:r>
          </w:p>
        </w:tc>
      </w:tr>
      <w:tr w:rsidR="00AE0442" w:rsidRPr="00AE0442" w14:paraId="14C70AA3" w14:textId="77777777">
        <w:trPr>
          <w:trHeight w:val="143"/>
        </w:trPr>
        <w:tc>
          <w:tcPr>
            <w:tcW w:w="2265" w:type="dxa"/>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9F"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Lungu Tatiana</w:t>
            </w: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A0"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56</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AA1"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Cap. I (Dispoziții generale) – introducerea unui punct nou cu definițiile principalilor termeni utilizați: proiect de manual, manual </w:t>
            </w:r>
            <w:r w:rsidRPr="00AE0442">
              <w:rPr>
                <w:rFonts w:ascii="Times New Roman" w:eastAsia="Times New Roman" w:hAnsi="Times New Roman" w:cs="Times New Roman"/>
                <w:color w:val="000000" w:themeColor="text1"/>
                <w:sz w:val="24"/>
                <w:szCs w:val="24"/>
              </w:rPr>
              <w:lastRenderedPageBreak/>
              <w:t>digital, evaluator, expert, pilotare, consultare publică, aviz „Bun de tipar”, ghidul profesorului etc.</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AA2"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lastRenderedPageBreak/>
              <w:t>Nu se acceptă</w:t>
            </w:r>
          </w:p>
        </w:tc>
      </w:tr>
      <w:tr w:rsidR="00AE0442" w:rsidRPr="00AE0442" w14:paraId="14C70AA8"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A4"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A5"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57</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AA6"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4 lit. d¹) – reformulare pentru a evidenția mai clar caracterul opțional al prezentării a 25% din conținutul proiectului de manual și scopul exclusiv consultativ al acestei etape (îmbunătățirea calității proiectului).</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AA7"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4 lit. d¹) a fost exclus la propunerea avizatorilor.</w:t>
            </w:r>
          </w:p>
        </w:tc>
      </w:tr>
      <w:tr w:rsidR="00AE0442" w:rsidRPr="00AE0442" w14:paraId="14C70AAE"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A9"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AA"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58</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AAB"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4 lit. k¹) – completare cu prevederi privind modul de organizare a consultării publice: durata, categoriile de participanți, modalitatea de transmitere și examinare a observațiilor, modul de valorificare a acestora.</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AAC"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Se acceptă. </w:t>
            </w:r>
          </w:p>
          <w:p w14:paraId="14C70AAD"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4 lit. k¹) prevede deja durata consultării publice — 10 zile lucrătoare — și modalitatea de organizare, prin plasarea proiectului de manual câștigător pe pagina web a Ministerului, iar categoriile de participanți sunt precizate la pct. 18 lit. f). Se completează suplimentar cu o literă nouă b¹), prin care Coordonatorul grupului de evaluatori, în calitate de deținător al competenței de specialitate la disciplina respectivă, sistematizează observațiile recepționate, stabilește observațiile reținute ca recomandări și le transmite ofertantului; pct. 41 lit. c) și pct. 83, prin armonizarea enumerării recomandărilor de care ofertantul este obligat să țină cont, în corespundere cu recomandarea nr. 42.</w:t>
            </w:r>
          </w:p>
        </w:tc>
      </w:tr>
      <w:tr w:rsidR="00AE0442" w:rsidRPr="00AE0442" w14:paraId="14C70AB3"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AF"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B0"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59</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AB1"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8 – completare cu obligativitatea elaborării unui raport de evaluare a manualelor aflate în uz și reglementarea procedurii de retragere sau de menținere în utilizare a acestora.</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AB2"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Nu se acceptă.</w:t>
            </w:r>
          </w:p>
        </w:tc>
      </w:tr>
      <w:tr w:rsidR="00AE0442" w:rsidRPr="00AE0442" w14:paraId="14C70AB9"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B4"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B5"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60</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AB6"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10 – stabilirea unui termen maxim pentru remedierea erorilor și introducerea obligației editurii de a publica errata și versiunea digitală actualizată a manualului.</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AB7"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Se acceptă parțial. </w:t>
            </w:r>
          </w:p>
          <w:p w14:paraId="14C70AB8"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10 a fost completat cu sintagma „</w:t>
            </w:r>
            <w:r w:rsidRPr="00AE0442">
              <w:rPr>
                <w:rFonts w:ascii="Times New Roman" w:eastAsia="Times New Roman" w:hAnsi="Times New Roman" w:cs="Times New Roman"/>
                <w:color w:val="000000" w:themeColor="text1"/>
                <w:sz w:val="24"/>
                <w:szCs w:val="24"/>
                <w:highlight w:val="white"/>
              </w:rPr>
              <w:t>în termeni proximi”</w:t>
            </w:r>
          </w:p>
        </w:tc>
      </w:tr>
      <w:tr w:rsidR="00AE0442" w:rsidRPr="00AE0442" w14:paraId="14C70AC0"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BA"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BB"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61</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ABC"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17 – completare cu obligația membrilor CNAM de a declara imediat apariția unui conflict de interese pe parcursul procedurii și de a se abține de la examinarea dosarului respectiv.</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ABD"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Se acceptă.</w:t>
            </w:r>
          </w:p>
          <w:p w14:paraId="14C70ABE" w14:textId="77777777" w:rsidR="00B2257C" w:rsidRPr="00AE0442" w:rsidRDefault="00E1204F">
            <w:pPr>
              <w:spacing w:after="8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17 a fost completat cu sintagma</w:t>
            </w:r>
          </w:p>
          <w:p w14:paraId="14C70ABF" w14:textId="77777777" w:rsidR="00B2257C" w:rsidRPr="00AE0442" w:rsidRDefault="00E1204F">
            <w:pPr>
              <w:spacing w:after="8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„Membrul CNAM are obligația de a informa în scris Consiliul, în termen de 2 zile lucrătoare, despre orice situație de conflict de interese survenită sau constatată pe parcursul procedurii și de a se abține de la examinarea și votarea asupra proiectului de manual vizat, fapt consemnat în procesul-verbal al ședinței”</w:t>
            </w:r>
          </w:p>
        </w:tc>
      </w:tr>
      <w:tr w:rsidR="00AE0442" w:rsidRPr="00AE0442" w14:paraId="14C70AC5"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C1"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C2"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62</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AC3"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18 – completarea competențelor CNAM cu atribuția de a aproba raportul privind rezultatele consultării publice și ale pilotării manualelor.</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AC4"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Se acceptă parțial. Regulamentul se completează cu atribuții ale grupului de evaluatori, care vor analiza propunerile parvenite în procesul de consultare publică. Recomandările validate de grupul de evaluatori vor fi transmise editurii, care le va integra în lista comună de recomandări și în tabelul de divergențe. </w:t>
            </w:r>
          </w:p>
        </w:tc>
      </w:tr>
      <w:tr w:rsidR="00AE0442" w:rsidRPr="00AE0442" w14:paraId="14C70ACA"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C6"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C7"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63</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AC8"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27 – completarea situațiilor de incompatibilitate cu prevederi referitoare la colaborările profesionale recente și alte interese care pot afecta imparțialitatea evaluatorilor.</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AC9"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Nu se acceptă.</w:t>
            </w:r>
          </w:p>
        </w:tc>
      </w:tr>
      <w:tr w:rsidR="00AE0442" w:rsidRPr="00AE0442" w14:paraId="14C70AD0"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CB"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CC"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64</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ACD"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După pct. 37 – punct nou privind obligația evaluatorilor și experților de a respecta prevederile referitoare la protecția datelor cu caracter personal și confidențialitatea documentelor.</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ACE"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Se acceptă parțial. </w:t>
            </w:r>
          </w:p>
          <w:p w14:paraId="14C70ACF"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Prevederile sunt incluse în anexa 1 ANGAJAMENT DE CONFIDENȚIALITATE, IMPARȚIALITATE ȘI ASUMARE A RESPONSABILITĂȚII.</w:t>
            </w:r>
          </w:p>
        </w:tc>
      </w:tr>
      <w:tr w:rsidR="00AE0442" w:rsidRPr="00AE0442" w14:paraId="14C70AD6"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D1"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D2"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65</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AD3"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42 – completare cu obligativitatea instruirii evaluatorilor privind criteriile de incluziune, accesibilitate și utilizarea fișei de evaluare.</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AD4"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Nu se acceptă. </w:t>
            </w:r>
          </w:p>
          <w:p w14:paraId="14C70AD5"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Pct. 42 conține prevederi mai largi: </w:t>
            </w:r>
            <w:r w:rsidRPr="00AE0442">
              <w:rPr>
                <w:rFonts w:ascii="Times New Roman" w:eastAsia="Times New Roman" w:hAnsi="Times New Roman" w:cs="Times New Roman"/>
                <w:color w:val="000000" w:themeColor="text1"/>
                <w:sz w:val="24"/>
                <w:szCs w:val="24"/>
                <w:highlight w:val="white"/>
              </w:rPr>
              <w:t>criteriile și descriptorii propuși.</w:t>
            </w:r>
          </w:p>
        </w:tc>
      </w:tr>
      <w:tr w:rsidR="00AE0442" w:rsidRPr="00AE0442" w14:paraId="14C70ADC"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D7"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D8"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66</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AD9"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45–49 – completare cu criteriile de excludere din Baza de date a evaluatorilor și procedura de actualizare periodică a acesteia.</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ADA"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Nu se acceptă.</w:t>
            </w:r>
          </w:p>
          <w:p w14:paraId="14C70ADB" w14:textId="77777777" w:rsidR="00B2257C" w:rsidRPr="00AE0442" w:rsidRDefault="00B2257C">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p>
        </w:tc>
      </w:tr>
      <w:tr w:rsidR="00AE0442" w:rsidRPr="00AE0442" w14:paraId="14C70AE1"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DD"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DE"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67</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ADF"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52–61 – completare cu cerințe privind accesibilitatea manualelor tipărite și digitale (contrast, lizibilitate, text alternativ pentru imagini, compatibilitate cu tehnologii asistive etc.).</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AE0"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Nu se acceptă. Va fi parte a caietului de sarcini.</w:t>
            </w:r>
          </w:p>
        </w:tc>
      </w:tr>
      <w:tr w:rsidR="00AE0442" w:rsidRPr="00AE0442" w14:paraId="14C70AE6"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E2"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E3"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68</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AE4"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60 – completarea descriptorilor aferenți criteriului „caracter inclusiv și nediscriminatoriu”, astfel încât evaluarea să fie obiectivă, unitară și bazată pe indicatori clari.</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AE5"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Nu se acceptă. Pct. 60 are un carecter de enumerare. Criteriile sunt descrise explicit în Anexa 2.</w:t>
            </w:r>
          </w:p>
        </w:tc>
      </w:tr>
      <w:tr w:rsidR="00AE0442" w:rsidRPr="00AE0442" w14:paraId="14C70AED"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E7"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E8"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69</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AE9"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După pct. 82³ – introducerea unei secțiuni distincte privind pilotarea manualelor: scopul, durata, participanții, metodologia de desfășurare și raportul final de pilotare.</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AEA"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Se acceptă parțial.</w:t>
            </w:r>
          </w:p>
          <w:p w14:paraId="14C70AEB"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Se completează cu prevederi </w:t>
            </w:r>
          </w:p>
          <w:p w14:paraId="14C70AEC"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Pilotarea este reglementată prin pct. 4 lit. j¹), în redacția subpct. 2.5, și prin pct. 18 lit. e¹), în redacția subpct. 2.16, care stabilesc etapa și competența CNAM de a decide asupra necesității, perioadei și eșantionului de pilotare.</w:t>
            </w:r>
          </w:p>
        </w:tc>
      </w:tr>
      <w:tr w:rsidR="00AE0442" w:rsidRPr="00AE0442" w14:paraId="14C70AF3"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EE"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EF"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70</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AF0"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83–85 – completare cu prevederea că doar recomandările validate de CNAM sunt obligatorii pentru autori și editură.</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AF1"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SE acceptă parțial.</w:t>
            </w:r>
          </w:p>
          <w:p w14:paraId="14C70AF2"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Regulamentul se completează cu atribuții ale grupului de evaluatori, care vor analiza propunerile parvenite în procesul de pilotare. Recomandările validate de grupul de evaluatori vor fi transmise editurii, care le va integra în lista comună de recomandări și în tabelul de divergențe. Recomandările vor fi adresate în vederea obținerii avizului „Bune de tipar”.</w:t>
            </w:r>
          </w:p>
        </w:tc>
      </w:tr>
      <w:tr w:rsidR="00AE0442" w:rsidRPr="00AE0442" w14:paraId="14C70AF8"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F4"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F5"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71</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AF6"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După pct. 87 – introducerea unui capitol privind monitorizarea manualelor aflate în utilizare: colectarea feedbackului din instituțiile de învățământ, raportarea erorilor și revizuirea periodică a manualelor.</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AF7"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Nu se acceptă.</w:t>
            </w:r>
          </w:p>
        </w:tc>
      </w:tr>
      <w:tr w:rsidR="00AE0442" w:rsidRPr="00AE0442" w14:paraId="14C70AFD"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F9"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FA"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72</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AFB"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76 – verificarea formulei de calcul: dacă intenția este o pondere de 79% pentru calitatea ofertei și 21% pentru preț, formula trebuie să fie „Punctaj = 0,79 × Punctajul calității + 0,21 × Punctajul prețului”, întrucât coeficienții trebuie să însumeze 1,00.</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AFC"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Se acceptă.</w:t>
            </w:r>
          </w:p>
        </w:tc>
      </w:tr>
      <w:tr w:rsidR="00AE0442" w:rsidRPr="00AE0442" w14:paraId="14C70B03" w14:textId="77777777">
        <w:trPr>
          <w:trHeight w:val="143"/>
        </w:trPr>
        <w:tc>
          <w:tcPr>
            <w:tcW w:w="2265" w:type="dxa"/>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AFE"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Mircea Colpagiu</w:t>
            </w: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AFF"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73</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B00"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4 lit. d¹) – excluderea.</w:t>
            </w:r>
          </w:p>
          <w:p w14:paraId="14C70B01"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lastRenderedPageBreak/>
              <w:t>Argumentare: prezentarea unei părți de manuscris înaintea concursului încalcă principiul secretului profesional; toate manuscrisele trebuie prezentate concomitent; varianta cu 25% avea rost doar când toți ofertanții prezentau exclusiv 25% și decizia finală se lua pe această bază; manuscrisul prezentat în proporție de 25% ar deveni versiunea evaluatorilor, nu a autorilor (evaluatorul devine consultant/coautor). Consecutiv, dispare necesitatea organizării concursului în două etape.</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B02"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lastRenderedPageBreak/>
              <w:t>Se acceptă.</w:t>
            </w:r>
          </w:p>
        </w:tc>
      </w:tr>
      <w:tr w:rsidR="00AE0442" w:rsidRPr="00AE0442" w14:paraId="14C70B09"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B04"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B05"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74</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B06"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6 lit. c) – excluderea.</w:t>
            </w:r>
          </w:p>
          <w:p w14:paraId="14C70B07"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Argumentare: lit. a) și b) se referă la forme de prezentare, iar lit. c) la un produs nedescris în Regulament; nu este clar cine și cum îl va evalua dacă nu este încă tradus/adaptat și dacă va fi descalificat când nu acoperă 100% conținuturile curriculare; scoaterea manualelor de împrumut într-o categorie aparte discriminează manuscrisele originale, încalcă legea concurenței și favorizează un produs selectat dinainte (deciziile pot fi contestate în instanță); toate condițiile trebuie să fie egale, inclusiv drepturile de autor și onorariile.</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B08"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Nu se acceptă</w:t>
            </w:r>
          </w:p>
        </w:tc>
      </w:tr>
      <w:tr w:rsidR="00AE0442" w:rsidRPr="00AE0442" w14:paraId="14C70B10"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B0A"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B0B"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75</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B0C"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Fișa de evaluare – obiecție: prea multe condiții eliminatorii (Criteriul I integral, Criteriile II, III, IV, IX), acordate pe criterii subiective, deschid calea abuzurilor; criteriul eliminatoriu nu poate fi cantitativ (cine stabilește dacă sunt acoperite 94% sau 95% din unitățile de competențe?); formula creează impresia că la Criteriile V–VIII manuscrisul poate acumula 0 puncte.</w:t>
            </w:r>
          </w:p>
          <w:p w14:paraId="14C70B0D"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Propunerea A: relativizarea indicatorilor și acordarea de puncte pentru corespundere, cu un minim obligatoriu de 80% la nivel de conținuturi și 90% la nivel de competențe. Propunerea A1: „manualul va acoperi cel puțin 80% (variantă: 90%) din conținuturile curriculare”. Propunerea B: nu va fi admis pentru evaluare ulterioară manuscrisul care la oricare dintre cele 9 criterii acumulează 0 puncte; în rest, punctajul acordat decide câștigătorul.</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B0E"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Se acceptă parțial. </w:t>
            </w:r>
          </w:p>
          <w:p w14:paraId="14C70B0F"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Pragurile minime au fost ajustate.</w:t>
            </w:r>
          </w:p>
        </w:tc>
      </w:tr>
      <w:tr w:rsidR="00AE0442" w:rsidRPr="00AE0442" w14:paraId="14C70B17"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B11"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B12"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76</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B13"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Criteriul I (100% conținuturi curriculare și interdicția conținuturilor din afara curriculumului) – excluderea criteriului eliminatoriu I pe </w:t>
            </w:r>
            <w:r w:rsidRPr="00AE0442">
              <w:rPr>
                <w:rFonts w:ascii="Times New Roman" w:eastAsia="Times New Roman" w:hAnsi="Times New Roman" w:cs="Times New Roman"/>
                <w:color w:val="000000" w:themeColor="text1"/>
                <w:sz w:val="24"/>
                <w:szCs w:val="24"/>
              </w:rPr>
              <w:lastRenderedPageBreak/>
              <w:t>segmentul măsurabil și înlocuirea cu principiul: „Manualul trebuie să acopere minim 80 (sau 90)% din conținuturile curriculare și admite maxim 10% depășire a acestor conținuturi cu material suplimentar din disciplina dată”.</w:t>
            </w:r>
          </w:p>
          <w:p w14:paraId="14C70B14"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Argumentare: obligația de 100% produce un manual rigid, formal, și exclude ameliorarea curriculumului prin manual; interdicția materiilor nesolicitate de curriculum este practic imposibil de respectat și contrazice cerința de conținuturi inter-/transdisciplinare; simplificarea metodică ar mări falia dintre școala publică și elevii/profesorii de performanță.</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B15"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lastRenderedPageBreak/>
              <w:t xml:space="preserve">Se acceptă parțial. </w:t>
            </w:r>
          </w:p>
          <w:p w14:paraId="14C70B16"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Pragurile minime au fost ajustate.</w:t>
            </w:r>
          </w:p>
        </w:tc>
      </w:tr>
      <w:tr w:rsidR="00AE0442" w:rsidRPr="00AE0442" w14:paraId="14C70B1F"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B18"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B19"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77</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B1A"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76 – ponderea excesivă a calității în detrimentul prețului poate genera oferte maximal de scumpe; Regulamentul nu conține stimulente de diminuare a prețului. Propunere: „Punctaj (ofertă) = 0,7 × Punctaj (calitatea ofertei) + 0,3 × Punctaj (prețul ofertei)”.</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B1B"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Nu se acceptă.</w:t>
            </w:r>
          </w:p>
          <w:p w14:paraId="14C70B1C"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Manualul școlar este un produs de conținut intelectual, utilizat 4–5 ani de întreaga cohortă de elevi; economia obținută pe un tiraj este unică, deficitul de calitate se suportă în fiecare oră de curs, pe toată durata de utilizare.</w:t>
            </w:r>
          </w:p>
          <w:p w14:paraId="14C70B1D"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La ponderea de 10% și formula uzuală (P&lt;sub&gt;min&lt;/sub&gt;/P&lt;sub&gt;ofertat&lt;/sub&gt; × 10), diferențele de preț rămân decisive între oferte de calitate apropiată:</w:t>
            </w:r>
          </w:p>
          <w:p w14:paraId="14C70B1E"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Întrucât ofertele admisibile se grupează, de regulă, într-o bandă îngustă de punctaj calitativ, un avantaj de preț de 11% este suficient pentru a răsturna clasamentul între două proiecte practic echivalente. Prețul își păstrează exact funcția pentru care există: departajează ofertele de calitate comparabilă, fără a permite ca una slabă să câștige prin ieftinătate.</w:t>
            </w:r>
          </w:p>
        </w:tc>
      </w:tr>
      <w:tr w:rsidR="00AE0442" w:rsidRPr="00AE0442" w14:paraId="14C70B24"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B20"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B21"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78</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B22"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Pct. 83 – contradicție între „recomandări” (caracter opțional) și „obligația de a ameliora”; autorii răspund de conținut și nimeni nu le poate impune modificări (manuscrisul poate fi respins, motivat, la faza de evaluare, dar nu dictat). Text propus: „Ofertantul care a acumulat cel mai mare Punctaj (ofertă) are obligația de a examina </w:t>
            </w:r>
            <w:r w:rsidRPr="00AE0442">
              <w:rPr>
                <w:rFonts w:ascii="Times New Roman" w:eastAsia="Times New Roman" w:hAnsi="Times New Roman" w:cs="Times New Roman"/>
                <w:color w:val="000000" w:themeColor="text1"/>
                <w:sz w:val="24"/>
                <w:szCs w:val="24"/>
              </w:rPr>
              <w:lastRenderedPageBreak/>
              <w:t>manuscrisul în termen de douăzeci de zile lucrătoare, ținând cont de recomandările semnalate de către evaluatori, de către experți și de către CNAM, și de a depune proiectul de manual cu eventuale corectări/redactări efectuate și cu tabelul de divergențe referitor la recomandările evaluatorilor, experților și ale CNAM.”</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B23"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lastRenderedPageBreak/>
              <w:t>Nu se acceptă.</w:t>
            </w:r>
          </w:p>
        </w:tc>
      </w:tr>
      <w:tr w:rsidR="00AE0442" w:rsidRPr="00AE0442" w14:paraId="14C70B2A"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B25"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B26"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79</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B27"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Anexa nr. 3 (elemente obligatorii pentru pagina a II-a) – includerea obligatorie a numelor evaluatorilor pe pagina tehnică a manualului la etapa pregătirii „Bun de tipar”, pentru responsabilizarea acestora.</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B28"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Se acceptă.</w:t>
            </w:r>
          </w:p>
          <w:p w14:paraId="14C70B29" w14:textId="77777777" w:rsidR="00B2257C" w:rsidRPr="00AE0442" w:rsidRDefault="00B2257C">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p>
        </w:tc>
      </w:tr>
      <w:tr w:rsidR="00AE0442" w:rsidRPr="00AE0442" w14:paraId="14C70B31"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B2B"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B2C"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80</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B2D"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Concluzie generală: multitudinea modificărilor creează impresia că Ministerul dorește un concurs al echipelor de autori, nu al manualelor, cu selectare subiectivă și dirijare manuală a procesului; aceasta demotivează profesorii performanți și echipele de autori, încalcă principiul concurenței și al stimulării creativității; interesul Ministerului ar trebui să fie angajarea a cât mai multor echipe în proces.</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B2E"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Nu se acceptă. Modificările operate reduc, nu extind, marja de apreciere a evaluatorului. Criteriul I a fost transformat dintr-o apreciere discreționară într-un test verificabil, cu praguri cantitative și cu matricea de corelare curriculum–manual; descriptorii au fost delimitați, astfel încât aceeași însușire să nu fie punctată la mai mulți descriptori; punctajul se acordă în numere întregi, iar nivelurile de punctare se stabilesc prin grila de evaluare a conformității, parte a documentației de atribuire; fiecare punctaj trebuie argumentat științific și metodologic, iar punctajul eronat ori neargumentat atrage rezilierea contractului și excluderea evaluatorului din baza de date (pct. 48).</w:t>
            </w:r>
          </w:p>
          <w:p w14:paraId="14C70B2F" w14:textId="77777777" w:rsidR="00B2257C" w:rsidRPr="00AE0442" w:rsidRDefault="00E1204F">
            <w:pPr>
              <w:spacing w:after="8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Obiecția presupune că evaluarea ar viza echipele de autori. Evaluarea se realizează însă pe proiecte codificate, codificarea fiind confidențială și efectuată de secretarul grupului de lucru pentru achiziții publice de manuale (pct. 70): evaluatorul nu cunoaște autorul proiectului pe care îl punctează. De altfel, singurele prevederi care puteau favoriza o echipă deja cunoscută evaluatorilor — pct. 4 lit. </w:t>
            </w:r>
            <w:r w:rsidRPr="00AE0442">
              <w:rPr>
                <w:rFonts w:ascii="Times New Roman" w:eastAsia="Times New Roman" w:hAnsi="Times New Roman" w:cs="Times New Roman"/>
                <w:color w:val="000000" w:themeColor="text1"/>
                <w:sz w:val="24"/>
                <w:szCs w:val="24"/>
              </w:rPr>
              <w:lastRenderedPageBreak/>
              <w:t>d¹) și pct. 69¹, privind prezentarea prealabilă a 25% din conținut — au fost excluse tocmai în urma consultării publice, la propunerea mai multor participanți.</w:t>
            </w:r>
          </w:p>
          <w:p w14:paraId="14C70B30" w14:textId="77777777" w:rsidR="00B2257C" w:rsidRPr="00AE0442" w:rsidRDefault="00E1204F">
            <w:pPr>
              <w:spacing w:after="8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Preocuparea privind atragerea unui număr cât mai mare de echipe este legitimă, dar nu ține de obiectul Regulamentului, care reglementează selectarea și achiziția, nu stimularea ofertei. Instrumentele în acest sens există și se mențin: publicarea prognozei pentru următorii 3 ani cu privire la editarea manualelor (pct. 50) și termenul de până la 210 zile pentru prezentarea proiectelor de manual (pct. 4 lit. e)).</w:t>
            </w:r>
          </w:p>
        </w:tc>
      </w:tr>
      <w:tr w:rsidR="00AE0442" w:rsidRPr="00AE0442" w14:paraId="14C70B37" w14:textId="77777777">
        <w:trPr>
          <w:trHeight w:val="3588"/>
        </w:trPr>
        <w:tc>
          <w:tcPr>
            <w:tcW w:w="2265" w:type="dxa"/>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B32"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lastRenderedPageBreak/>
              <w:t>A. Dolghi</w:t>
            </w: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B33"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81</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B34"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69¹ – excluderea posibilității ca evaluatorii să vadă și să se expună asupra a 25% din conținut; evaluarea să se facă pe 100% din conținut, după depunerea finală; proiectele supuse expertizării să fie prezentate cu 100% conținut.</w:t>
            </w:r>
          </w:p>
          <w:p w14:paraId="14C70B35"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Argumentare: recomandările individuale pe conținut parțial încalcă principiul liberei concurențe, confidențialitatea și imparțialitatea evaluării; evaluatorul devine canal de scurgere a soluțiilor unei edituri către alta; apare un conflict de interese structural (evaluarea finală devine autoevaluare a propriilor recomandări); evaluatorul devine coautor parțial al manualului; mecanismul lasă instrumente de trucare/manipulare a licitației de către cei cu acces la evaluatori.</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B36"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Se acceptă</w:t>
            </w:r>
          </w:p>
        </w:tc>
      </w:tr>
      <w:tr w:rsidR="00AE0442" w:rsidRPr="00AE0442" w14:paraId="14C70B3D"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B38"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B39"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82</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B3A"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Publicarea, după finalizarea evaluării, a listei proiectelor admise/respinse, a punctajelor acordate pe criterii și a componenței nominale a comisiei de evaluare; după finalizarea achiziției, toate proiectele de manual să fie făcute publice.</w:t>
            </w:r>
          </w:p>
          <w:p w14:paraId="14C70B3B"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lastRenderedPageBreak/>
              <w:t>Argumentare: confidențialitatea evaluatorilor după achiziție scutește de responsabilitate și ascunde conflictele de interese; controlul public al selecției responsabilizează evaluatorii.</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B3C"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lastRenderedPageBreak/>
              <w:t>Nu se acceptă.</w:t>
            </w:r>
          </w:p>
        </w:tc>
      </w:tr>
      <w:tr w:rsidR="00AE0442" w:rsidRPr="00AE0442" w14:paraId="14C70B42"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B3E"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B3F"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83</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B40"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Comisiile de evaluare să fie constituite prin tragere aleatorie/rotație dintr-un corp de experți acreditați, componența nefiind cunoscută public înainte de închiderea perioadei de depunere a ofertelor; excluderea selecției nominale de către un membru CNAM, o persoană din MEC sau terți; Ministerul să dispună de o bază de date extinsă de evaluatori (150–300 de persoane), astfel încât tragerea la sorți și confidențialitatea să funcționeze.</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B41"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Nu se acceptă. </w:t>
            </w:r>
          </w:p>
        </w:tc>
      </w:tr>
      <w:tr w:rsidR="00AE0442" w:rsidRPr="00AE0442" w14:paraId="14C70B47"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B43"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B44"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84</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B45"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Fișa de evaluare, Criteriul I – obiecție: indicatorii b), c), d) (cel puțin 95% din unitățile de competențe, cel puțin 95% din rezultatele învățării, lipsa conținuturilor din afara curriculumului) sunt lăsați la discreția evaluatorului, care poate depuncta arbitrar; după contestare punctajele nu mai sunt relevante, deciziile fiind deja luate – breșă care duce spre manipularea rezultatului.</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B46"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Nu se acceptă.</w:t>
            </w:r>
          </w:p>
        </w:tc>
      </w:tr>
      <w:tr w:rsidR="00AE0442" w:rsidRPr="00AE0442" w14:paraId="14C70B4C"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B48"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B49"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85</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B4A"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Fișa de evaluare, Criteriul II (Caracterul inclusiv și nediscriminatoriu) – obiecție: criteriul este subiectiv și interpretabil (impunerea reprezentării femeilor în situații irelevante, a fotografiilor pentru echitate de gen, a menționării apartenenței etnice a personalităților), în detrimentul calității științifice.</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B4B"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Nu se acceptă.</w:t>
            </w:r>
          </w:p>
        </w:tc>
      </w:tr>
      <w:tr w:rsidR="00AE0442" w:rsidRPr="00AE0442" w14:paraId="14C70B53"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B4D"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B4E"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86</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B4F"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Fișa de evaluare – prioritate Criteriului III (Corectitudinea metodico-științifică a conținutului) prin majorarea punctajului acestuia și micșorarea punctajelor la criteriile subiective; corectitudinea științifică trebuie adusă în prim-plan.</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B50"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Se acceptă. </w:t>
            </w:r>
          </w:p>
          <w:p w14:paraId="14C70B51" w14:textId="77777777" w:rsidR="00B2257C" w:rsidRPr="00AE0442" w:rsidRDefault="00E1204F">
            <w:pPr>
              <w:tabs>
                <w:tab w:val="left" w:pos="426"/>
              </w:tabs>
              <w:ind w:right="2" w:firstLine="0"/>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Punctajul pentru Criteriul III: Corectitudinea metodico</w:t>
            </w:r>
            <w:r w:rsidRPr="00AE0442">
              <w:rPr>
                <w:rFonts w:ascii="Times New Roman" w:eastAsia="Times New Roman" w:hAnsi="Times New Roman" w:cs="Times New Roman"/>
                <w:strike/>
                <w:color w:val="000000" w:themeColor="text1"/>
                <w:sz w:val="24"/>
                <w:szCs w:val="24"/>
              </w:rPr>
              <w:t>-</w:t>
            </w:r>
            <w:r w:rsidRPr="00AE0442">
              <w:rPr>
                <w:rFonts w:ascii="Times New Roman" w:eastAsia="Times New Roman" w:hAnsi="Times New Roman" w:cs="Times New Roman"/>
                <w:color w:val="000000" w:themeColor="text1"/>
                <w:sz w:val="24"/>
                <w:szCs w:val="24"/>
              </w:rPr>
              <w:t>științifică a conținutului a fost modificat de la 17 puncte la 21 de puncte. Deasemenea a fost inclus pragul minim de 15 puncte.</w:t>
            </w:r>
          </w:p>
          <w:p w14:paraId="14C70B52" w14:textId="77777777" w:rsidR="00B2257C" w:rsidRPr="00AE0442" w:rsidRDefault="00B2257C">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p>
        </w:tc>
      </w:tr>
      <w:tr w:rsidR="00AE0442" w:rsidRPr="00AE0442" w14:paraId="14C70B58"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B54"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B55"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87</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B56"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Obiecție: Regulamentul nu prevede obligativitatea frecventării formărilor de către potențialii autori; MEC a impus participarea la formări (timp, resurse din contul potențialilor autori), ceea ce este </w:t>
            </w:r>
            <w:r w:rsidRPr="00AE0442">
              <w:rPr>
                <w:rFonts w:ascii="Times New Roman" w:eastAsia="Times New Roman" w:hAnsi="Times New Roman" w:cs="Times New Roman"/>
                <w:color w:val="000000" w:themeColor="text1"/>
                <w:sz w:val="24"/>
                <w:szCs w:val="24"/>
              </w:rPr>
              <w:lastRenderedPageBreak/>
              <w:t>discriminatoriu față de situația în care la concurs vor participa persoane care nu au fost prezente (sau doar parțial) la formări.</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B57"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lastRenderedPageBreak/>
              <w:t>Cerința va fi parte a caietului de sarcini.</w:t>
            </w:r>
          </w:p>
        </w:tc>
      </w:tr>
      <w:tr w:rsidR="00AE0442" w:rsidRPr="00AE0442" w14:paraId="14C70B5F" w14:textId="77777777">
        <w:trPr>
          <w:trHeight w:val="143"/>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B59"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B5A"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88</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B5B"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Valorificarea/editarea și remunerarea proiectelor de manual care au acumulat punctajul de trecere, dar nu au fost declarate câștigătoare: publicarea în tiraj mai mic sau cel puțin în format PDF și remunerarea autorilor cu 20% din bugetul licitat în cadrul concursului.</w:t>
            </w:r>
          </w:p>
          <w:p w14:paraId="14C70B5C"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Argumentare: garantează indirect obiectivitatea evaluării – comunitatea profesorilor, părinții, societatea vor vedea toate proiectele.</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B5D"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Se acceptă parțial. Mecanismul solicitat este deja reglementat la nivel de hotărâre de Guvern și nu poate fi instituit prin Regulament. Potrivit pct. 9³ din Hotărârea Guvernului nr. 876/2015, în redacția Hotărârii Guvernului nr. 199 din 22.04.2026, în vigoare din 23.04.2026, Ministerul Educației și Cercetării achiziționează și plasează pe pagina sa web oficială versiunea digitală a proiectelor de manuale ofertate care au acumulat minimum 90% din punctajul pentru calitatea ofertei, dar nu au fost declarate câștigătoare. Potrivit pct. 9⁴ din aceeași hotărâre, prețul se stabilește în cuantum de un salariu mediu lunar pe economie pentru o coală de autor, iar remunerația minimă a grupului de autori este de cel puțin 50% din prețul de achiziționare.</w:t>
            </w:r>
          </w:p>
          <w:p w14:paraId="14C70B5E" w14:textId="77777777" w:rsidR="00B2257C" w:rsidRPr="00AE0442" w:rsidRDefault="00E1204F">
            <w:pPr>
              <w:spacing w:after="8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Nu se acceptă publicarea în tiraj tipărit a proiectelor necâștigătoare și nici remunerarea cu 20% din bugetul licitat. Cota de 20% este stabilită la pct. 9² din aceeași hotărâre pentru grupul de autori ai manualului câștigător și se raportează la valoarea contractului de achiziții publice; extinderea ei asupra proiectelor neselectate nu are acoperire în alocațiile Fondului special pentru manuale. Modificarea acestor cuantumuri se poate opera numai prin hotărâre de Guvern.</w:t>
            </w:r>
          </w:p>
        </w:tc>
      </w:tr>
      <w:tr w:rsidR="00AE0442" w:rsidRPr="00AE0442" w14:paraId="14C70B67" w14:textId="77777777">
        <w:trPr>
          <w:trHeight w:val="7447"/>
        </w:trPr>
        <w:tc>
          <w:tcPr>
            <w:tcW w:w="226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B60"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lastRenderedPageBreak/>
              <w:t>Veaceslav Curcubăt</w:t>
            </w: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B61"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89</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B62"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Pct. 12 din Anunțul de participare (inclusiv pentru procedurile de preselecție/procedurile negociate) – extinderea termenului de livrare de la 90 la 120 de zile: „Termenii și condițiile de livrare/prestare solicitați: în termen de până la 120 de zile de la data semnării contractului.”</w:t>
            </w:r>
          </w:p>
          <w:p w14:paraId="14C70B63"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Argumentare: termenul de 90 de zile era suficient când contractul se semna după avizul „Bun de tipar”; dacă se semnează imediat după desemnarea câștigătorului, examinarea, operarea modificărilor solicitate de comisia de evaluare și CNAM și obținerea avizului pot dura până la două luni, la care se adaugă pilotarea, consultarea publică și avizarea/expertizarea; timpul rămas pentru pregătirea tehnică a fișierelor, procurarea materialelor, tipărire, finisare, ambalare și livrare este insuficient, mai ales pentru tirajele mari și pentru titlurile editate în limba română și în traducere în limba rusă.</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B64"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Nu se acceptă. Termenul de livrare nu se stabilește prin Regulament, ci prin documentația de atribuire a fiecărei proceduri, fiind adaptat calendarului acesteia și anului de studii pentru care manualele sunt destinate; obiectul consultării publice îl constituie proiectul Regulamentului, nu anunțul de participare.</w:t>
            </w:r>
          </w:p>
          <w:p w14:paraId="14C70B65" w14:textId="77777777" w:rsidR="00B2257C" w:rsidRPr="00AE0442" w:rsidRDefault="00E1204F">
            <w:pPr>
              <w:spacing w:after="8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Pe fond, extinderea la 120 de zile de la semnarea contractului deplasează livrarea, pentru procedurile finalizate în a doua jumătate a anului, într-un an bugetar nou. Alocațiile bugetare și mijloacele Fondului special pentru manuale au caracter anual; o obligație de plată scadentă în exercițiul următor ar necesita realocare și ar compromite asigurarea cu manuale la 1 septembrie, termen de referință al întregii proceduri.</w:t>
            </w:r>
          </w:p>
          <w:p w14:paraId="14C70B66" w14:textId="77777777" w:rsidR="00B2257C" w:rsidRPr="00AE0442" w:rsidRDefault="00E1204F">
            <w:pPr>
              <w:spacing w:after="8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Riscurile invocate sunt acoperite prin alte prevederi: termenele ferme de ameliorare a manuscrisului și de verificare a îndeplinirii recomandărilor (pct. 83 și pct. 84), iar riscul financiar al prelungirii procedurii — prin mecanismul de ajustare a prețului introdus la pct. 86¹, aplicabil atunci când de la data-limită de depunere a ofertelor până la semnarea contractului trec mai mult de 12 luni din motive neimputabile ofertantului.</w:t>
            </w:r>
          </w:p>
        </w:tc>
      </w:tr>
      <w:tr w:rsidR="00AE0442" w:rsidRPr="00AE0442" w14:paraId="14C70B77" w14:textId="77777777">
        <w:trPr>
          <w:trHeight w:val="1500"/>
        </w:trPr>
        <w:tc>
          <w:tcPr>
            <w:tcW w:w="2265" w:type="dxa"/>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B71"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lastRenderedPageBreak/>
              <w:t>Ministerul Justiției</w:t>
            </w:r>
          </w:p>
          <w:p w14:paraId="14C70B72"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(nr. 04/1-9674 din 21.08.2026)</w:t>
            </w:r>
          </w:p>
          <w:p w14:paraId="14C70B73" w14:textId="77777777" w:rsidR="00B2257C" w:rsidRPr="00AE0442" w:rsidRDefault="00B2257C">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B74" w14:textId="57A36CBD"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9</w:t>
            </w:r>
            <w:r w:rsidR="0038189C" w:rsidRPr="00AE0442">
              <w:rPr>
                <w:rFonts w:ascii="Times New Roman" w:eastAsia="Times New Roman" w:hAnsi="Times New Roman" w:cs="Times New Roman"/>
                <w:color w:val="000000" w:themeColor="text1"/>
                <w:sz w:val="24"/>
                <w:szCs w:val="24"/>
              </w:rPr>
              <w:t>0</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B75"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Sub aspect conceptual: proiectul a fost elaborat în scopul aducerii Regulamentului în concordanță cu Legea nr. 325/2025 privind achizițiile publice, care substituie Legea nr. 131/2015. Potrivit art. 41 alin. (1) din Codul educației, în instituțiile de învățământ general se utilizează manuale școlare elaborate în baza Curriculumului național, selectate și editate prin concurs, în baza unui regulament aprobat de Ministerul Educației și Cercetării. Din punct de vedere conceptual nu sunt formulate observații.</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B76"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Se ia act.</w:t>
            </w:r>
          </w:p>
        </w:tc>
      </w:tr>
      <w:tr w:rsidR="00AE0442" w:rsidRPr="00AE0442" w14:paraId="14C70B7E" w14:textId="77777777">
        <w:trPr>
          <w:trHeight w:val="1935"/>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B78"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B79" w14:textId="1F8369DB"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9</w:t>
            </w:r>
            <w:r w:rsidR="0038189C" w:rsidRPr="00AE0442">
              <w:rPr>
                <w:rFonts w:ascii="Times New Roman" w:eastAsia="Times New Roman" w:hAnsi="Times New Roman" w:cs="Times New Roman"/>
                <w:color w:val="000000" w:themeColor="text1"/>
                <w:sz w:val="24"/>
                <w:szCs w:val="24"/>
              </w:rPr>
              <w:t>1</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B7A"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Clauza de adoptare: potrivit art. 16 alin. (2) din Legea nr. 100/2017, în clauza de adoptare a actelor normative ale autorităților administrației publice centrale de specialitate se indică expres actul normativ superior în temeiul căruia acestea sunt emise sau aprobate. Scopul aprobării se va regăsi în nota de fundamentare a proiectului.</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B7B"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Se acceptă. </w:t>
            </w:r>
          </w:p>
          <w:p w14:paraId="14C70B7C"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Clauza de adoptare a ordinului de modificare se expune cu indicarea expresă a actului normativ superior – art. 41 alin. (1) din Codul educației al Republicii Moldova nr. 152/2014 și pct. 7 și 8 din Hotărârea Guvernului nr. 876/2015 –, iar scopul aprobării se prezintă în nota de fundamentare.</w:t>
            </w:r>
          </w:p>
          <w:p w14:paraId="14C70B7D"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Observația vizează ordinul de modificare; textul Regulamentului nu se modifică.</w:t>
            </w:r>
          </w:p>
        </w:tc>
      </w:tr>
      <w:tr w:rsidR="00AE0442" w:rsidRPr="00AE0442" w14:paraId="14C70B85" w14:textId="77777777">
        <w:trPr>
          <w:trHeight w:val="1080"/>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B7F"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B80" w14:textId="65492F66"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9</w:t>
            </w:r>
            <w:r w:rsidR="0038189C" w:rsidRPr="00AE0442">
              <w:rPr>
                <w:rFonts w:ascii="Times New Roman" w:eastAsia="Times New Roman" w:hAnsi="Times New Roman" w:cs="Times New Roman"/>
                <w:color w:val="000000" w:themeColor="text1"/>
                <w:sz w:val="24"/>
                <w:szCs w:val="24"/>
              </w:rPr>
              <w:t>2</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B81"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Potrivit art. 52 alin. (3) din Legea nr. 100/2017, pentru interpretare corectă și aplicare comodă, punctele pot fi divizate în subpuncte care se numerotează prin adăugarea consecutivă a cifrelor arabe, până la gradul de detaliere necesar. Textul proiectului se va numerota corespunzător.</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B82"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Se acceptă. </w:t>
            </w:r>
          </w:p>
          <w:p w14:paraId="14C70B83"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Textul ordinului de modificare se numerotează corespunzător.</w:t>
            </w:r>
          </w:p>
          <w:p w14:paraId="14C70B84"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Observația vizează ordinul de modificare; textul Regulamentului nu se modifică.</w:t>
            </w:r>
          </w:p>
        </w:tc>
      </w:tr>
      <w:tr w:rsidR="00AE0442" w:rsidRPr="00AE0442" w14:paraId="14C70B8A" w14:textId="77777777">
        <w:trPr>
          <w:trHeight w:val="945"/>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B86"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B87" w14:textId="462777E8"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9</w:t>
            </w:r>
            <w:r w:rsidR="0038189C" w:rsidRPr="00AE0442">
              <w:rPr>
                <w:rFonts w:ascii="Times New Roman" w:eastAsia="Times New Roman" w:hAnsi="Times New Roman" w:cs="Times New Roman"/>
                <w:color w:val="000000" w:themeColor="text1"/>
                <w:sz w:val="24"/>
                <w:szCs w:val="24"/>
              </w:rPr>
              <w:t>3</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B88"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La pct. 1, după indicarea sursei de publicare a actului normativ de referință, se va completa cu informația despre faptul că ordinul a fost înregistrat la Ministerul Justiției cu nr. 1714 din 3 mai 2022.</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B89"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Se acceptă. Completarea se operează în ordinul de modificare. În textul consolidat al Regulamentului mențiunea figurează deja: „ÎNREGISTRAT: Ministerul Justiției al Republicii Moldova nr. 1714 din 3 mai 2022”.</w:t>
            </w:r>
          </w:p>
        </w:tc>
      </w:tr>
      <w:tr w:rsidR="00AE0442" w:rsidRPr="00AE0442" w14:paraId="14C70B8F" w14:textId="77777777">
        <w:trPr>
          <w:trHeight w:val="930"/>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B8B"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B8C" w14:textId="0C86F900"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9</w:t>
            </w:r>
            <w:r w:rsidR="0038189C" w:rsidRPr="00AE0442">
              <w:rPr>
                <w:rFonts w:ascii="Times New Roman" w:eastAsia="Times New Roman" w:hAnsi="Times New Roman" w:cs="Times New Roman"/>
                <w:color w:val="000000" w:themeColor="text1"/>
                <w:sz w:val="24"/>
                <w:szCs w:val="24"/>
              </w:rPr>
              <w:t>4</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B8D"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La subpct. 2), cuvintele „se introduce textul” sunt improprii tehnicii legislative și se vor substitui cu cuvintele „se completează cu textul”. Observația este valabilă pentru toate cazurile similare din proiect (subpct. 4), 12), 16), 32)).</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B8E"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Se acceptă. Se operează în ordinul de modificare, în toate cazurile similare.</w:t>
            </w:r>
          </w:p>
        </w:tc>
      </w:tr>
      <w:tr w:rsidR="00AE0442" w:rsidRPr="00AE0442" w14:paraId="14C70B94" w14:textId="77777777">
        <w:trPr>
          <w:trHeight w:val="1365"/>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B90"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B91" w14:textId="1330EC9A"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9</w:t>
            </w:r>
            <w:r w:rsidR="0038189C" w:rsidRPr="00AE0442">
              <w:rPr>
                <w:rFonts w:ascii="Times New Roman" w:eastAsia="Times New Roman" w:hAnsi="Times New Roman" w:cs="Times New Roman"/>
                <w:color w:val="000000" w:themeColor="text1"/>
                <w:sz w:val="24"/>
                <w:szCs w:val="24"/>
              </w:rPr>
              <w:t>5</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B92"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Se constată necesitatea excluderii acronimului „etc.”, deoarece semnificația lui este periculoasă sub aspectul interpretării extensive.</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B93"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Se acceptă. Acronimul „etc.” nu mai figurează în textul Regulamentului: la pct. 4 lit. k²) enumerarea se încheie cu „comisii metodice din instituțiile de învățământ”, la pct. 18 lit. f) – cu „persoane cu competențe în domeniul disciplinelor școlare”, iar la pct. 63 – cu „finalități”.</w:t>
            </w:r>
          </w:p>
        </w:tc>
      </w:tr>
      <w:tr w:rsidR="00AE0442" w:rsidRPr="00AE0442" w14:paraId="14C70B99" w14:textId="77777777">
        <w:trPr>
          <w:trHeight w:val="990"/>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B95"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B96" w14:textId="0920A55C"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9</w:t>
            </w:r>
            <w:r w:rsidR="0038189C" w:rsidRPr="00AE0442">
              <w:rPr>
                <w:rFonts w:ascii="Times New Roman" w:eastAsia="Times New Roman" w:hAnsi="Times New Roman" w:cs="Times New Roman"/>
                <w:color w:val="000000" w:themeColor="text1"/>
                <w:sz w:val="24"/>
                <w:szCs w:val="24"/>
              </w:rPr>
              <w:t>6</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B97"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La subpct. 11), dispozitivul se va indica prin notarea faptului că literele d)–g) vor avea următorul cuprins, cu redarea acestora, după care se va indica că se completează cu literele h) și i).</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B98"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Se acceptă. Dispozitivul subpct. 11) din ordinul de modificare se expune în sensul indicat, corespunzător redacției pct. 25 din Regulament, care cuprinde literele a)–i).</w:t>
            </w:r>
          </w:p>
        </w:tc>
      </w:tr>
      <w:tr w:rsidR="00AE0442" w:rsidRPr="00AE0442" w14:paraId="14C70B9F" w14:textId="77777777">
        <w:trPr>
          <w:trHeight w:val="1560"/>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B9A"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B9B" w14:textId="4294979F"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9</w:t>
            </w:r>
            <w:r w:rsidR="0038189C" w:rsidRPr="00AE0442">
              <w:rPr>
                <w:rFonts w:ascii="Times New Roman" w:eastAsia="Times New Roman" w:hAnsi="Times New Roman" w:cs="Times New Roman"/>
                <w:color w:val="000000" w:themeColor="text1"/>
                <w:sz w:val="24"/>
                <w:szCs w:val="24"/>
              </w:rPr>
              <w:t>7</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B9C"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La subpct. 15), textul „ , cu modificările ulterioare” se va substitui cu textul „privind asigurarea elevilor cu manuale și a adulților cu materiale didactice”. Observația este valabilă și pentru subpct. 29), la amendamentul pentru pct. 82³.</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B9D"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Se acceptă. Textul a fost substituit în Regulament la pct. 37 și la pct. 82³:</w:t>
            </w:r>
          </w:p>
          <w:p w14:paraId="14C70B9E"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„…în conformitate cu prevederile pct. 9¹ din Hotărârea Guvernului nr. 876/2015 privind asigurarea elevilor cu manuale și a adulților cu materiale didactice, în baza ordinului ministrului educației și cercetării”.</w:t>
            </w:r>
          </w:p>
        </w:tc>
      </w:tr>
      <w:tr w:rsidR="00AE0442" w:rsidRPr="00AE0442" w14:paraId="14C70BA4" w14:textId="77777777">
        <w:trPr>
          <w:trHeight w:val="825"/>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BA0"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BA1" w14:textId="06F00944"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9</w:t>
            </w:r>
            <w:r w:rsidR="0038189C" w:rsidRPr="00AE0442">
              <w:rPr>
                <w:rFonts w:ascii="Times New Roman" w:eastAsia="Times New Roman" w:hAnsi="Times New Roman" w:cs="Times New Roman"/>
                <w:color w:val="000000" w:themeColor="text1"/>
                <w:sz w:val="24"/>
                <w:szCs w:val="24"/>
              </w:rPr>
              <w:t>8</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BA2"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La subpct. 19) și 20), cuvintele „în final” se vor exclude ca fiind excedente, întrucât completarea unui text sau alineat, fără a specifica ordinea de inserare, semnifică, potrivit regulii generale de tehnică legislativă, completarea textului la sfârșitul acestuia.</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BA3"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Se acceptă. Se operează în ordinul de modificare.</w:t>
            </w:r>
          </w:p>
        </w:tc>
      </w:tr>
      <w:tr w:rsidR="00AE0442" w:rsidRPr="00AE0442" w14:paraId="14C70BA9" w14:textId="77777777">
        <w:trPr>
          <w:trHeight w:val="885"/>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BA5"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BA6" w14:textId="2DB832AD" w:rsidR="00B2257C" w:rsidRPr="00AE0442" w:rsidRDefault="0038189C">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99</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BA7"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La subpct. 33)–35), soluția de a reda redacția nouă a anexelor în anexe nu este conformă tehnicii legislative; fiecare subpunct va fi urmat de textul nou al anexelor.</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BA8"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Se acceptă. Se operează în ordinul de modificare: fiecare dintre subpct. 33)–35) va fi urmat nemijlocit de textul nou al anexei vizate.</w:t>
            </w:r>
          </w:p>
        </w:tc>
      </w:tr>
      <w:tr w:rsidR="00AE0442" w:rsidRPr="00AE0442" w14:paraId="14C70BB1" w14:textId="77777777">
        <w:trPr>
          <w:trHeight w:val="2850"/>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BAA"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BAB" w14:textId="6A9A7C90"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10</w:t>
            </w:r>
            <w:r w:rsidR="0038189C" w:rsidRPr="00AE0442">
              <w:rPr>
                <w:rFonts w:ascii="Times New Roman" w:eastAsia="Times New Roman" w:hAnsi="Times New Roman" w:cs="Times New Roman"/>
                <w:color w:val="000000" w:themeColor="text1"/>
                <w:sz w:val="24"/>
                <w:szCs w:val="24"/>
              </w:rPr>
              <w:t>0</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BAC"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La subpct. 33), ținând cont de faptul că anexele au un temei-cadru în textul actului normativ și se referă exclusiv la obiectul determinat prin norma de trimitere (art. 49 alin. (3) din Legea nr. 100/2017), se semnalează că, potrivit pct. 38 din Regulament, până la începerea sesiunii de evaluare evaluatorii completează declarații pe propria răspundere prin care atestă că nu se află în niciuna dintre situațiile de incompatibilitate prevăzute la pct. 27, semnând Angajamentul conform Anexei nr. 1. Amendamentul se va revizui în vederea respectării acestor prevederi.</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BAD"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Se acceptă. Anexa nr. 1 a fost revizuită pentru a corespunde normei-cadru de la pct. 38 și denumirii „Angajament de confidențialitate, imparțialitate și asumare a responsabilității”. Formularul-tip se completează cu:</w:t>
            </w:r>
          </w:p>
          <w:p w14:paraId="14C70BAE"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declarația pe propria răspundere privind neaflarea în niciuna dintre situațiile de incompatibilitate prevăzute la pct. 27, precum și obligația de informare a CNAM în termen de 2 zile lucrătoare, potrivit pct. 38¹;</w:t>
            </w:r>
          </w:p>
          <w:p w14:paraId="14C70BAF"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asumarea responsabilității pentru corectitudinea, acuratețea și realitatea informațiilor consemnate în fișa de evaluare și pentru argumentarea științifică și metodologică a punctajului acordat, potrivit pct. 40 și pct. 43 lit. b);</w:t>
            </w:r>
          </w:p>
          <w:p w14:paraId="14C70BB0"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luarea la cunoștință despre consecințele prevăzute la pct. 48: rezilierea contractului de prestări servicii, neachitarea serviciilor prestate neconform și excluderea din Baza de date a evaluatorilor pentru un termen de 3 ani, respectiv definitiv în cazul declarației false privind situațiile de la pct. 27 lit. a)–c).</w:t>
            </w:r>
          </w:p>
        </w:tc>
      </w:tr>
      <w:tr w:rsidR="00AE0442" w:rsidRPr="00AE0442" w14:paraId="14C70BB7" w14:textId="77777777">
        <w:trPr>
          <w:trHeight w:val="1665"/>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BB2" w14:textId="77777777" w:rsidR="00B2257C" w:rsidRPr="00AE0442" w:rsidRDefault="00B2257C">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BB3" w14:textId="5C57A6F2"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10</w:t>
            </w:r>
            <w:r w:rsidR="0038189C" w:rsidRPr="00AE0442">
              <w:rPr>
                <w:rFonts w:ascii="Times New Roman" w:eastAsia="Times New Roman" w:hAnsi="Times New Roman" w:cs="Times New Roman"/>
                <w:color w:val="000000" w:themeColor="text1"/>
                <w:sz w:val="24"/>
                <w:szCs w:val="24"/>
              </w:rPr>
              <w:t>1</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BB4"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La pct. 2, cu referire la data intrării în vigoare: potrivit art. 56 alin. (1) din Legea nr. 100/2017, actele normative intră în vigoare peste o lună de la data publicării în Monitorul Oficial sau la data indicată în textul actului, care nu poate fi anterioară datei publicării; potrivit alin. (3), o altă dată poate fi stabilită doar în cazurile expres prevăzute. Este necesar ca în nota de fundamentare să se justifice suplimentar, prin argumente concludente, că prevederile actului întrunesc condițiile art. 56 alin. (3).</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BB5"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Se acceptă. Nota de fundamentare se completează cu argumentele care justifică întrunirea condițiilor art. 56 alin. (3) din Legea nr. 100/2017.</w:t>
            </w:r>
          </w:p>
          <w:p w14:paraId="14C70BB6"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Observația vizează ordinul de modificare și nota de fundamentare; textul Regulamentului nu se modifică.</w:t>
            </w:r>
          </w:p>
        </w:tc>
      </w:tr>
      <w:tr w:rsidR="00AE0442" w:rsidRPr="00AE0442" w14:paraId="14C70BC2" w14:textId="77777777">
        <w:trPr>
          <w:trHeight w:val="2130"/>
        </w:trPr>
        <w:tc>
          <w:tcPr>
            <w:tcW w:w="2265" w:type="dxa"/>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BB8"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lastRenderedPageBreak/>
              <w:t>Marina Morari, dr., conf. univ.,</w:t>
            </w:r>
          </w:p>
          <w:p w14:paraId="14C70BB9"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Universitatea de Stat „Alecu Russo” din Bălți</w:t>
            </w:r>
          </w:p>
          <w:p w14:paraId="14C70BBA" w14:textId="77777777" w:rsidR="00B2257C" w:rsidRPr="00AE0442" w:rsidRDefault="00B2257C">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BBB" w14:textId="56FC394B"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10</w:t>
            </w:r>
            <w:r w:rsidR="0038189C" w:rsidRPr="00AE0442">
              <w:rPr>
                <w:rFonts w:ascii="Times New Roman" w:eastAsia="Times New Roman" w:hAnsi="Times New Roman" w:cs="Times New Roman"/>
                <w:color w:val="000000" w:themeColor="text1"/>
                <w:sz w:val="24"/>
                <w:szCs w:val="24"/>
              </w:rPr>
              <w:t>2</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BBC"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Introducerea unui punct nou după pct. 13, cu denumirea „Fluxul decizional”:</w:t>
            </w:r>
          </w:p>
          <w:p w14:paraId="14C70BBD"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„Procesul de evaluare și aprobare a proiectelor de manuale se desfășoară succesiv, după următorul flux decizional: a) grupurile de evaluatori realizează evaluarea independentă a factorului „Calitatea ofertei” și formulează recomandări argumentate; b) CNAM totalizează rezultatele evaluării, examinează eventualele contestații, analizează recomandările evaluatorilor, rezultatele consultării publice și ale expertizelor tematice și înaintează Grupului de lucru pentru achiziții publice propunerea motivată privind proiectul de manual recomandat; c) Grupul de lucru pentru achiziții publice stabilește clasamentul final al ofertelor și adoptă decizia de atribuire în conformitate cu prevederile legislației privind achizițiile publice; d) Ministrul educației și cercetării aprobă, prin ordin, acordarea avizului „Bun de tipar” și rezultatul procedurii, în baza documentelor prezentate de Grupul de lucru și CNAM.”</w:t>
            </w:r>
          </w:p>
          <w:p w14:paraId="14C70BBE"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Argumentare: Regulamentul distribuie responsabilitățile între Grupul de lucru pentru achiziții publice de manuale, CNAM, grupurile de evaluatori și ministrul educației și cercetării, însă nu este întotdeauna clar care dintre aceste structuri are rol consultativ și care are competență decizională; situația poate genera interpretări diferite și poate afecta transparența procedurii.</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BBF"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Nu se acceptă.</w:t>
            </w:r>
          </w:p>
          <w:p w14:paraId="14C70BC0"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Fluxul decizional rezultă din normele în vigoare și din modificările operate prin ordinul de modificare: atribuțiile grupului de lucru pentru achiziții publice de manuale sunt stabilite la pct. 13 și 86; atribuțiile CNAM — la pct. 18 lit. c), d), e), e¹), e²), f¹) și h), în redacția subpct. 2.16; atribuțiile evaluatorilor și ale coordonatorului grupului de evaluatori — la pct. 39, 41 și 84, în redacția subpct. 2.29 și 2.47; competența ministrului de a acorda avizul „Bun de tipar” — la pct. 85.</w:t>
            </w:r>
          </w:p>
          <w:p w14:paraId="14C70BC1"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Introducerea unui punct de sinteză ar reproduce norme deja existente, fără a adăuga conținut normativ nou, și ar crea riscul unor necorelări la modificările ulterioare ale punctelor pe care le rezumă.</w:t>
            </w:r>
          </w:p>
        </w:tc>
      </w:tr>
      <w:tr w:rsidR="00AE0442" w:rsidRPr="00AE0442" w14:paraId="14C70BCB" w14:textId="77777777">
        <w:trPr>
          <w:trHeight w:val="2130"/>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BC3" w14:textId="77777777" w:rsidR="00B2257C" w:rsidRPr="00AE0442" w:rsidRDefault="00B2257C">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BC4" w14:textId="0FD993D9"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10</w:t>
            </w:r>
            <w:r w:rsidR="0038189C" w:rsidRPr="00AE0442">
              <w:rPr>
                <w:rFonts w:ascii="Times New Roman" w:eastAsia="Times New Roman" w:hAnsi="Times New Roman" w:cs="Times New Roman"/>
                <w:color w:val="000000" w:themeColor="text1"/>
                <w:sz w:val="24"/>
                <w:szCs w:val="24"/>
              </w:rPr>
              <w:t>3</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BC5"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Introducerea unui punct nou după pct. 76, privind departajarea în cazul punctajelor egale:</w:t>
            </w:r>
          </w:p>
          <w:p w14:paraId="14C70BC6"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„În cazul în care două sau mai multe oferte obțin același punctaj final, câștigătoare se declară oferta care a acumulat punctajul cel mai mare la factorul de evaluare „Calitatea ofertei”. În cazul în care egalitatea persistă, Grupul de lucru pentru achiziții publice solicită reevaluarea exclusiv a criteriilor metodico-științifice de către un nou grup de evaluatori desemnat conform prezentului Regulament.”</w:t>
            </w:r>
          </w:p>
          <w:p w14:paraId="14C70BC7"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lastRenderedPageBreak/>
              <w:t>Argumentare: Regulamentul nu prevede soluția pentru situația în care două proiecte de manual obțin același punctaj final, ceea ce constituie o lacună juridică.</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BC8"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lastRenderedPageBreak/>
              <w:t>Nu se acceptă.</w:t>
            </w:r>
          </w:p>
          <w:p w14:paraId="14C70BC9"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Ordinul de modificare nu introduce o normă de departajare a ofertelor cu punctaj final egal. Procedura de atribuire se organizează și se desfășoară în condițiile legislației privind achizițiile publice, potrivit pct. 2, 5 și 65, în redacția subpct. 2.1, 2.8 și 2.37 din ordinul de modificare, iar situațiile de egalitate se soluționează conform regulilor stabilite de această legislație.</w:t>
            </w:r>
          </w:p>
          <w:p w14:paraId="14C70BCA"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lastRenderedPageBreak/>
              <w:t>Pct. 77 se menține nemodificat și păstrează regula desemnării unei singure oferte câștigătoare pentru un titlu de manual.</w:t>
            </w:r>
          </w:p>
        </w:tc>
      </w:tr>
      <w:tr w:rsidR="00AE0442" w:rsidRPr="00AE0442" w14:paraId="14C70BD4" w14:textId="77777777">
        <w:trPr>
          <w:trHeight w:val="2130"/>
        </w:trPr>
        <w:tc>
          <w:tcPr>
            <w:tcW w:w="226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C70BCC" w14:textId="77777777" w:rsidR="00B2257C" w:rsidRPr="00AE0442" w:rsidRDefault="00B2257C">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8" w:space="0" w:color="000000"/>
              <w:right w:val="single" w:sz="8" w:space="0" w:color="000000"/>
            </w:tcBorders>
            <w:tcMar>
              <w:top w:w="0" w:type="dxa"/>
              <w:left w:w="108" w:type="dxa"/>
              <w:bottom w:w="0" w:type="dxa"/>
              <w:right w:w="108" w:type="dxa"/>
            </w:tcMar>
          </w:tcPr>
          <w:p w14:paraId="14C70BCD" w14:textId="72148127"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10</w:t>
            </w:r>
            <w:r w:rsidR="0038189C" w:rsidRPr="00AE0442">
              <w:rPr>
                <w:rFonts w:ascii="Times New Roman" w:eastAsia="Times New Roman" w:hAnsi="Times New Roman" w:cs="Times New Roman"/>
                <w:color w:val="000000" w:themeColor="text1"/>
                <w:sz w:val="24"/>
                <w:szCs w:val="24"/>
              </w:rPr>
              <w:t>4</w:t>
            </w:r>
          </w:p>
        </w:tc>
        <w:tc>
          <w:tcPr>
            <w:tcW w:w="6720" w:type="dxa"/>
            <w:tcBorders>
              <w:top w:val="nil"/>
              <w:left w:val="nil"/>
              <w:bottom w:val="single" w:sz="8" w:space="0" w:color="000000"/>
              <w:right w:val="single" w:sz="8" w:space="0" w:color="000000"/>
            </w:tcBorders>
            <w:tcMar>
              <w:top w:w="0" w:type="dxa"/>
              <w:left w:w="108" w:type="dxa"/>
              <w:bottom w:w="0" w:type="dxa"/>
              <w:right w:w="108" w:type="dxa"/>
            </w:tcMar>
          </w:tcPr>
          <w:p w14:paraId="14C70BCE"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Introducerea unui punct nou după pct. 84, privind examinarea divergențelor:</w:t>
            </w:r>
          </w:p>
          <w:p w14:paraId="14C70BCF"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„În cazul în care autorii proiectului de manual consideră că recomandările evaluatorilor, experților tematici sau ale participanților la consultarea publică contravin Curriculumului Național, metodologiei disciplinei sau fundamentelor științifice ale domeniului, aceștia motivează poziția în tabelul de divergențe prin argumente pedagogice și științifice. Divergențele sunt examinate de CNAM, cu participarea coordonatorului grupului de evaluatori și, după caz, a expertului tematic care a formulat recomandarea. CNAM adoptă o decizie motivată privind acceptarea sau respingerea recomandării și consemnează argumentele în procesul-verbal al ședinței.”</w:t>
            </w:r>
          </w:p>
          <w:p w14:paraId="14C70BD0"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Argumentare: nu există o procedură aplicabilă situației în care evaluatorii recomandă o soluție, expertul tematic recomandă contrariul, iar autorii demonstrează că recomandarea contravine Curriculumului sau metodologiei disciplinei; în lipsa unei proceduri, decizia poate deveni arbitrară.</w:t>
            </w:r>
          </w:p>
        </w:tc>
        <w:tc>
          <w:tcPr>
            <w:tcW w:w="4830" w:type="dxa"/>
            <w:tcBorders>
              <w:top w:val="nil"/>
              <w:left w:val="nil"/>
              <w:bottom w:val="single" w:sz="8" w:space="0" w:color="000000"/>
              <w:right w:val="single" w:sz="8" w:space="0" w:color="000000"/>
            </w:tcBorders>
            <w:tcMar>
              <w:top w:w="0" w:type="dxa"/>
              <w:left w:w="108" w:type="dxa"/>
              <w:bottom w:w="0" w:type="dxa"/>
              <w:right w:w="108" w:type="dxa"/>
            </w:tcMar>
          </w:tcPr>
          <w:p w14:paraId="14C70BD1"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Se acceptă parțial.</w:t>
            </w:r>
          </w:p>
          <w:p w14:paraId="14C70BD2"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Mecanismul de examinare a divergențelor este instituit prin modificările operate: pct. 41 lit. e), în redacția subpct. 2.29 din ordinul de modificare, prevede medierea ședințelor comune ale grupului de evaluatori și ale autorilor proiectului de manual pentru clarificarea aspectelor divergente în vederea atribuirii avizului „Bun de tipar”; pct. 84, în redacția subpct. 2.47, prevede prezentarea către CNAM a tabelului de divergențe completat cu opinia evaluatorilor și formularea de către CNAM a propunerilor cu privire la atribuirea avizului „Bun de tipar”.</w:t>
            </w:r>
          </w:p>
          <w:p w14:paraId="14C70BD3"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Nu se preiau, ca norme distincte, participarea obligatorie a expertului tematic la examinarea divergențelor și obligația consemnării argumentelor în procesul-verbal al ședinței.</w:t>
            </w:r>
          </w:p>
        </w:tc>
      </w:tr>
      <w:tr w:rsidR="00AE0442" w:rsidRPr="00AE0442" w14:paraId="14C70BDF" w14:textId="77777777" w:rsidTr="0038189C">
        <w:trPr>
          <w:trHeight w:val="2130"/>
        </w:trPr>
        <w:tc>
          <w:tcPr>
            <w:tcW w:w="2265" w:type="dxa"/>
            <w:vMerge/>
            <w:tcBorders>
              <w:top w:val="nil"/>
              <w:left w:val="single" w:sz="8" w:space="0" w:color="000000"/>
              <w:bottom w:val="single" w:sz="4" w:space="0" w:color="auto"/>
              <w:right w:val="single" w:sz="8" w:space="0" w:color="000000"/>
            </w:tcBorders>
            <w:tcMar>
              <w:top w:w="0" w:type="dxa"/>
              <w:left w:w="108" w:type="dxa"/>
              <w:bottom w:w="0" w:type="dxa"/>
              <w:right w:w="108" w:type="dxa"/>
            </w:tcMar>
          </w:tcPr>
          <w:p w14:paraId="14C70BD5" w14:textId="77777777" w:rsidR="00B2257C" w:rsidRPr="00AE0442" w:rsidRDefault="00B2257C">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p>
        </w:tc>
        <w:tc>
          <w:tcPr>
            <w:tcW w:w="705" w:type="dxa"/>
            <w:tcBorders>
              <w:top w:val="nil"/>
              <w:left w:val="nil"/>
              <w:bottom w:val="single" w:sz="4" w:space="0" w:color="auto"/>
              <w:right w:val="single" w:sz="8" w:space="0" w:color="000000"/>
            </w:tcBorders>
            <w:tcMar>
              <w:top w:w="0" w:type="dxa"/>
              <w:left w:w="108" w:type="dxa"/>
              <w:bottom w:w="0" w:type="dxa"/>
              <w:right w:w="108" w:type="dxa"/>
            </w:tcMar>
          </w:tcPr>
          <w:p w14:paraId="14C70BD6" w14:textId="2E7CD02A" w:rsidR="00B2257C" w:rsidRPr="00AE0442" w:rsidRDefault="00E1204F">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10</w:t>
            </w:r>
            <w:r w:rsidR="0038189C" w:rsidRPr="00AE0442">
              <w:rPr>
                <w:rFonts w:ascii="Times New Roman" w:eastAsia="Times New Roman" w:hAnsi="Times New Roman" w:cs="Times New Roman"/>
                <w:color w:val="000000" w:themeColor="text1"/>
                <w:sz w:val="24"/>
                <w:szCs w:val="24"/>
              </w:rPr>
              <w:t>5</w:t>
            </w:r>
          </w:p>
        </w:tc>
        <w:tc>
          <w:tcPr>
            <w:tcW w:w="6720" w:type="dxa"/>
            <w:tcBorders>
              <w:top w:val="nil"/>
              <w:left w:val="nil"/>
              <w:bottom w:val="single" w:sz="4" w:space="0" w:color="auto"/>
              <w:right w:val="single" w:sz="8" w:space="0" w:color="000000"/>
            </w:tcBorders>
            <w:tcMar>
              <w:top w:w="0" w:type="dxa"/>
              <w:left w:w="108" w:type="dxa"/>
              <w:bottom w:w="0" w:type="dxa"/>
              <w:right w:w="108" w:type="dxa"/>
            </w:tcMar>
          </w:tcPr>
          <w:p w14:paraId="14C70BD7"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Introducerea unei clasificări a recomandărilor formulate în procesul de evaluare:</w:t>
            </w:r>
          </w:p>
          <w:p w14:paraId="14C70BD8"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a) recomandări obligatorii, care vizează respectarea Curriculumului Național, corectitudinea științifică, respectarea legislației, caracterul incluziv și nediscriminatoriu, erorile de conținut și erorile metodologice majore;</w:t>
            </w:r>
          </w:p>
          <w:p w14:paraId="14C70BD9"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b) recomandări facultative, care vizează stilul redactării, exemplele suplimentare, variantele metodice alternative, aspectele de design și formulările editoriale.</w:t>
            </w:r>
          </w:p>
          <w:p w14:paraId="14C70BDA"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În cazul divergențelor privind caracterul obligatoriu al unei recomandări, decizia aparține CNAM, în baza argumentelor prezentate de evaluatori, experții tematici și autori.</w:t>
            </w:r>
          </w:p>
          <w:p w14:paraId="14C70BDB"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Argumentare: toate recomandările sunt tratate identic, deși au naturi diferite; autorii nu cunosc ce sunt obligați să modifice, ce pot argumenta și când pot refuza motivat o recomandare, iar evaluatorii pot avea influențe foarte diferite asupra conținutului manualului.</w:t>
            </w:r>
          </w:p>
        </w:tc>
        <w:tc>
          <w:tcPr>
            <w:tcW w:w="4830" w:type="dxa"/>
            <w:tcBorders>
              <w:top w:val="nil"/>
              <w:left w:val="nil"/>
              <w:bottom w:val="single" w:sz="4" w:space="0" w:color="auto"/>
              <w:right w:val="single" w:sz="8" w:space="0" w:color="000000"/>
            </w:tcBorders>
            <w:tcMar>
              <w:top w:w="0" w:type="dxa"/>
              <w:left w:w="108" w:type="dxa"/>
              <w:bottom w:w="0" w:type="dxa"/>
              <w:right w:w="108" w:type="dxa"/>
            </w:tcMar>
          </w:tcPr>
          <w:p w14:paraId="14C70BDC"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Nu se acceptă.</w:t>
            </w:r>
          </w:p>
          <w:p w14:paraId="14C70BDD"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Regulamentul nu instituie o clasificare a recomandărilor pe categorii. Selecția recomandărilor transmise ofertantului este asigurată prin pct. 41 lit. b¹), în redacția subpct. 2.29 din ordinul de modificare, potrivit căruia coordonatorul grupului de evaluatori stabilește observațiile reținute ca recomandări pentru ofertant, cu indicarea motivelor pentru care celelalte observații nu au fost reținute.</w:t>
            </w:r>
          </w:p>
          <w:p w14:paraId="14C70BDE" w14:textId="77777777" w:rsidR="00B2257C" w:rsidRPr="00AE0442" w:rsidRDefault="00E1204F">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Poziția autorilor față de recomandări se exprimă prin tabelul de divergențe, potrivit pct. 83 și 84, în redacția subpct. 2.46 și 2.47, iar decizia cu privire la atribuirea avizului „Bun de tipar” aparține CNAM și ministrului educației și cercetării, potrivit pct. 84 și 85.</w:t>
            </w:r>
          </w:p>
        </w:tc>
      </w:tr>
      <w:tr w:rsidR="0038189C" w:rsidRPr="00AE0442" w14:paraId="1FB6936B" w14:textId="77777777" w:rsidTr="0038189C">
        <w:trPr>
          <w:trHeight w:val="827"/>
        </w:trPr>
        <w:tc>
          <w:tcPr>
            <w:tcW w:w="22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79CC5A" w14:textId="77777777" w:rsidR="0038189C" w:rsidRPr="00AE0442" w:rsidRDefault="0038189C" w:rsidP="0038189C">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Centrul Național Anticorupție</w:t>
            </w:r>
          </w:p>
          <w:p w14:paraId="1B2FA95B" w14:textId="5AA14B32" w:rsidR="0038189C" w:rsidRPr="00AE0442" w:rsidRDefault="0038189C" w:rsidP="0038189C">
            <w:pPr>
              <w:pBdr>
                <w:top w:val="none" w:sz="0" w:space="0" w:color="000000"/>
                <w:left w:val="none" w:sz="0" w:space="0" w:color="000000"/>
                <w:bottom w:val="none" w:sz="0" w:space="0" w:color="000000"/>
                <w:right w:val="none" w:sz="0" w:space="0" w:color="000000"/>
              </w:pBdr>
              <w:ind w:firstLine="0"/>
              <w:jc w:val="left"/>
              <w:rPr>
                <w:rFonts w:ascii="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(nr. 06/2/14454 din 10.08.2026)</w:t>
            </w:r>
          </w:p>
        </w:tc>
        <w:tc>
          <w:tcPr>
            <w:tcW w:w="7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80CF8B" w14:textId="53A48723" w:rsidR="0038189C" w:rsidRPr="00AE0442" w:rsidRDefault="0038189C" w:rsidP="0038189C">
            <w:pPr>
              <w:pBdr>
                <w:top w:val="none" w:sz="0" w:space="0" w:color="000000"/>
                <w:left w:val="none" w:sz="0" w:space="0" w:color="000000"/>
                <w:bottom w:val="none" w:sz="0" w:space="0" w:color="000000"/>
                <w:right w:val="none" w:sz="0" w:space="0" w:color="000000"/>
              </w:pBdr>
              <w:ind w:firstLine="0"/>
              <w:jc w:val="center"/>
              <w:rPr>
                <w:rFonts w:ascii="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106</w:t>
            </w:r>
          </w:p>
        </w:tc>
        <w:tc>
          <w:tcPr>
            <w:tcW w:w="67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F676D8" w14:textId="77777777" w:rsidR="0038189C" w:rsidRPr="00AE0442" w:rsidRDefault="0038189C" w:rsidP="0038189C">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Expertiza anticorupție. Proiectul constituie act normativ în sensul art. 6 lit. e) din Legea nr. 100/2017 cu privire la actele normative. Potrivit art. 28 alin. (3) din Legea integrității nr. 82/2017, expertiza anticorupție a proiectelor de acte normative departamentale se efectuează de către autorii acestora, în conformitate cu Metodologia de efectuare a expertizei anticorupție a proiectelor de acte normative departamentale, aprobată prin Hotărârea Colegiului Centrului Național Anticorupție nr. 6/2017, cu modificările ulterioare.</w:t>
            </w:r>
          </w:p>
          <w:p w14:paraId="7EA6C5E8" w14:textId="4C3A05D3" w:rsidR="0038189C" w:rsidRPr="00AE0442" w:rsidRDefault="0038189C" w:rsidP="0038189C">
            <w:pPr>
              <w:pBdr>
                <w:top w:val="none" w:sz="0" w:space="0" w:color="000000"/>
                <w:left w:val="none" w:sz="0" w:space="0" w:color="000000"/>
                <w:bottom w:val="none" w:sz="0" w:space="0" w:color="000000"/>
                <w:right w:val="none" w:sz="0" w:space="0" w:color="000000"/>
              </w:pBdr>
              <w:ind w:firstLine="0"/>
              <w:jc w:val="left"/>
              <w:rPr>
                <w:rFonts w:ascii="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Potrivit pct. 7.1 al Metodologiei, în procesul de elaborare a proiectului autorul va prioritiza interesul public și va evita în cuprinsul acestuia norme care pot genera, la aplicare, apariția riscurilor de corupție.</w:t>
            </w:r>
          </w:p>
        </w:tc>
        <w:tc>
          <w:tcPr>
            <w:tcW w:w="48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FE42D2" w14:textId="77777777" w:rsidR="0038189C" w:rsidRPr="00AE0442" w:rsidRDefault="0038189C" w:rsidP="0038189C">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 xml:space="preserve">Se ia act. </w:t>
            </w:r>
          </w:p>
          <w:p w14:paraId="7D5663F4" w14:textId="77777777" w:rsidR="0038189C" w:rsidRPr="00AE0442" w:rsidRDefault="0038189C" w:rsidP="0038189C">
            <w:pPr>
              <w:pBdr>
                <w:top w:val="none" w:sz="0" w:space="0" w:color="000000"/>
                <w:left w:val="none" w:sz="0" w:space="0" w:color="000000"/>
                <w:bottom w:val="none" w:sz="0" w:space="0" w:color="000000"/>
                <w:right w:val="none" w:sz="0" w:space="0" w:color="000000"/>
              </w:pBdr>
              <w:ind w:firstLine="0"/>
              <w:jc w:val="left"/>
              <w:rPr>
                <w:rFonts w:ascii="Times New Roman" w:eastAsia="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Expertiza anticorupție se efectuează de autorul proiectului, conform Metodologiei aprobate prin Hotărârea Colegiului CNA nr. 6/2017.</w:t>
            </w:r>
          </w:p>
          <w:p w14:paraId="5F03613F" w14:textId="76457688" w:rsidR="0038189C" w:rsidRPr="00AE0442" w:rsidRDefault="0038189C" w:rsidP="0038189C">
            <w:pPr>
              <w:pBdr>
                <w:top w:val="none" w:sz="0" w:space="0" w:color="000000"/>
                <w:left w:val="none" w:sz="0" w:space="0" w:color="000000"/>
                <w:bottom w:val="none" w:sz="0" w:space="0" w:color="000000"/>
                <w:right w:val="none" w:sz="0" w:space="0" w:color="000000"/>
              </w:pBdr>
              <w:ind w:firstLine="0"/>
              <w:jc w:val="left"/>
              <w:rPr>
                <w:rFonts w:ascii="Times New Roman" w:hAnsi="Times New Roman" w:cs="Times New Roman"/>
                <w:color w:val="000000" w:themeColor="text1"/>
                <w:sz w:val="24"/>
                <w:szCs w:val="24"/>
              </w:rPr>
            </w:pPr>
            <w:r w:rsidRPr="00AE0442">
              <w:rPr>
                <w:rFonts w:ascii="Times New Roman" w:eastAsia="Times New Roman" w:hAnsi="Times New Roman" w:cs="Times New Roman"/>
                <w:color w:val="000000" w:themeColor="text1"/>
                <w:sz w:val="24"/>
                <w:szCs w:val="24"/>
              </w:rPr>
              <w:t>.</w:t>
            </w:r>
          </w:p>
        </w:tc>
      </w:tr>
    </w:tbl>
    <w:p w14:paraId="14C70BE0" w14:textId="77777777" w:rsidR="00B2257C" w:rsidRPr="00AE0442" w:rsidRDefault="00B2257C">
      <w:pPr>
        <w:pBdr>
          <w:top w:val="none" w:sz="0" w:space="0" w:color="000000"/>
          <w:left w:val="none" w:sz="0" w:space="0" w:color="000000"/>
          <w:bottom w:val="none" w:sz="0" w:space="0" w:color="000000"/>
          <w:right w:val="none" w:sz="0" w:space="0" w:color="000000"/>
        </w:pBdr>
        <w:tabs>
          <w:tab w:val="left" w:pos="884"/>
          <w:tab w:val="left" w:pos="1134"/>
          <w:tab w:val="left" w:pos="1196"/>
        </w:tabs>
        <w:ind w:firstLine="0"/>
        <w:jc w:val="center"/>
        <w:rPr>
          <w:color w:val="000000" w:themeColor="text1"/>
          <w:sz w:val="24"/>
          <w:szCs w:val="24"/>
        </w:rPr>
      </w:pPr>
    </w:p>
    <w:p w14:paraId="14C70BE1" w14:textId="77777777" w:rsidR="00B2257C" w:rsidRPr="00AE0442" w:rsidRDefault="00B2257C">
      <w:pPr>
        <w:pBdr>
          <w:top w:val="none" w:sz="0" w:space="0" w:color="000000"/>
          <w:left w:val="none" w:sz="0" w:space="0" w:color="000000"/>
          <w:bottom w:val="none" w:sz="0" w:space="0" w:color="000000"/>
          <w:right w:val="none" w:sz="0" w:space="0" w:color="000000"/>
        </w:pBdr>
        <w:tabs>
          <w:tab w:val="left" w:pos="884"/>
          <w:tab w:val="left" w:pos="1134"/>
          <w:tab w:val="left" w:pos="1196"/>
        </w:tabs>
        <w:ind w:firstLine="0"/>
        <w:jc w:val="right"/>
        <w:rPr>
          <w:color w:val="000000" w:themeColor="text1"/>
          <w:sz w:val="24"/>
          <w:szCs w:val="24"/>
        </w:rPr>
      </w:pPr>
    </w:p>
    <w:sectPr w:rsidR="00B2257C" w:rsidRPr="00AE0442">
      <w:headerReference w:type="default" r:id="rId6"/>
      <w:headerReference w:type="first" r:id="rId7"/>
      <w:pgSz w:w="16840" w:h="11907" w:orient="landscape"/>
      <w:pgMar w:top="990" w:right="1418" w:bottom="567" w:left="1418" w:header="709"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ED955B" w14:textId="77777777" w:rsidR="00DE7C6C" w:rsidRDefault="00DE7C6C">
      <w:r>
        <w:separator/>
      </w:r>
    </w:p>
  </w:endnote>
  <w:endnote w:type="continuationSeparator" w:id="0">
    <w:p w14:paraId="27D33F7E" w14:textId="77777777" w:rsidR="00DE7C6C" w:rsidRDefault="00DE7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 Benguiat_Bold">
    <w:altName w:val="Calibri"/>
    <w:charset w:val="00"/>
    <w:family w:val="auto"/>
    <w:pitch w:val="default"/>
  </w:font>
  <w:font w:name="$Caslon">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3F375E6E-BA46-401A-8CC6-17AFE0ECE54C}"/>
  </w:font>
  <w:font w:name="Cambria">
    <w:panose1 w:val="02040503050406030204"/>
    <w:charset w:val="00"/>
    <w:family w:val="roman"/>
    <w:pitch w:val="variable"/>
    <w:sig w:usb0="E00006FF" w:usb1="420024FF" w:usb2="02000000" w:usb3="00000000" w:csb0="0000019F" w:csb1="00000000"/>
    <w:embedRegular r:id="rId2" w:fontKey="{53998B63-8A60-4090-B7A4-ED54B9FFEDB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2BA9E5" w14:textId="77777777" w:rsidR="00DE7C6C" w:rsidRDefault="00DE7C6C">
      <w:r>
        <w:separator/>
      </w:r>
    </w:p>
  </w:footnote>
  <w:footnote w:type="continuationSeparator" w:id="0">
    <w:p w14:paraId="2CEC179D" w14:textId="77777777" w:rsidR="00DE7C6C" w:rsidRDefault="00DE7C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C70BE2" w14:textId="77777777" w:rsidR="0011692E" w:rsidRDefault="0011692E">
    <w:pPr>
      <w:pBdr>
        <w:top w:val="none" w:sz="0" w:space="0" w:color="000000"/>
        <w:left w:val="none" w:sz="0" w:space="0" w:color="000000"/>
        <w:bottom w:val="none" w:sz="0" w:space="0" w:color="000000"/>
        <w:right w:val="none" w:sz="0" w:space="0" w:color="000000"/>
      </w:pBdr>
      <w:tabs>
        <w:tab w:val="center" w:pos="4677"/>
        <w:tab w:val="right" w:pos="9355"/>
      </w:tabs>
      <w:ind w:firstLine="0"/>
      <w:jc w:val="center"/>
      <w:rPr>
        <w:sz w:val="22"/>
        <w:szCs w:val="22"/>
      </w:rPr>
    </w:pPr>
  </w:p>
  <w:p w14:paraId="14C70BE3" w14:textId="35D6E42F" w:rsidR="0011692E" w:rsidRDefault="0011692E">
    <w:pPr>
      <w:pBdr>
        <w:top w:val="nil"/>
        <w:left w:val="nil"/>
        <w:bottom w:val="nil"/>
        <w:right w:val="nil"/>
        <w:between w:val="nil"/>
      </w:pBdr>
      <w:tabs>
        <w:tab w:val="center" w:pos="4677"/>
        <w:tab w:val="right" w:pos="9355"/>
      </w:tabs>
      <w:ind w:firstLine="0"/>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AE0442">
      <w:rPr>
        <w:noProof/>
        <w:color w:val="000000"/>
        <w:sz w:val="28"/>
        <w:szCs w:val="28"/>
      </w:rPr>
      <w:t>17</w:t>
    </w:r>
    <w:r>
      <w:rPr>
        <w:color w:val="000000"/>
        <w:sz w:val="28"/>
        <w:szCs w:val="28"/>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C70BE4" w14:textId="77777777" w:rsidR="0011692E" w:rsidRDefault="0011692E">
    <w:pPr>
      <w:pBdr>
        <w:top w:val="nil"/>
        <w:left w:val="nil"/>
        <w:bottom w:val="nil"/>
        <w:right w:val="nil"/>
        <w:between w:val="nil"/>
      </w:pBdr>
      <w:tabs>
        <w:tab w:val="center" w:pos="4677"/>
        <w:tab w:val="right" w:pos="9355"/>
      </w:tabs>
      <w:ind w:firstLine="0"/>
      <w:rPr>
        <w:color w:val="000000"/>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57C"/>
    <w:rsid w:val="00091E01"/>
    <w:rsid w:val="0011692E"/>
    <w:rsid w:val="002A7689"/>
    <w:rsid w:val="0038189C"/>
    <w:rsid w:val="0039726B"/>
    <w:rsid w:val="006439E4"/>
    <w:rsid w:val="008F4BBE"/>
    <w:rsid w:val="009E0220"/>
    <w:rsid w:val="00AE0442"/>
    <w:rsid w:val="00B2257C"/>
    <w:rsid w:val="00DE7C6C"/>
    <w:rsid w:val="00E1204F"/>
    <w:rsid w:val="00F86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70910"/>
  <w15:docId w15:val="{DFFC35CD-B6E0-4E12-BB66-2BF4B1B99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o"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bCs/>
      <w:sz w:val="28"/>
      <w:szCs w:val="28"/>
    </w:rPr>
  </w:style>
  <w:style w:type="paragraph" w:styleId="Heading2">
    <w:name w:val="heading 2"/>
    <w:basedOn w:val="Normal"/>
    <w:next w:val="Normal"/>
    <w:uiPriority w:val="9"/>
    <w:semiHidden/>
    <w:unhideWhenUsed/>
    <w:qFormat/>
    <w:pPr>
      <w:keepNext/>
      <w:jc w:val="center"/>
      <w:outlineLvl w:val="1"/>
    </w:pPr>
    <w:rPr>
      <w:rFonts w:ascii="$ Benguiat_Bold" w:eastAsia="$ Benguiat_Bold" w:hAnsi="$ Benguiat_Bold" w:cs="$ Benguiat_Bold"/>
      <w:b/>
      <w:bCs/>
      <w:sz w:val="132"/>
      <w:szCs w:val="132"/>
    </w:rPr>
  </w:style>
  <w:style w:type="paragraph" w:styleId="Heading3">
    <w:name w:val="heading 3"/>
    <w:basedOn w:val="Normal"/>
    <w:next w:val="Normal"/>
    <w:uiPriority w:val="9"/>
    <w:semiHidden/>
    <w:unhideWhenUsed/>
    <w:qFormat/>
    <w:pPr>
      <w:keepNext/>
      <w:jc w:val="center"/>
      <w:outlineLvl w:val="2"/>
    </w:pPr>
    <w:rPr>
      <w:rFonts w:ascii="$Caslon" w:eastAsia="$Caslon" w:hAnsi="$Caslon" w:cs="$Caslon"/>
      <w:b/>
      <w:bCs/>
    </w:rPr>
  </w:style>
  <w:style w:type="paragraph" w:styleId="Heading4">
    <w:name w:val="heading 4"/>
    <w:basedOn w:val="Normal"/>
    <w:next w:val="Normal"/>
    <w:uiPriority w:val="9"/>
    <w:semiHidden/>
    <w:unhideWhenUsed/>
    <w:qFormat/>
    <w:pPr>
      <w:keepNext/>
      <w:jc w:val="center"/>
      <w:outlineLvl w:val="3"/>
    </w:pPr>
    <w:rPr>
      <w:rFonts w:ascii="$Caslon" w:eastAsia="$Caslon" w:hAnsi="$Caslon" w:cs="$Caslon"/>
      <w:b/>
      <w:bCs/>
      <w:sz w:val="26"/>
      <w:szCs w:val="26"/>
    </w:rPr>
  </w:style>
  <w:style w:type="paragraph" w:styleId="Heading5">
    <w:name w:val="heading 5"/>
    <w:basedOn w:val="Normal"/>
    <w:next w:val="Normal"/>
    <w:uiPriority w:val="9"/>
    <w:semiHidden/>
    <w:unhideWhenUsed/>
    <w:qFormat/>
    <w:pPr>
      <w:keepNext/>
      <w:jc w:val="center"/>
      <w:outlineLvl w:val="4"/>
    </w:pPr>
    <w:rPr>
      <w:rFonts w:ascii="$Caslon" w:eastAsia="$Caslon" w:hAnsi="$Caslon" w:cs="$Caslon"/>
      <w:sz w:val="24"/>
      <w:szCs w:val="24"/>
    </w:rPr>
  </w:style>
  <w:style w:type="paragraph" w:styleId="Heading6">
    <w:name w:val="heading 6"/>
    <w:basedOn w:val="Normal"/>
    <w:next w:val="Normal"/>
    <w:uiPriority w:val="9"/>
    <w:semiHidden/>
    <w:unhideWhenUsed/>
    <w:qFormat/>
    <w:pPr>
      <w:keepNext/>
      <w:jc w:val="center"/>
      <w:outlineLvl w:val="5"/>
    </w:pPr>
    <w:rPr>
      <w:rFonts w:ascii="$Caslon" w:eastAsia="$Caslon" w:hAnsi="$Caslon" w:cs="$Caslo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300" w:after="200"/>
    </w:pPr>
    <w:rPr>
      <w:sz w:val="48"/>
      <w:szCs w:val="48"/>
    </w:rPr>
  </w:style>
  <w:style w:type="paragraph" w:styleId="Subtitle">
    <w:name w:val="Subtitle"/>
    <w:basedOn w:val="Normal"/>
    <w:next w:val="Normal"/>
    <w:uiPriority w:val="11"/>
    <w:qFormat/>
    <w:pPr>
      <w:spacing w:before="200" w:after="200"/>
    </w:pPr>
    <w:rPr>
      <w:sz w:val="24"/>
      <w:szCs w:val="24"/>
    </w:rPr>
  </w:style>
  <w:style w:type="table" w:customStyle="1" w:styleId="a">
    <w:basedOn w:val="TableNormal0"/>
    <w:rPr>
      <w:rFonts w:ascii="Calibri" w:eastAsia="Calibri" w:hAnsi="Calibri" w:cs="Calibri"/>
    </w:rPr>
    <w:tblPr>
      <w:tblStyleRowBandSize w:val="1"/>
      <w:tblStyleColBandSize w:val="1"/>
      <w:tblCellMar>
        <w:top w:w="0" w:type="dxa"/>
        <w:left w:w="108" w:type="dxa"/>
        <w:bottom w:w="0" w:type="dxa"/>
        <w:right w:w="108" w:type="dxa"/>
      </w:tblCellMar>
    </w:tblPr>
  </w:style>
  <w:style w:type="paragraph" w:styleId="NormalWeb">
    <w:name w:val="Normal (Web)"/>
    <w:basedOn w:val="Normal"/>
    <w:uiPriority w:val="99"/>
    <w:semiHidden/>
    <w:unhideWhenUsed/>
    <w:rsid w:val="00F86558"/>
    <w:pPr>
      <w:spacing w:before="100" w:beforeAutospacing="1" w:after="100" w:afterAutospacing="1"/>
      <w:ind w:firstLine="0"/>
      <w:jc w:val="left"/>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53383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11862</Words>
  <Characters>67618</Characters>
  <Application>Microsoft Office Word</Application>
  <DocSecurity>0</DocSecurity>
  <Lines>563</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Angela Prisacaru</cp:lastModifiedBy>
  <cp:revision>9</cp:revision>
  <dcterms:created xsi:type="dcterms:W3CDTF">2026-09-28T21:38:00Z</dcterms:created>
  <dcterms:modified xsi:type="dcterms:W3CDTF">2026-09-29T10:52:00Z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