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2FA76E" w14:textId="0C3C53E6" w:rsidR="008B4BE6" w:rsidRPr="008D0F75" w:rsidRDefault="006933C3" w:rsidP="00B035BC">
      <w:pPr>
        <w:pBdr>
          <w:top w:val="none" w:sz="4" w:space="0" w:color="000000"/>
          <w:left w:val="none" w:sz="4" w:space="0" w:color="000000"/>
          <w:bottom w:val="none" w:sz="4" w:space="0" w:color="000000"/>
          <w:right w:val="none" w:sz="4" w:space="0" w:color="000000"/>
        </w:pBdr>
        <w:tabs>
          <w:tab w:val="left" w:pos="884"/>
          <w:tab w:val="left" w:pos="1196"/>
        </w:tabs>
        <w:ind w:firstLine="0"/>
        <w:jc w:val="right"/>
        <w:rPr>
          <w:sz w:val="24"/>
          <w:szCs w:val="24"/>
        </w:rPr>
      </w:pPr>
      <w:r w:rsidRPr="008D0F75">
        <w:rPr>
          <w:sz w:val="24"/>
          <w:szCs w:val="24"/>
        </w:rPr>
        <w:t>Anexa</w:t>
      </w:r>
      <w:r w:rsidR="00032B46" w:rsidRPr="008D0F75">
        <w:rPr>
          <w:sz w:val="24"/>
          <w:szCs w:val="24"/>
        </w:rPr>
        <w:t xml:space="preserve"> </w:t>
      </w:r>
      <w:r w:rsidRPr="008D0F75">
        <w:rPr>
          <w:sz w:val="24"/>
          <w:szCs w:val="24"/>
        </w:rPr>
        <w:t>nr.</w:t>
      </w:r>
      <w:r w:rsidR="00032B46" w:rsidRPr="008D0F75">
        <w:rPr>
          <w:sz w:val="24"/>
          <w:szCs w:val="24"/>
        </w:rPr>
        <w:t xml:space="preserve"> </w:t>
      </w:r>
      <w:r w:rsidRPr="008D0F75">
        <w:rPr>
          <w:sz w:val="24"/>
          <w:szCs w:val="24"/>
        </w:rPr>
        <w:t>2</w:t>
      </w:r>
    </w:p>
    <w:p w14:paraId="00A55B7A" w14:textId="77777777" w:rsidR="008B4BE6" w:rsidRPr="008D0F75" w:rsidRDefault="006933C3" w:rsidP="009D4C0F">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rPr>
      </w:pPr>
      <w:r w:rsidRPr="008D0F75">
        <w:rPr>
          <w:b/>
          <w:sz w:val="24"/>
          <w:szCs w:val="24"/>
        </w:rPr>
        <w:t>SINTEZA</w:t>
      </w:r>
    </w:p>
    <w:p w14:paraId="62B3197B" w14:textId="51C1F781" w:rsidR="008B4BE6" w:rsidRPr="008D0F75" w:rsidRDefault="006933C3" w:rsidP="009D4C0F">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rPr>
      </w:pPr>
      <w:r w:rsidRPr="008D0F75">
        <w:rPr>
          <w:b/>
          <w:sz w:val="24"/>
          <w:szCs w:val="24"/>
        </w:rPr>
        <w:t>la</w:t>
      </w:r>
      <w:r w:rsidR="00032B46" w:rsidRPr="008D0F75">
        <w:rPr>
          <w:b/>
          <w:sz w:val="24"/>
          <w:szCs w:val="24"/>
        </w:rPr>
        <w:t xml:space="preserve"> </w:t>
      </w:r>
      <w:r w:rsidRPr="008D0F75">
        <w:rPr>
          <w:b/>
          <w:sz w:val="24"/>
          <w:szCs w:val="24"/>
        </w:rPr>
        <w:t>proiectul</w:t>
      </w:r>
    </w:p>
    <w:p w14:paraId="71428381" w14:textId="5EC6C929" w:rsidR="009535ED" w:rsidRPr="008D0F75" w:rsidRDefault="009535ED" w:rsidP="009535ED">
      <w:pPr>
        <w:tabs>
          <w:tab w:val="left" w:pos="884"/>
          <w:tab w:val="left" w:pos="1196"/>
        </w:tabs>
        <w:rPr>
          <w:b/>
          <w:bCs/>
          <w:sz w:val="24"/>
          <w:szCs w:val="24"/>
        </w:rPr>
      </w:pPr>
      <w:r w:rsidRPr="008D0F75">
        <w:rPr>
          <w:b/>
          <w:bCs/>
          <w:sz w:val="24"/>
          <w:szCs w:val="24"/>
        </w:rPr>
        <w:t>privind aprobarea Regulamentului cu privire la normele de verificare a biocarburanților, biolichidelor și combustibililor din biomasă, precum și recunoașterea schemelor voluntare și modificarea unor acte normative</w:t>
      </w:r>
    </w:p>
    <w:p w14:paraId="7B7DC114" w14:textId="3A4C37A2" w:rsidR="008B4BE6" w:rsidRPr="008D0F75" w:rsidRDefault="006933C3" w:rsidP="002D39B1">
      <w:pPr>
        <w:tabs>
          <w:tab w:val="left" w:pos="884"/>
          <w:tab w:val="left" w:pos="1196"/>
        </w:tabs>
        <w:jc w:val="center"/>
        <w:rPr>
          <w:sz w:val="24"/>
          <w:szCs w:val="24"/>
        </w:rPr>
      </w:pPr>
      <w:r w:rsidRPr="008D0F75">
        <w:rPr>
          <w:i/>
          <w:sz w:val="24"/>
          <w:szCs w:val="24"/>
        </w:rPr>
        <w:t>(</w:t>
      </w:r>
      <w:r w:rsidR="0086209E" w:rsidRPr="008D0F75">
        <w:rPr>
          <w:i/>
          <w:sz w:val="24"/>
          <w:szCs w:val="24"/>
        </w:rPr>
        <w:t>număr unic 277/Men/2026</w:t>
      </w:r>
      <w:r w:rsidRPr="008D0F75">
        <w:rPr>
          <w:i/>
          <w:sz w:val="24"/>
          <w:szCs w:val="24"/>
        </w:rPr>
        <w:t>)</w:t>
      </w:r>
    </w:p>
    <w:p w14:paraId="2265058B" w14:textId="7FDE63ED" w:rsidR="008B4BE6" w:rsidRPr="008D0F75" w:rsidRDefault="00032B46" w:rsidP="00F37ED4">
      <w:pPr>
        <w:pBdr>
          <w:top w:val="none" w:sz="4" w:space="0" w:color="000000"/>
          <w:left w:val="none" w:sz="4" w:space="0" w:color="000000"/>
          <w:bottom w:val="none" w:sz="4" w:space="0" w:color="000000"/>
          <w:right w:val="none" w:sz="4" w:space="0" w:color="000000"/>
        </w:pBdr>
        <w:tabs>
          <w:tab w:val="left" w:pos="884"/>
          <w:tab w:val="left" w:pos="1196"/>
        </w:tabs>
        <w:rPr>
          <w:sz w:val="24"/>
          <w:szCs w:val="24"/>
        </w:rPr>
      </w:pPr>
      <w:r w:rsidRPr="008D0F75">
        <w:rPr>
          <w:b/>
          <w:sz w:val="24"/>
          <w:szCs w:val="24"/>
        </w:rPr>
        <w:t xml:space="preserve"> </w:t>
      </w:r>
    </w:p>
    <w:tbl>
      <w:tblPr>
        <w:tblStyle w:val="TableGrid"/>
        <w:tblW w:w="14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15"/>
        <w:gridCol w:w="7123"/>
        <w:gridCol w:w="3681"/>
      </w:tblGrid>
      <w:tr w:rsidR="006D3EB7" w:rsidRPr="008D0F75" w14:paraId="165C98F0" w14:textId="77777777" w:rsidTr="00BF0155">
        <w:tc>
          <w:tcPr>
            <w:tcW w:w="2405" w:type="dxa"/>
            <w:tcMar>
              <w:top w:w="0" w:type="dxa"/>
              <w:left w:w="108" w:type="dxa"/>
              <w:bottom w:w="0" w:type="dxa"/>
              <w:right w:w="108" w:type="dxa"/>
            </w:tcMar>
          </w:tcPr>
          <w:p w14:paraId="189260EB" w14:textId="76935528" w:rsidR="008B4BE6" w:rsidRPr="008D0F7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b/>
                <w:sz w:val="24"/>
                <w:szCs w:val="24"/>
              </w:rPr>
              <w:t>Participantul</w:t>
            </w:r>
            <w:r w:rsidR="00032B46" w:rsidRPr="008D0F75">
              <w:rPr>
                <w:rFonts w:ascii="Times New Roman" w:hAnsi="Times New Roman"/>
                <w:b/>
                <w:sz w:val="24"/>
                <w:szCs w:val="24"/>
              </w:rPr>
              <w:t xml:space="preserve"> </w:t>
            </w:r>
            <w:r w:rsidRPr="008D0F75">
              <w:rPr>
                <w:rFonts w:ascii="Times New Roman" w:hAnsi="Times New Roman"/>
                <w:b/>
                <w:sz w:val="24"/>
                <w:szCs w:val="24"/>
              </w:rPr>
              <w:t>la</w:t>
            </w:r>
            <w:r w:rsidR="00032B46" w:rsidRPr="008D0F75">
              <w:rPr>
                <w:rFonts w:ascii="Times New Roman" w:hAnsi="Times New Roman"/>
                <w:b/>
                <w:sz w:val="24"/>
                <w:szCs w:val="24"/>
              </w:rPr>
              <w:t xml:space="preserve"> </w:t>
            </w:r>
            <w:r w:rsidRPr="008D0F75">
              <w:rPr>
                <w:rFonts w:ascii="Times New Roman" w:hAnsi="Times New Roman"/>
                <w:b/>
                <w:sz w:val="24"/>
                <w:szCs w:val="24"/>
              </w:rPr>
              <w:t>avizare,</w:t>
            </w:r>
            <w:r w:rsidR="00032B46" w:rsidRPr="008D0F75">
              <w:rPr>
                <w:rFonts w:ascii="Times New Roman" w:hAnsi="Times New Roman"/>
                <w:b/>
                <w:sz w:val="24"/>
                <w:szCs w:val="24"/>
              </w:rPr>
              <w:t xml:space="preserve"> </w:t>
            </w:r>
            <w:r w:rsidRPr="008D0F75">
              <w:rPr>
                <w:rFonts w:ascii="Times New Roman" w:hAnsi="Times New Roman"/>
                <w:b/>
                <w:sz w:val="24"/>
                <w:szCs w:val="24"/>
              </w:rPr>
              <w:t>consultare</w:t>
            </w:r>
            <w:r w:rsidR="00032B46" w:rsidRPr="008D0F75">
              <w:rPr>
                <w:rFonts w:ascii="Times New Roman" w:hAnsi="Times New Roman"/>
                <w:b/>
                <w:sz w:val="24"/>
                <w:szCs w:val="24"/>
              </w:rPr>
              <w:t xml:space="preserve"> </w:t>
            </w:r>
            <w:r w:rsidRPr="008D0F75">
              <w:rPr>
                <w:rFonts w:ascii="Times New Roman" w:hAnsi="Times New Roman"/>
                <w:b/>
                <w:sz w:val="24"/>
                <w:szCs w:val="24"/>
              </w:rPr>
              <w:t>publică,</w:t>
            </w:r>
            <w:r w:rsidR="00032B46" w:rsidRPr="008D0F75">
              <w:rPr>
                <w:rFonts w:ascii="Times New Roman" w:hAnsi="Times New Roman"/>
                <w:b/>
                <w:sz w:val="24"/>
                <w:szCs w:val="24"/>
              </w:rPr>
              <w:t xml:space="preserve"> </w:t>
            </w:r>
            <w:r w:rsidRPr="008D0F75">
              <w:rPr>
                <w:rFonts w:ascii="Times New Roman" w:hAnsi="Times New Roman"/>
                <w:b/>
                <w:sz w:val="24"/>
                <w:szCs w:val="24"/>
              </w:rPr>
              <w:t>expertizare</w:t>
            </w:r>
          </w:p>
        </w:tc>
        <w:tc>
          <w:tcPr>
            <w:tcW w:w="815" w:type="dxa"/>
            <w:tcMar>
              <w:top w:w="0" w:type="dxa"/>
              <w:left w:w="108" w:type="dxa"/>
              <w:bottom w:w="0" w:type="dxa"/>
              <w:right w:w="108" w:type="dxa"/>
            </w:tcMar>
          </w:tcPr>
          <w:p w14:paraId="429CCC6C" w14:textId="0ADC1BF2" w:rsidR="008B4BE6" w:rsidRPr="008D0F75" w:rsidRDefault="006933C3"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b/>
                <w:sz w:val="24"/>
                <w:szCs w:val="24"/>
              </w:rPr>
              <w:t>Nr.</w:t>
            </w:r>
            <w:r w:rsidR="00032B46" w:rsidRPr="008D0F75">
              <w:rPr>
                <w:rFonts w:ascii="Times New Roman" w:hAnsi="Times New Roman"/>
                <w:b/>
                <w:sz w:val="24"/>
                <w:szCs w:val="24"/>
              </w:rPr>
              <w:t xml:space="preserve"> </w:t>
            </w:r>
            <w:r w:rsidR="00BA5B5B" w:rsidRPr="008D0F75">
              <w:rPr>
                <w:rFonts w:ascii="Times New Roman" w:hAnsi="Times New Roman"/>
                <w:b/>
                <w:sz w:val="24"/>
                <w:szCs w:val="24"/>
              </w:rPr>
              <w:t>crt.</w:t>
            </w:r>
          </w:p>
        </w:tc>
        <w:tc>
          <w:tcPr>
            <w:tcW w:w="7123" w:type="dxa"/>
            <w:tcMar>
              <w:top w:w="0" w:type="dxa"/>
              <w:left w:w="108" w:type="dxa"/>
              <w:bottom w:w="0" w:type="dxa"/>
              <w:right w:w="108" w:type="dxa"/>
            </w:tcMar>
          </w:tcPr>
          <w:p w14:paraId="145B15CB" w14:textId="6F43B9FC" w:rsidR="008B4BE6" w:rsidRPr="008D0F75"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4"/>
                <w:szCs w:val="24"/>
              </w:rPr>
            </w:pPr>
            <w:r w:rsidRPr="008D0F75">
              <w:rPr>
                <w:rFonts w:ascii="Times New Roman" w:hAnsi="Times New Roman"/>
                <w:b/>
                <w:sz w:val="24"/>
                <w:szCs w:val="24"/>
              </w:rPr>
              <w:t>Con</w:t>
            </w:r>
            <w:r w:rsidR="00863417" w:rsidRPr="008D0F75">
              <w:rPr>
                <w:rFonts w:ascii="Times New Roman" w:hAnsi="Times New Roman"/>
                <w:b/>
                <w:sz w:val="24"/>
                <w:szCs w:val="24"/>
              </w:rPr>
              <w:t>ț</w:t>
            </w:r>
            <w:r w:rsidRPr="008D0F75">
              <w:rPr>
                <w:rFonts w:ascii="Times New Roman" w:hAnsi="Times New Roman"/>
                <w:b/>
                <w:sz w:val="24"/>
                <w:szCs w:val="24"/>
              </w:rPr>
              <w:t>inutul</w:t>
            </w:r>
            <w:r w:rsidR="00032B46" w:rsidRPr="008D0F75">
              <w:rPr>
                <w:rFonts w:ascii="Times New Roman" w:hAnsi="Times New Roman"/>
                <w:b/>
                <w:sz w:val="24"/>
                <w:szCs w:val="24"/>
              </w:rPr>
              <w:t xml:space="preserve"> </w:t>
            </w:r>
            <w:r w:rsidRPr="008D0F75">
              <w:rPr>
                <w:rFonts w:ascii="Times New Roman" w:hAnsi="Times New Roman"/>
                <w:b/>
                <w:sz w:val="24"/>
                <w:szCs w:val="24"/>
              </w:rPr>
              <w:t>obiec</w:t>
            </w:r>
            <w:r w:rsidR="00863417" w:rsidRPr="008D0F75">
              <w:rPr>
                <w:rFonts w:ascii="Times New Roman" w:hAnsi="Times New Roman"/>
                <w:b/>
                <w:sz w:val="24"/>
                <w:szCs w:val="24"/>
              </w:rPr>
              <w:t>ț</w:t>
            </w:r>
            <w:r w:rsidRPr="008D0F75">
              <w:rPr>
                <w:rFonts w:ascii="Times New Roman" w:hAnsi="Times New Roman"/>
                <w:b/>
                <w:sz w:val="24"/>
                <w:szCs w:val="24"/>
              </w:rPr>
              <w:t>iei,</w:t>
            </w:r>
          </w:p>
          <w:p w14:paraId="055FB5F6" w14:textId="56D3CBFA" w:rsidR="008B4BE6" w:rsidRPr="008D0F7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b/>
                <w:sz w:val="24"/>
                <w:szCs w:val="24"/>
              </w:rPr>
              <w:t>propunerii,</w:t>
            </w:r>
            <w:r w:rsidR="00032B46" w:rsidRPr="008D0F75">
              <w:rPr>
                <w:rFonts w:ascii="Times New Roman" w:hAnsi="Times New Roman"/>
                <w:b/>
                <w:sz w:val="24"/>
                <w:szCs w:val="24"/>
              </w:rPr>
              <w:t xml:space="preserve"> </w:t>
            </w:r>
            <w:r w:rsidRPr="008D0F75">
              <w:rPr>
                <w:rFonts w:ascii="Times New Roman" w:hAnsi="Times New Roman"/>
                <w:b/>
                <w:sz w:val="24"/>
                <w:szCs w:val="24"/>
              </w:rPr>
              <w:t>recomandării,</w:t>
            </w:r>
            <w:r w:rsidR="00032B46" w:rsidRPr="008D0F75">
              <w:rPr>
                <w:rFonts w:ascii="Times New Roman" w:hAnsi="Times New Roman"/>
                <w:b/>
                <w:sz w:val="24"/>
                <w:szCs w:val="24"/>
              </w:rPr>
              <w:t xml:space="preserve"> </w:t>
            </w:r>
            <w:r w:rsidRPr="008D0F75">
              <w:rPr>
                <w:rFonts w:ascii="Times New Roman" w:hAnsi="Times New Roman"/>
                <w:b/>
                <w:sz w:val="24"/>
                <w:szCs w:val="24"/>
              </w:rPr>
              <w:t>concluziei</w:t>
            </w:r>
          </w:p>
        </w:tc>
        <w:tc>
          <w:tcPr>
            <w:tcW w:w="3681" w:type="dxa"/>
            <w:tcMar>
              <w:top w:w="0" w:type="dxa"/>
              <w:left w:w="108" w:type="dxa"/>
              <w:bottom w:w="0" w:type="dxa"/>
              <w:right w:w="108" w:type="dxa"/>
            </w:tcMar>
          </w:tcPr>
          <w:p w14:paraId="43D44E19" w14:textId="04D0A080" w:rsidR="008B4BE6" w:rsidRPr="008D0F75"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4"/>
                <w:szCs w:val="24"/>
              </w:rPr>
            </w:pPr>
            <w:r w:rsidRPr="008D0F75">
              <w:rPr>
                <w:rFonts w:ascii="Times New Roman" w:hAnsi="Times New Roman"/>
                <w:b/>
                <w:sz w:val="24"/>
                <w:szCs w:val="24"/>
              </w:rPr>
              <w:t>Argumentarea</w:t>
            </w:r>
          </w:p>
          <w:p w14:paraId="42C4E39B" w14:textId="729BF662" w:rsidR="008B4BE6" w:rsidRPr="008D0F75"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b/>
                <w:sz w:val="24"/>
                <w:szCs w:val="24"/>
              </w:rPr>
              <w:t>autorului</w:t>
            </w:r>
            <w:r w:rsidR="00032B46" w:rsidRPr="008D0F75">
              <w:rPr>
                <w:rFonts w:ascii="Times New Roman" w:hAnsi="Times New Roman"/>
                <w:b/>
                <w:sz w:val="24"/>
                <w:szCs w:val="24"/>
              </w:rPr>
              <w:t xml:space="preserve"> </w:t>
            </w:r>
            <w:r w:rsidRPr="008D0F75">
              <w:rPr>
                <w:rFonts w:ascii="Times New Roman" w:hAnsi="Times New Roman"/>
                <w:b/>
                <w:sz w:val="24"/>
                <w:szCs w:val="24"/>
              </w:rPr>
              <w:t>proiectului</w:t>
            </w:r>
          </w:p>
        </w:tc>
      </w:tr>
      <w:tr w:rsidR="006D3EB7" w:rsidRPr="008D0F75" w14:paraId="092EF798" w14:textId="77777777" w:rsidTr="00BF0155">
        <w:tc>
          <w:tcPr>
            <w:tcW w:w="14024" w:type="dxa"/>
            <w:gridSpan w:val="4"/>
            <w:tcMar>
              <w:top w:w="0" w:type="dxa"/>
              <w:left w:w="108" w:type="dxa"/>
              <w:bottom w:w="0" w:type="dxa"/>
              <w:right w:w="108" w:type="dxa"/>
            </w:tcMar>
          </w:tcPr>
          <w:p w14:paraId="7963EAAD" w14:textId="3FFD1402" w:rsidR="008B4BE6" w:rsidRPr="008D0F75" w:rsidRDefault="006933C3"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eastAsia="Times New Roman" w:hAnsi="Times New Roman"/>
                <w:sz w:val="24"/>
                <w:szCs w:val="24"/>
              </w:rPr>
              <w:t>Avizare</w:t>
            </w:r>
            <w:r w:rsidR="00032B46" w:rsidRPr="008D0F75">
              <w:rPr>
                <w:rFonts w:ascii="Times New Roman" w:eastAsia="Times New Roman" w:hAnsi="Times New Roman"/>
                <w:sz w:val="24"/>
                <w:szCs w:val="24"/>
              </w:rPr>
              <w:t xml:space="preserve"> </w:t>
            </w:r>
            <w:r w:rsidR="00863417" w:rsidRPr="008D0F75">
              <w:rPr>
                <w:rFonts w:ascii="Times New Roman" w:hAnsi="Times New Roman"/>
                <w:sz w:val="24"/>
                <w:szCs w:val="24"/>
              </w:rPr>
              <w:t>ș</w:t>
            </w:r>
            <w:r w:rsidRPr="008D0F75">
              <w:rPr>
                <w:rFonts w:ascii="Times New Roman" w:hAnsi="Times New Roman"/>
                <w:sz w:val="24"/>
                <w:szCs w:val="24"/>
              </w:rPr>
              <w:t>i</w:t>
            </w:r>
            <w:r w:rsidR="00032B46" w:rsidRPr="008D0F75">
              <w:rPr>
                <w:rFonts w:ascii="Times New Roman" w:hAnsi="Times New Roman"/>
                <w:sz w:val="24"/>
                <w:szCs w:val="24"/>
              </w:rPr>
              <w:t xml:space="preserve"> </w:t>
            </w:r>
            <w:r w:rsidRPr="008D0F75">
              <w:rPr>
                <w:rFonts w:ascii="Times New Roman" w:hAnsi="Times New Roman"/>
                <w:sz w:val="24"/>
                <w:szCs w:val="24"/>
              </w:rPr>
              <w:t>consultare</w:t>
            </w:r>
            <w:r w:rsidR="00032B46" w:rsidRPr="008D0F75">
              <w:rPr>
                <w:rFonts w:ascii="Times New Roman" w:hAnsi="Times New Roman"/>
                <w:sz w:val="24"/>
                <w:szCs w:val="24"/>
              </w:rPr>
              <w:t xml:space="preserve"> </w:t>
            </w:r>
            <w:r w:rsidRPr="008D0F75">
              <w:rPr>
                <w:rFonts w:ascii="Times New Roman" w:hAnsi="Times New Roman"/>
                <w:sz w:val="24"/>
                <w:szCs w:val="24"/>
              </w:rPr>
              <w:t>publică</w:t>
            </w:r>
          </w:p>
        </w:tc>
      </w:tr>
      <w:tr w:rsidR="006D3EB7" w:rsidRPr="008D0F75" w14:paraId="615D72BE" w14:textId="77777777" w:rsidTr="00BF0155">
        <w:tc>
          <w:tcPr>
            <w:tcW w:w="2405" w:type="dxa"/>
            <w:tcMar>
              <w:top w:w="0" w:type="dxa"/>
              <w:left w:w="108" w:type="dxa"/>
              <w:bottom w:w="0" w:type="dxa"/>
              <w:right w:w="108" w:type="dxa"/>
            </w:tcMar>
          </w:tcPr>
          <w:p w14:paraId="1E0B7751" w14:textId="77777777" w:rsidR="002C3C1D"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eastAsia="Times New Roman" w:hAnsi="Times New Roman"/>
                <w:sz w:val="24"/>
                <w:szCs w:val="24"/>
              </w:rPr>
              <w:t>Ministerul Educației și Cercetări</w:t>
            </w:r>
            <w:r w:rsidR="002C3C1D" w:rsidRPr="008D0F75">
              <w:rPr>
                <w:rFonts w:ascii="Times New Roman" w:hAnsi="Times New Roman"/>
                <w:sz w:val="24"/>
                <w:szCs w:val="24"/>
              </w:rPr>
              <w:t xml:space="preserve"> </w:t>
            </w:r>
          </w:p>
          <w:p w14:paraId="7D49F4C1" w14:textId="77777777" w:rsidR="002C3C1D" w:rsidRPr="008D0F75" w:rsidRDefault="002C3C1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9DD48B9" w14:textId="38ED28FB" w:rsidR="008B4BE6" w:rsidRPr="008D0F75" w:rsidRDefault="002C3C1D" w:rsidP="009535E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02/194/26 din 25.03.2026</w:t>
            </w:r>
          </w:p>
        </w:tc>
        <w:tc>
          <w:tcPr>
            <w:tcW w:w="815" w:type="dxa"/>
            <w:tcMar>
              <w:top w:w="0" w:type="dxa"/>
              <w:left w:w="108" w:type="dxa"/>
              <w:bottom w:w="0" w:type="dxa"/>
              <w:right w:w="108" w:type="dxa"/>
            </w:tcMar>
          </w:tcPr>
          <w:p w14:paraId="693BDE7C" w14:textId="1C7A4D13" w:rsidR="008B4BE6" w:rsidRPr="008D0F75" w:rsidRDefault="00D63201"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w:t>
            </w:r>
            <w:r w:rsidR="005E3460" w:rsidRPr="008D0F75">
              <w:rPr>
                <w:rFonts w:ascii="Times New Roman" w:hAnsi="Times New Roman"/>
                <w:sz w:val="24"/>
                <w:szCs w:val="24"/>
              </w:rPr>
              <w:t>.</w:t>
            </w:r>
          </w:p>
        </w:tc>
        <w:tc>
          <w:tcPr>
            <w:tcW w:w="7123" w:type="dxa"/>
            <w:tcMar>
              <w:top w:w="0" w:type="dxa"/>
              <w:left w:w="108" w:type="dxa"/>
              <w:bottom w:w="0" w:type="dxa"/>
              <w:right w:w="108" w:type="dxa"/>
            </w:tcMar>
          </w:tcPr>
          <w:p w14:paraId="38D32FDC" w14:textId="18F43F06" w:rsidR="008B4BE6" w:rsidRPr="008D0F75" w:rsidRDefault="008221E6"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18DFEB95" w14:textId="356A6926" w:rsidR="008B4BE6" w:rsidRPr="008D0F75" w:rsidRDefault="003D520B" w:rsidP="009535E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673BF0" w:rsidRPr="008D0F75">
              <w:rPr>
                <w:rFonts w:ascii="Times New Roman" w:hAnsi="Times New Roman"/>
                <w:b/>
                <w:bCs/>
                <w:sz w:val="24"/>
                <w:szCs w:val="24"/>
              </w:rPr>
              <w:t>.</w:t>
            </w:r>
          </w:p>
        </w:tc>
      </w:tr>
      <w:tr w:rsidR="009535ED" w:rsidRPr="008D0F75" w14:paraId="013E1D59" w14:textId="77777777" w:rsidTr="00BF0155">
        <w:tc>
          <w:tcPr>
            <w:tcW w:w="2405" w:type="dxa"/>
            <w:tcMar>
              <w:top w:w="0" w:type="dxa"/>
              <w:left w:w="108" w:type="dxa"/>
              <w:bottom w:w="0" w:type="dxa"/>
              <w:right w:w="108" w:type="dxa"/>
            </w:tcMar>
          </w:tcPr>
          <w:p w14:paraId="06697C21" w14:textId="77777777" w:rsidR="00433635"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Biroul Naţional de Statistică</w:t>
            </w:r>
            <w:r w:rsidR="00433635" w:rsidRPr="008D0F75">
              <w:rPr>
                <w:rFonts w:ascii="Times New Roman" w:hAnsi="Times New Roman"/>
                <w:sz w:val="24"/>
                <w:szCs w:val="24"/>
              </w:rPr>
              <w:t xml:space="preserve"> </w:t>
            </w:r>
          </w:p>
          <w:p w14:paraId="7C3E9595" w14:textId="77777777"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907C507" w14:textId="17CBB07E" w:rsidR="009535ED"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13/1-02-48 din 03.04.2026</w:t>
            </w:r>
          </w:p>
        </w:tc>
        <w:tc>
          <w:tcPr>
            <w:tcW w:w="815" w:type="dxa"/>
            <w:tcMar>
              <w:top w:w="0" w:type="dxa"/>
              <w:left w:w="108" w:type="dxa"/>
              <w:bottom w:w="0" w:type="dxa"/>
              <w:right w:w="108" w:type="dxa"/>
            </w:tcMar>
          </w:tcPr>
          <w:p w14:paraId="1A1E8DDD" w14:textId="19997FCB" w:rsidR="009535ED"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2.</w:t>
            </w:r>
          </w:p>
        </w:tc>
        <w:tc>
          <w:tcPr>
            <w:tcW w:w="7123" w:type="dxa"/>
            <w:tcMar>
              <w:top w:w="0" w:type="dxa"/>
              <w:left w:w="108" w:type="dxa"/>
              <w:bottom w:w="0" w:type="dxa"/>
              <w:right w:w="108" w:type="dxa"/>
            </w:tcMar>
          </w:tcPr>
          <w:p w14:paraId="2135157A" w14:textId="368E0C90" w:rsidR="009535ED" w:rsidRPr="008D0F75" w:rsidRDefault="008221E6"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0C85BA06" w14:textId="080E61B2" w:rsidR="009535ED" w:rsidRPr="008D0F75" w:rsidRDefault="003D520B" w:rsidP="009535E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673BF0" w:rsidRPr="008D0F75">
              <w:rPr>
                <w:rFonts w:ascii="Times New Roman" w:hAnsi="Times New Roman"/>
                <w:b/>
                <w:bCs/>
                <w:sz w:val="24"/>
                <w:szCs w:val="24"/>
              </w:rPr>
              <w:t>.</w:t>
            </w:r>
          </w:p>
        </w:tc>
      </w:tr>
      <w:tr w:rsidR="009535ED" w:rsidRPr="008D0F75" w14:paraId="4476F2D4" w14:textId="77777777" w:rsidTr="00BF0155">
        <w:tc>
          <w:tcPr>
            <w:tcW w:w="2405" w:type="dxa"/>
            <w:tcMar>
              <w:top w:w="0" w:type="dxa"/>
              <w:left w:w="108" w:type="dxa"/>
              <w:bottom w:w="0" w:type="dxa"/>
              <w:right w:w="108" w:type="dxa"/>
            </w:tcMar>
          </w:tcPr>
          <w:p w14:paraId="5E90A077" w14:textId="77777777" w:rsidR="009535ED"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Ministerului Infrastructurii și Dezvoltării Regionale</w:t>
            </w:r>
          </w:p>
          <w:p w14:paraId="10D4DE4D" w14:textId="50A38AE0" w:rsidR="00D8202C" w:rsidRPr="008D0F75" w:rsidRDefault="00D8202C"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(Inspectoratul Național pentru Supraveghere Tehnică)</w:t>
            </w:r>
          </w:p>
          <w:p w14:paraId="6DCD7E4E" w14:textId="77777777"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EE8DDC4" w14:textId="4ACC051D"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12 - 1544 din 24.03.2026</w:t>
            </w:r>
          </w:p>
        </w:tc>
        <w:tc>
          <w:tcPr>
            <w:tcW w:w="815" w:type="dxa"/>
            <w:tcMar>
              <w:top w:w="0" w:type="dxa"/>
              <w:left w:w="108" w:type="dxa"/>
              <w:bottom w:w="0" w:type="dxa"/>
              <w:right w:w="108" w:type="dxa"/>
            </w:tcMar>
          </w:tcPr>
          <w:p w14:paraId="36907229" w14:textId="5C005B9D" w:rsidR="009535ED"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3.</w:t>
            </w:r>
          </w:p>
        </w:tc>
        <w:tc>
          <w:tcPr>
            <w:tcW w:w="7123" w:type="dxa"/>
            <w:tcMar>
              <w:top w:w="0" w:type="dxa"/>
              <w:left w:w="108" w:type="dxa"/>
              <w:bottom w:w="0" w:type="dxa"/>
              <w:right w:w="108" w:type="dxa"/>
            </w:tcMar>
          </w:tcPr>
          <w:p w14:paraId="3D0C6D8B" w14:textId="16731FF4" w:rsidR="009873EB" w:rsidRPr="008D0F75" w:rsidRDefault="009535ED" w:rsidP="00D8202C">
            <w:pPr>
              <w:pStyle w:val="Default"/>
              <w:jc w:val="both"/>
              <w:rPr>
                <w:rFonts w:ascii="Times New Roman" w:hAnsi="Times New Roman"/>
              </w:rPr>
            </w:pPr>
            <w:r w:rsidRPr="008D0F75">
              <w:rPr>
                <w:rFonts w:ascii="Times New Roman" w:hAnsi="Times New Roman"/>
              </w:rPr>
              <w:t>În acest context, fiind relevantă poziția Inspectoratului Național pentru Supraveghere Tehnică, solicităm examinarea proiectului de hotărâre vizat și expunerea opiniei, în termen rezonabil, dar nu mai târziu de 01 aprilie 2026.</w:t>
            </w:r>
            <w:r w:rsidR="009873EB" w:rsidRPr="008D0F75">
              <w:rPr>
                <w:rFonts w:ascii="Times New Roman" w:hAnsi="Times New Roman"/>
              </w:rPr>
              <w:t xml:space="preserve"> Materialele pot fi vizualizate pe site-ul Cancelariei de Stat, compartimentul ,,Ședințele Secretarilor” la adresa:</w:t>
            </w:r>
          </w:p>
          <w:p w14:paraId="5E784D15" w14:textId="37619C0B" w:rsidR="009535ED" w:rsidRPr="008D0F75" w:rsidRDefault="009873EB" w:rsidP="00D8202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hyperlink r:id="rId11" w:history="1">
              <w:r w:rsidRPr="008D0F75">
                <w:rPr>
                  <w:rStyle w:val="Hyperlink"/>
                  <w:rFonts w:ascii="Times New Roman" w:eastAsia="Times New Roman" w:hAnsi="Times New Roman"/>
                  <w:sz w:val="24"/>
                  <w:szCs w:val="24"/>
                </w:rPr>
                <w:t>https://gov.md/sites/default/files/media/documents/sedinte-de-guvern/2026-03/277-MEn-2026.pdf</w:t>
              </w:r>
            </w:hyperlink>
          </w:p>
        </w:tc>
        <w:tc>
          <w:tcPr>
            <w:tcW w:w="3681" w:type="dxa"/>
            <w:tcMar>
              <w:top w:w="0" w:type="dxa"/>
              <w:left w:w="108" w:type="dxa"/>
              <w:bottom w:w="0" w:type="dxa"/>
              <w:right w:w="108" w:type="dxa"/>
            </w:tcMar>
          </w:tcPr>
          <w:p w14:paraId="483215B1" w14:textId="20BDDD4C" w:rsidR="009535ED" w:rsidRPr="008D0F75" w:rsidRDefault="003D520B" w:rsidP="009535E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673BF0" w:rsidRPr="008D0F75">
              <w:rPr>
                <w:rFonts w:ascii="Times New Roman" w:hAnsi="Times New Roman"/>
                <w:b/>
                <w:bCs/>
                <w:sz w:val="24"/>
                <w:szCs w:val="24"/>
              </w:rPr>
              <w:t>.</w:t>
            </w:r>
          </w:p>
        </w:tc>
      </w:tr>
      <w:tr w:rsidR="009535ED" w:rsidRPr="008D0F75" w14:paraId="6F789452" w14:textId="77777777" w:rsidTr="00BF0155">
        <w:tc>
          <w:tcPr>
            <w:tcW w:w="2405" w:type="dxa"/>
            <w:tcMar>
              <w:top w:w="0" w:type="dxa"/>
              <w:left w:w="108" w:type="dxa"/>
              <w:bottom w:w="0" w:type="dxa"/>
              <w:right w:w="108" w:type="dxa"/>
            </w:tcMar>
          </w:tcPr>
          <w:p w14:paraId="08E93715" w14:textId="77777777" w:rsidR="009535ED"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Justiţiei</w:t>
            </w:r>
          </w:p>
          <w:p w14:paraId="01AE4B3E" w14:textId="77777777"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A8A8835" w14:textId="68577A1E"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lastRenderedPageBreak/>
              <w:t>24.03.2026 nr. 04/2-3239</w:t>
            </w:r>
          </w:p>
        </w:tc>
        <w:tc>
          <w:tcPr>
            <w:tcW w:w="815" w:type="dxa"/>
            <w:tcMar>
              <w:top w:w="0" w:type="dxa"/>
              <w:left w:w="108" w:type="dxa"/>
              <w:bottom w:w="0" w:type="dxa"/>
              <w:right w:w="108" w:type="dxa"/>
            </w:tcMar>
          </w:tcPr>
          <w:p w14:paraId="7F980742" w14:textId="4360876F" w:rsidR="009535ED"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lastRenderedPageBreak/>
              <w:t>4.</w:t>
            </w:r>
          </w:p>
        </w:tc>
        <w:tc>
          <w:tcPr>
            <w:tcW w:w="7123" w:type="dxa"/>
            <w:tcMar>
              <w:top w:w="0" w:type="dxa"/>
              <w:left w:w="108" w:type="dxa"/>
              <w:bottom w:w="0" w:type="dxa"/>
              <w:right w:w="108" w:type="dxa"/>
            </w:tcMar>
          </w:tcPr>
          <w:p w14:paraId="3B268E6B" w14:textId="77777777" w:rsidR="009535ED"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atestă că proiectul prezentat spre avizare nu are tangență cu domeniile de activitate ale Ministerului Justiției, stabilite conform Regulamentului </w:t>
            </w:r>
            <w:r w:rsidRPr="008D0F75">
              <w:rPr>
                <w:rFonts w:ascii="Times New Roman" w:hAnsi="Times New Roman"/>
                <w:sz w:val="24"/>
                <w:szCs w:val="24"/>
              </w:rPr>
              <w:lastRenderedPageBreak/>
              <w:t>privind organizarea și funcționarea Ministerului Justiției, aprobat prin Hotărârea Guvernului nr. 698/2017 și nu vizează domeniile proprietății intelectuale reglementate la art. 3 și 4 din Legea nr. 114/2014 cu privire la Agenția de Stat pentru Proprietate Intelectuală.</w:t>
            </w:r>
          </w:p>
          <w:p w14:paraId="57123A07" w14:textId="77777777" w:rsidR="009535ED"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Potrivit art. 37 al Legii nr. 100/2017 cu privire la actele normative, Ministerul Justiției efectuează expertiza juridică care este obligatorie pentru toate proiectele actelor normative elaborate de către autorităţile administrației publice centrale de specialitate şi autorităţile publice autonome. În conformitate cu art. 34 alin. (3) din aceeași lege, expertiza juridică se efectuează la etapa finală, după definitivarea proiectului actului normativ potrivit avizelor, expertizei de compatibilitate cu legislația UE și rezultatelor consultărilor publice.</w:t>
            </w:r>
          </w:p>
          <w:p w14:paraId="60205CBF" w14:textId="79730C44" w:rsidR="009535ED"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Totodată, art. 37 alin. (11) din Legea nr. 100/2017 cu privire la actele normative, stabilește că proiectul actului normativ, însoțit de nota de fundamentare, de sinteză și, după caz, de tabelul de concordanță, se expediază Ministerului Justiției spre expertiză juridică.</w:t>
            </w:r>
          </w:p>
          <w:p w14:paraId="22771C73" w14:textId="77777777" w:rsidR="009535ED"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Astfel, după avizare și consultare publică, proiectul actului normativ, însoțit de nota de fundamentare, de sinteză și, după caz, de tabelul de concordanță, se expediază Ministerului Justiției.</w:t>
            </w:r>
          </w:p>
          <w:p w14:paraId="38A66C55" w14:textId="77777777" w:rsidR="009535ED" w:rsidRPr="008D0F75" w:rsidRDefault="009535ED"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Expertiza juridică are menirea de a asigura:</w:t>
            </w:r>
          </w:p>
          <w:p w14:paraId="0D792729" w14:textId="50EE8A4A" w:rsidR="00673BF0" w:rsidRPr="008D0F75" w:rsidRDefault="00673BF0"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a) concordanţa între proiectul actului normativ și prevederile Constituţiei, ale tratatelor internaţionale la care Republica Moldova este parte, ale legislaţiei naţionale şi ale legislaţiei Uniunii Europene, concordanţa între proiectul actului normativ, precum și jurisprudența Curţii Constituţionale şi cea a Curţii Europene a Drepturilor Omului; b) respectarea standardelor internaţionale în domeniul drepturilor omului; c) reglementarea integrală a raporturilor sociale abordate în proiect; d) încadrarea dispoziţiilor proiectului în cadrul normativ în vigoare; e) corespunderea proiectului actului normativ normelor tehnicii legislative. </w:t>
            </w:r>
          </w:p>
          <w:p w14:paraId="065B5D0D" w14:textId="2DA42701" w:rsidR="009535ED" w:rsidRPr="008D0F75" w:rsidRDefault="00673BF0"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acest context, proiectul definitivat potrivit avizelor se va prezenta pentru efectuarea expertizei juridice, urmare respectării procedurii expuse supra.</w:t>
            </w:r>
          </w:p>
        </w:tc>
        <w:tc>
          <w:tcPr>
            <w:tcW w:w="3681" w:type="dxa"/>
            <w:tcMar>
              <w:top w:w="0" w:type="dxa"/>
              <w:left w:w="108" w:type="dxa"/>
              <w:bottom w:w="0" w:type="dxa"/>
              <w:right w:w="108" w:type="dxa"/>
            </w:tcMar>
          </w:tcPr>
          <w:p w14:paraId="7A0D68C0" w14:textId="4A286128" w:rsidR="009535ED" w:rsidRPr="008D0F75" w:rsidRDefault="003D520B" w:rsidP="009535E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ia act</w:t>
            </w:r>
            <w:r w:rsidR="00673BF0" w:rsidRPr="008D0F75">
              <w:rPr>
                <w:rFonts w:ascii="Times New Roman" w:hAnsi="Times New Roman"/>
                <w:b/>
                <w:bCs/>
                <w:sz w:val="24"/>
                <w:szCs w:val="24"/>
              </w:rPr>
              <w:t>.</w:t>
            </w:r>
          </w:p>
        </w:tc>
      </w:tr>
      <w:tr w:rsidR="009535ED" w:rsidRPr="008D0F75" w14:paraId="42DFD674" w14:textId="77777777" w:rsidTr="00BF0155">
        <w:tc>
          <w:tcPr>
            <w:tcW w:w="2405" w:type="dxa"/>
            <w:tcMar>
              <w:top w:w="0" w:type="dxa"/>
              <w:left w:w="108" w:type="dxa"/>
              <w:bottom w:w="0" w:type="dxa"/>
              <w:right w:w="108" w:type="dxa"/>
            </w:tcMar>
          </w:tcPr>
          <w:p w14:paraId="528B794C" w14:textId="77777777" w:rsidR="009535ED" w:rsidRPr="008D0F75" w:rsidRDefault="00673BF0"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Sănătății</w:t>
            </w:r>
          </w:p>
          <w:p w14:paraId="1CA002A1" w14:textId="77777777"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395810A" w14:textId="4191A890"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09/1175 din 03.04.2025</w:t>
            </w:r>
          </w:p>
        </w:tc>
        <w:tc>
          <w:tcPr>
            <w:tcW w:w="815" w:type="dxa"/>
            <w:tcMar>
              <w:top w:w="0" w:type="dxa"/>
              <w:left w:w="108" w:type="dxa"/>
              <w:bottom w:w="0" w:type="dxa"/>
              <w:right w:w="108" w:type="dxa"/>
            </w:tcMar>
          </w:tcPr>
          <w:p w14:paraId="198419C7" w14:textId="37C8D1E3" w:rsidR="009535ED"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lastRenderedPageBreak/>
              <w:t>5.</w:t>
            </w:r>
          </w:p>
        </w:tc>
        <w:tc>
          <w:tcPr>
            <w:tcW w:w="7123" w:type="dxa"/>
            <w:tcMar>
              <w:top w:w="0" w:type="dxa"/>
              <w:left w:w="108" w:type="dxa"/>
              <w:bottom w:w="0" w:type="dxa"/>
              <w:right w:w="108" w:type="dxa"/>
            </w:tcMar>
          </w:tcPr>
          <w:p w14:paraId="7BDDA328" w14:textId="2AFCF76A" w:rsidR="009535ED" w:rsidRPr="008D0F75" w:rsidRDefault="008221E6"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00C93AC2" w14:textId="24B0D68F" w:rsidR="009535ED" w:rsidRPr="008D0F75" w:rsidRDefault="003D520B" w:rsidP="009535E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673BF0" w:rsidRPr="008D0F75">
              <w:rPr>
                <w:rFonts w:ascii="Times New Roman" w:hAnsi="Times New Roman"/>
                <w:b/>
                <w:bCs/>
                <w:sz w:val="24"/>
                <w:szCs w:val="24"/>
              </w:rPr>
              <w:t>.</w:t>
            </w:r>
          </w:p>
        </w:tc>
      </w:tr>
      <w:tr w:rsidR="009535ED" w:rsidRPr="008D0F75" w14:paraId="5F52068B" w14:textId="77777777" w:rsidTr="00BF0155">
        <w:tc>
          <w:tcPr>
            <w:tcW w:w="2405" w:type="dxa"/>
            <w:tcMar>
              <w:top w:w="0" w:type="dxa"/>
              <w:left w:w="108" w:type="dxa"/>
              <w:bottom w:w="0" w:type="dxa"/>
              <w:right w:w="108" w:type="dxa"/>
            </w:tcMar>
          </w:tcPr>
          <w:p w14:paraId="56345E76" w14:textId="77777777" w:rsidR="009535ED" w:rsidRPr="008D0F75" w:rsidRDefault="00673BF0"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Muncii și Protecției Sociale</w:t>
            </w:r>
          </w:p>
          <w:p w14:paraId="35A4C6CA" w14:textId="3218C7CF" w:rsidR="00433635" w:rsidRPr="008D0F75" w:rsidRDefault="00433635" w:rsidP="009535E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07/1696 din 27.03.2026</w:t>
            </w:r>
          </w:p>
        </w:tc>
        <w:tc>
          <w:tcPr>
            <w:tcW w:w="815" w:type="dxa"/>
            <w:tcMar>
              <w:top w:w="0" w:type="dxa"/>
              <w:left w:w="108" w:type="dxa"/>
              <w:bottom w:w="0" w:type="dxa"/>
              <w:right w:w="108" w:type="dxa"/>
            </w:tcMar>
          </w:tcPr>
          <w:p w14:paraId="0D6B1372" w14:textId="0BBDCF3F" w:rsidR="009535ED"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6.</w:t>
            </w:r>
          </w:p>
        </w:tc>
        <w:tc>
          <w:tcPr>
            <w:tcW w:w="7123" w:type="dxa"/>
            <w:tcMar>
              <w:top w:w="0" w:type="dxa"/>
              <w:left w:w="108" w:type="dxa"/>
              <w:bottom w:w="0" w:type="dxa"/>
              <w:right w:w="108" w:type="dxa"/>
            </w:tcMar>
          </w:tcPr>
          <w:p w14:paraId="5FD5AAA5" w14:textId="1A29CE83" w:rsidR="009535ED" w:rsidRPr="008D0F75" w:rsidRDefault="008221E6" w:rsidP="009535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2300588E" w14:textId="0EE302E7" w:rsidR="009535ED" w:rsidRPr="008D0F75" w:rsidRDefault="003D520B" w:rsidP="009535E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673BF0" w:rsidRPr="008D0F75">
              <w:rPr>
                <w:rFonts w:ascii="Times New Roman" w:hAnsi="Times New Roman"/>
                <w:b/>
                <w:bCs/>
                <w:sz w:val="24"/>
                <w:szCs w:val="24"/>
              </w:rPr>
              <w:t>.</w:t>
            </w:r>
          </w:p>
        </w:tc>
      </w:tr>
      <w:tr w:rsidR="00B93F43" w:rsidRPr="008D0F75" w14:paraId="77E9ACA1" w14:textId="77777777" w:rsidTr="00BF0155">
        <w:tc>
          <w:tcPr>
            <w:tcW w:w="2405" w:type="dxa"/>
            <w:tcMar>
              <w:top w:w="0" w:type="dxa"/>
              <w:left w:w="108" w:type="dxa"/>
              <w:bottom w:w="0" w:type="dxa"/>
              <w:right w:w="108" w:type="dxa"/>
            </w:tcMar>
          </w:tcPr>
          <w:p w14:paraId="3819F71E" w14:textId="77777777" w:rsidR="00B93F43" w:rsidRPr="008D0F75" w:rsidRDefault="00B93F43"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Agenţia Naţională pentru Reglementare în Energetică</w:t>
            </w:r>
          </w:p>
          <w:p w14:paraId="0055F89A" w14:textId="77777777"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D7233B2" w14:textId="7D2ECF88"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06-01/2297 din 06.04.2026</w:t>
            </w:r>
          </w:p>
        </w:tc>
        <w:tc>
          <w:tcPr>
            <w:tcW w:w="815" w:type="dxa"/>
            <w:tcMar>
              <w:top w:w="0" w:type="dxa"/>
              <w:left w:w="108" w:type="dxa"/>
              <w:bottom w:w="0" w:type="dxa"/>
              <w:right w:w="108" w:type="dxa"/>
            </w:tcMar>
          </w:tcPr>
          <w:p w14:paraId="013628DB" w14:textId="6B6C7250" w:rsidR="00B93F43"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7.</w:t>
            </w:r>
          </w:p>
        </w:tc>
        <w:tc>
          <w:tcPr>
            <w:tcW w:w="7123" w:type="dxa"/>
            <w:tcMar>
              <w:top w:w="0" w:type="dxa"/>
              <w:left w:w="108" w:type="dxa"/>
              <w:bottom w:w="0" w:type="dxa"/>
              <w:right w:w="108" w:type="dxa"/>
            </w:tcMar>
          </w:tcPr>
          <w:p w14:paraId="15CA1056" w14:textId="74F5F89D" w:rsidR="00B93F43" w:rsidRPr="008D0F75" w:rsidRDefault="008221E6"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03E15E42" w14:textId="47429C49" w:rsidR="00B93F43" w:rsidRPr="008D0F75" w:rsidRDefault="003D520B" w:rsidP="00B93F4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7D4CA2" w:rsidRPr="008D0F75">
              <w:rPr>
                <w:rFonts w:ascii="Times New Roman" w:hAnsi="Times New Roman"/>
                <w:b/>
                <w:bCs/>
                <w:sz w:val="24"/>
                <w:szCs w:val="24"/>
              </w:rPr>
              <w:t>.</w:t>
            </w:r>
          </w:p>
        </w:tc>
      </w:tr>
      <w:tr w:rsidR="00B93F43" w:rsidRPr="008D0F75" w14:paraId="1A5F2F19" w14:textId="77777777" w:rsidTr="00BF0155">
        <w:tc>
          <w:tcPr>
            <w:tcW w:w="2405" w:type="dxa"/>
            <w:tcMar>
              <w:top w:w="0" w:type="dxa"/>
              <w:left w:w="108" w:type="dxa"/>
              <w:bottom w:w="0" w:type="dxa"/>
              <w:right w:w="108" w:type="dxa"/>
            </w:tcMar>
          </w:tcPr>
          <w:p w14:paraId="44ECB20F" w14:textId="6D177AD0" w:rsidR="00B93F43" w:rsidRPr="008D0F75" w:rsidRDefault="00F37791"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Dezvoltării Economice și Digitalizării (</w:t>
            </w:r>
            <w:r w:rsidR="00B93F43" w:rsidRPr="008D0F75">
              <w:rPr>
                <w:rFonts w:ascii="Times New Roman" w:hAnsi="Times New Roman"/>
                <w:sz w:val="24"/>
                <w:szCs w:val="24"/>
              </w:rPr>
              <w:t>Inspectoratului de Stat pentru Supravegherea Produselor Nealimentare și Protecția Consumatorilor</w:t>
            </w:r>
            <w:r w:rsidRPr="008D0F75">
              <w:rPr>
                <w:rFonts w:ascii="Times New Roman" w:hAnsi="Times New Roman"/>
                <w:sz w:val="24"/>
                <w:szCs w:val="24"/>
              </w:rPr>
              <w:t>)</w:t>
            </w:r>
          </w:p>
          <w:p w14:paraId="567AD759" w14:textId="77777777"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775AE7F" w14:textId="2A97BD95"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27/11- 1849 din 03.04.2026</w:t>
            </w:r>
          </w:p>
        </w:tc>
        <w:tc>
          <w:tcPr>
            <w:tcW w:w="815" w:type="dxa"/>
            <w:tcMar>
              <w:top w:w="0" w:type="dxa"/>
              <w:left w:w="108" w:type="dxa"/>
              <w:bottom w:w="0" w:type="dxa"/>
              <w:right w:w="108" w:type="dxa"/>
            </w:tcMar>
          </w:tcPr>
          <w:p w14:paraId="18B3ECF8" w14:textId="3BAA7BB9" w:rsidR="00B93F43"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8.</w:t>
            </w:r>
          </w:p>
        </w:tc>
        <w:tc>
          <w:tcPr>
            <w:tcW w:w="7123" w:type="dxa"/>
            <w:tcMar>
              <w:top w:w="0" w:type="dxa"/>
              <w:left w:w="108" w:type="dxa"/>
              <w:bottom w:w="0" w:type="dxa"/>
              <w:right w:w="108" w:type="dxa"/>
            </w:tcMar>
          </w:tcPr>
          <w:p w14:paraId="4996ADBA" w14:textId="09F8F150" w:rsidR="00B93F43" w:rsidRPr="008D0F75" w:rsidRDefault="008221E6"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349384EC" w14:textId="0180BE96" w:rsidR="00B93F43" w:rsidRPr="008D0F75" w:rsidRDefault="003D520B" w:rsidP="00B93F4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B93F43" w:rsidRPr="008D0F75">
              <w:rPr>
                <w:rFonts w:ascii="Times New Roman" w:hAnsi="Times New Roman"/>
                <w:b/>
                <w:bCs/>
                <w:sz w:val="24"/>
                <w:szCs w:val="24"/>
              </w:rPr>
              <w:t>.</w:t>
            </w:r>
          </w:p>
        </w:tc>
      </w:tr>
      <w:tr w:rsidR="00B93F43" w:rsidRPr="008D0F75" w14:paraId="36C7B0B5" w14:textId="77777777" w:rsidTr="00BF0155">
        <w:tc>
          <w:tcPr>
            <w:tcW w:w="2405" w:type="dxa"/>
            <w:tcMar>
              <w:top w:w="0" w:type="dxa"/>
              <w:left w:w="108" w:type="dxa"/>
              <w:bottom w:w="0" w:type="dxa"/>
              <w:right w:w="108" w:type="dxa"/>
            </w:tcMar>
          </w:tcPr>
          <w:p w14:paraId="7BAF2800" w14:textId="77777777" w:rsidR="00B93F43" w:rsidRPr="008D0F75" w:rsidRDefault="00B93F43"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Congresul Autorităţilor Locale din Moldova</w:t>
            </w:r>
          </w:p>
          <w:p w14:paraId="22C7BA09" w14:textId="77777777"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72A6891" w14:textId="338EA817"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101 din 31 martie 2026</w:t>
            </w:r>
          </w:p>
        </w:tc>
        <w:tc>
          <w:tcPr>
            <w:tcW w:w="815" w:type="dxa"/>
            <w:tcMar>
              <w:top w:w="0" w:type="dxa"/>
              <w:left w:w="108" w:type="dxa"/>
              <w:bottom w:w="0" w:type="dxa"/>
              <w:right w:w="108" w:type="dxa"/>
            </w:tcMar>
          </w:tcPr>
          <w:p w14:paraId="60FA6AC0" w14:textId="77986B6D" w:rsidR="00B93F43"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9.</w:t>
            </w:r>
          </w:p>
        </w:tc>
        <w:tc>
          <w:tcPr>
            <w:tcW w:w="7123" w:type="dxa"/>
            <w:tcMar>
              <w:top w:w="0" w:type="dxa"/>
              <w:left w:w="108" w:type="dxa"/>
              <w:bottom w:w="0" w:type="dxa"/>
              <w:right w:w="108" w:type="dxa"/>
            </w:tcMar>
          </w:tcPr>
          <w:p w14:paraId="01DE2D0F" w14:textId="682613B3" w:rsidR="00B93F43" w:rsidRPr="008D0F75" w:rsidRDefault="005E3460"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w:t>
            </w:r>
            <w:r w:rsidR="00B93F43" w:rsidRPr="008D0F75">
              <w:rPr>
                <w:rFonts w:ascii="Times New Roman" w:hAnsi="Times New Roman"/>
                <w:sz w:val="24"/>
                <w:szCs w:val="24"/>
              </w:rPr>
              <w:t>ipsa obiecțiilor și propunerilor</w:t>
            </w:r>
            <w:r w:rsidR="008221E6" w:rsidRPr="008D0F75">
              <w:rPr>
                <w:rFonts w:ascii="Times New Roman" w:hAnsi="Times New Roman"/>
                <w:sz w:val="24"/>
                <w:szCs w:val="24"/>
              </w:rPr>
              <w:t>.</w:t>
            </w:r>
          </w:p>
        </w:tc>
        <w:tc>
          <w:tcPr>
            <w:tcW w:w="3681" w:type="dxa"/>
            <w:tcMar>
              <w:top w:w="0" w:type="dxa"/>
              <w:left w:w="108" w:type="dxa"/>
              <w:bottom w:w="0" w:type="dxa"/>
              <w:right w:w="108" w:type="dxa"/>
            </w:tcMar>
          </w:tcPr>
          <w:p w14:paraId="43733BBE" w14:textId="2BD1A4F8" w:rsidR="00B93F43" w:rsidRPr="008D0F75" w:rsidRDefault="003D520B" w:rsidP="00B93F4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B93F43" w:rsidRPr="008D0F75">
              <w:rPr>
                <w:rFonts w:ascii="Times New Roman" w:hAnsi="Times New Roman"/>
                <w:b/>
                <w:bCs/>
                <w:sz w:val="24"/>
                <w:szCs w:val="24"/>
              </w:rPr>
              <w:t>.</w:t>
            </w:r>
          </w:p>
        </w:tc>
      </w:tr>
      <w:tr w:rsidR="00B93F43" w:rsidRPr="008D0F75" w14:paraId="1BCBE0A7" w14:textId="77777777" w:rsidTr="00BF0155">
        <w:tc>
          <w:tcPr>
            <w:tcW w:w="2405" w:type="dxa"/>
            <w:tcMar>
              <w:top w:w="0" w:type="dxa"/>
              <w:left w:w="108" w:type="dxa"/>
              <w:bottom w:w="0" w:type="dxa"/>
              <w:right w:w="108" w:type="dxa"/>
            </w:tcMar>
          </w:tcPr>
          <w:p w14:paraId="2762AC78" w14:textId="77777777" w:rsidR="00B93F43" w:rsidRPr="008D0F75" w:rsidRDefault="00B93F43"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Centrul Naţional pentru Protecția Datelor cu Caracter Personal</w:t>
            </w:r>
          </w:p>
          <w:p w14:paraId="21FC65A7" w14:textId="77777777"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747274F" w14:textId="6AD48BF6"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04-01/1151 din 03.04.2026</w:t>
            </w:r>
          </w:p>
        </w:tc>
        <w:tc>
          <w:tcPr>
            <w:tcW w:w="815" w:type="dxa"/>
            <w:tcMar>
              <w:top w:w="0" w:type="dxa"/>
              <w:left w:w="108" w:type="dxa"/>
              <w:bottom w:w="0" w:type="dxa"/>
              <w:right w:w="108" w:type="dxa"/>
            </w:tcMar>
          </w:tcPr>
          <w:p w14:paraId="5FBBDFBC" w14:textId="66D6E9DE" w:rsidR="00B93F43" w:rsidRPr="008D0F75" w:rsidRDefault="005E3460"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10.</w:t>
            </w:r>
          </w:p>
        </w:tc>
        <w:tc>
          <w:tcPr>
            <w:tcW w:w="7123" w:type="dxa"/>
            <w:tcMar>
              <w:top w:w="0" w:type="dxa"/>
              <w:left w:w="108" w:type="dxa"/>
              <w:bottom w:w="0" w:type="dxa"/>
              <w:right w:w="108" w:type="dxa"/>
            </w:tcMar>
          </w:tcPr>
          <w:p w14:paraId="45830790" w14:textId="3815D14B" w:rsidR="00B93F43" w:rsidRPr="008D0F75" w:rsidRDefault="005E3460"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w:t>
            </w:r>
            <w:r w:rsidR="00B93F43" w:rsidRPr="008D0F75">
              <w:rPr>
                <w:rFonts w:ascii="Times New Roman" w:hAnsi="Times New Roman"/>
                <w:sz w:val="24"/>
                <w:szCs w:val="24"/>
              </w:rPr>
              <w:t>ipsa obiecțiilor și propunerilor.</w:t>
            </w:r>
          </w:p>
        </w:tc>
        <w:tc>
          <w:tcPr>
            <w:tcW w:w="3681" w:type="dxa"/>
            <w:tcMar>
              <w:top w:w="0" w:type="dxa"/>
              <w:left w:w="108" w:type="dxa"/>
              <w:bottom w:w="0" w:type="dxa"/>
              <w:right w:w="108" w:type="dxa"/>
            </w:tcMar>
          </w:tcPr>
          <w:p w14:paraId="4EC5F81A" w14:textId="6D627835" w:rsidR="00B93F43" w:rsidRPr="008D0F75" w:rsidRDefault="003D520B" w:rsidP="00B93F4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r w:rsidR="00B93F43" w:rsidRPr="008D0F75">
              <w:rPr>
                <w:rFonts w:ascii="Times New Roman" w:hAnsi="Times New Roman"/>
                <w:b/>
                <w:bCs/>
                <w:sz w:val="24"/>
                <w:szCs w:val="24"/>
              </w:rPr>
              <w:t>.</w:t>
            </w:r>
          </w:p>
        </w:tc>
      </w:tr>
      <w:tr w:rsidR="00BC7E28" w:rsidRPr="008D0F75" w14:paraId="4D2861C0" w14:textId="77777777" w:rsidTr="00BF0155">
        <w:tc>
          <w:tcPr>
            <w:tcW w:w="2405" w:type="dxa"/>
            <w:tcMar>
              <w:top w:w="0" w:type="dxa"/>
              <w:left w:w="108" w:type="dxa"/>
              <w:bottom w:w="0" w:type="dxa"/>
              <w:right w:w="108" w:type="dxa"/>
            </w:tcMar>
          </w:tcPr>
          <w:p w14:paraId="759FF526" w14:textId="7EA9E946" w:rsidR="00BC7E28"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Centrul </w:t>
            </w:r>
            <w:r w:rsidR="00201652" w:rsidRPr="008D0F75">
              <w:rPr>
                <w:rFonts w:ascii="Times New Roman" w:hAnsi="Times New Roman"/>
                <w:sz w:val="24"/>
                <w:szCs w:val="24"/>
              </w:rPr>
              <w:t>d</w:t>
            </w:r>
            <w:r w:rsidRPr="008D0F75">
              <w:rPr>
                <w:rFonts w:ascii="Times New Roman" w:hAnsi="Times New Roman"/>
                <w:sz w:val="24"/>
                <w:szCs w:val="24"/>
              </w:rPr>
              <w:t>e Armonizare A Legislației</w:t>
            </w:r>
          </w:p>
          <w:p w14:paraId="70DC722A" w14:textId="77777777"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1884713" w14:textId="6645AAE2" w:rsidR="00987BA9" w:rsidRPr="008D0F75" w:rsidRDefault="00987BA9" w:rsidP="00B93F43">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 xml:space="preserve">Nr. 31/02-126-3978 din  </w:t>
            </w:r>
            <w:r w:rsidR="00620696" w:rsidRPr="008D0F75">
              <w:rPr>
                <w:rFonts w:ascii="Times New Roman" w:hAnsi="Times New Roman"/>
                <w:i/>
                <w:iCs/>
                <w:sz w:val="24"/>
                <w:szCs w:val="24"/>
              </w:rPr>
              <w:t>0</w:t>
            </w:r>
            <w:r w:rsidRPr="008D0F75">
              <w:rPr>
                <w:rFonts w:ascii="Times New Roman" w:hAnsi="Times New Roman"/>
                <w:i/>
                <w:iCs/>
                <w:sz w:val="24"/>
                <w:szCs w:val="24"/>
              </w:rPr>
              <w:t>7.04.2026</w:t>
            </w:r>
          </w:p>
        </w:tc>
        <w:tc>
          <w:tcPr>
            <w:tcW w:w="815" w:type="dxa"/>
            <w:tcMar>
              <w:top w:w="0" w:type="dxa"/>
              <w:left w:w="108" w:type="dxa"/>
              <w:bottom w:w="0" w:type="dxa"/>
              <w:right w:w="108" w:type="dxa"/>
            </w:tcMar>
          </w:tcPr>
          <w:p w14:paraId="741B9604" w14:textId="683F7E23" w:rsidR="00BC7E28" w:rsidRPr="008D0F75" w:rsidRDefault="002745C7" w:rsidP="00C173A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11.</w:t>
            </w:r>
          </w:p>
        </w:tc>
        <w:tc>
          <w:tcPr>
            <w:tcW w:w="7123" w:type="dxa"/>
            <w:tcMar>
              <w:top w:w="0" w:type="dxa"/>
              <w:left w:w="108" w:type="dxa"/>
              <w:bottom w:w="0" w:type="dxa"/>
              <w:right w:w="108" w:type="dxa"/>
            </w:tcMar>
          </w:tcPr>
          <w:p w14:paraId="603DDB8D" w14:textId="7E30D54F" w:rsidR="00972B28" w:rsidRPr="008D0F75" w:rsidRDefault="00972B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Observații de compatibilitate cu Regulamentul delegat (UE) 2023/1185</w:t>
            </w:r>
          </w:p>
          <w:p w14:paraId="4B586C91" w14:textId="77777777" w:rsidR="00972B28" w:rsidRPr="008D0F75" w:rsidRDefault="00972B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C0232F0" w14:textId="24CCA717" w:rsidR="00972B28" w:rsidRPr="008D0F75" w:rsidRDefault="00972B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Totodată, constatăm că proiectul național nu a asigurat transpunerea art. 2 din Regulament cu referire la stabilirea pragului minim de reducere a emisiilor de gaze cu efect de seră de cel puțin 70 % prin utilizarea combustibililor pe bază de carbon reciclat. Potrivit mențiunilor din tabelul de concordanță, această prevedere urmează a fi transpusă printr-un alt act normativ național ulterior. În acest context, atragem atenția că, transpunerea ulterioară a actului UE nu este planificată în Programul Național de Aderare pentru perioada 2025–2029.</w:t>
            </w:r>
          </w:p>
          <w:p w14:paraId="23DADF95" w14:textId="77777777" w:rsidR="00972B28" w:rsidRPr="008D0F75" w:rsidRDefault="00972B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2D836D9" w14:textId="6F7B1768"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Clauza de armonizare a proiectului național, se va expune în următoarea redacție:</w:t>
            </w:r>
          </w:p>
          <w:p w14:paraId="40FCFC68"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„Prezenta Hotărâre:</w:t>
            </w:r>
          </w:p>
          <w:p w14:paraId="63755484"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parțial (transpune: art. 2 (46) și (47), art. 30 (5), (7), (9) și (10), art. 31 (1) - (4) și (6) și anexa VIII ) Directiva (UE) 2018/2001 a Parlamentului European și a Consiliului din 11 decembrie 2018 privind promovarea utilizării energiei din surse regenerabile (reformare), publicat în Jurnalul Oficial al Uniunii Europene L 328 din 21 decembrie 2018, CELEX: 32018L2001, așa cum a fost modificată ultima dată prin Directiva (UE) 2024/1711 a Parlamentului European și a Consiliului din 13 iunie 2024;</w:t>
            </w:r>
          </w:p>
          <w:p w14:paraId="736B0055"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iunie 2024; - transpune parțial (transpune: art. 1, art. 3 și Anexa) Regulamentul delegat (UE) 2023/1185 al Comisiei din 10 februarie 2023 de completare a Directivei (UE) 2018/2001 a Parlamentului European și a Consiliului prin stabilirea unui prag minim pentru reducerea emisiilor </w:t>
            </w:r>
            <w:r w:rsidRPr="008D0F75">
              <w:rPr>
                <w:rFonts w:ascii="Times New Roman" w:hAnsi="Times New Roman"/>
                <w:sz w:val="24"/>
                <w:szCs w:val="24"/>
              </w:rPr>
              <w:lastRenderedPageBreak/>
              <w:t>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p>
          <w:p w14:paraId="564A1DCE"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 CELEX: 32022R2448;</w:t>
            </w:r>
          </w:p>
          <w:p w14:paraId="3ACDBF75"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Decizia Comisiei din 10 iunie 2010 privind orientările pentru calcularea stocurilor de carbon din sol în sensul anexei V la Directiva 2009/28/CE, (2010/335/UE) publicat în Jurnalul Oficial al Uniunii Europene, seria L 151 din 17 iunie 2010, CELEX: 32010D0335;</w:t>
            </w:r>
          </w:p>
          <w:p w14:paraId="0BFB1E99" w14:textId="33D1CC2B"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 punere în aplicare (UE) 2022/996 al Comisiei din 14 iunie 2022 privind normele de verificare a criteriilor de durabilitate și de reducere a emisiilor de gaze cu efect de seră și a criteriilor privind riscurile reduse din perspectiva schimbării indirecte a destinației terenurilor, publicat în Jurnalul Oficial al Uniunii Europene, seria L 168 din 27 iunie 2022, CELEX: 32022R0996, așa cum a fost modificat ultima dată prin Regulamentul de punere în aplicare (UE) 2025/196 al Comisiei din 3 februarie 2025;</w:t>
            </w:r>
          </w:p>
          <w:p w14:paraId="72287CBD" w14:textId="44218EDD"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delegat (UE) 2023/1640 al Comisiei din 5 iunie 2023 privind metodologia de stabilire a ponderii biocombustibililor și a biogazului pentru transporturi rezultând din prelucrarea biomasei împreună cu combustibili fosili în cadrul unui proces comun, publicat în Jurnalul Oficial al Uniunii Europene, seria L 205 din 18 august 2023, CELEX: 32023R1640;</w:t>
            </w:r>
          </w:p>
          <w:p w14:paraId="235EE54B" w14:textId="5B384A52"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transpune Regulamentul (UE) nr. 1307/2014 al Comisiei din 8 decembrie 2014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 publicat în Jurnalul Oficial al Uniunii Europene, seria L 351 din 9 decembrie 2014 CELEX: 32014R1307;</w:t>
            </w:r>
          </w:p>
          <w:p w14:paraId="34EA2FE2" w14:textId="03396528"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Directiva delegată (UE) 2024/1405 a Comisiei din 14 martie 2024 de modificare a anexei IX la Directiva (UE) 2018/2001 a Parlamentului European și a Consiliului în ceea ce privește adăugarea de materii prime pentru producția de biocombustibili și biogaz, publicat în Jurnalul Oficial al Uniunii Europene, seria L 2024/1405 din 17 mai 2024, CELEX: 32024L1405.”</w:t>
            </w:r>
          </w:p>
          <w:p w14:paraId="68E01402"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7DAA38A" w14:textId="279E3A39"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De asemenea, clauza de armonizare a HG nr. 53/2025 și HG nr. 74/2025 se va formula după modelul de mai jos:</w:t>
            </w:r>
          </w:p>
          <w:p w14:paraId="1A5733C4" w14:textId="5AA137A4"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Hotărârea Guvernului nr. 53/2025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w:t>
            </w:r>
          </w:p>
          <w:p w14:paraId="7DBB5D21"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,,Prezenta Hotărâre: </w:t>
            </w:r>
          </w:p>
          <w:p w14:paraId="561C6428" w14:textId="64B137ED"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parțial (transpune: art. 2, art. 25 - 30 (1), (3) - (7), (9) și (10), Anexa III și Anexa IX)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090DBB58" w14:textId="7F66B836"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transpune parțial (transpune: art. 3) Regulamentul delegat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p>
          <w:p w14:paraId="5101FF4A"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D9B6A0D"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Anexa nr. 2 la Hotărârea Guvernului nr. 53/2025: </w:t>
            </w:r>
          </w:p>
          <w:p w14:paraId="0CCC6B15" w14:textId="5B7549C1"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,,Prezenta Metodologie transpune parțial (transpune: art. 31 (1) - (4) și (6)) din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19E04EF2"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E2D2EE0"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Anexa nr. 3 la Hotărârea Guvernului nr. 53/2025: </w:t>
            </w:r>
          </w:p>
          <w:p w14:paraId="5D20488D" w14:textId="13B0515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,,Prezenta Metodologie transpune parțial (transpune: art. 1 și Anexa) Regulamentul delegat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p>
          <w:p w14:paraId="2EC21C1F"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E6E061D"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Anexa nr. 4 la Hotărârea Guvernului nr. 53/2025: </w:t>
            </w:r>
          </w:p>
          <w:p w14:paraId="70D2E7B4" w14:textId="74691596"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,,Prezentele Orientări transpun 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 CELEX: 32022R2448”</w:t>
            </w:r>
          </w:p>
          <w:p w14:paraId="0871479C"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F21E5DA"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Anexa nr. 5 la Hotărârea Guvernului nr. 53/2025: </w:t>
            </w:r>
          </w:p>
          <w:p w14:paraId="79547510" w14:textId="4F94EBAB"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,,Prezentele Orientări transpun Decizia Comisiei din 10 iunie 2010 privind orientările pentru calcularea stocurilor de carbon din sol în sensul Anexei V la Directiva 2009/28/CE, publicată în Jurnalul Oficial al Uniunii Europene, seria L 151 din 17 iunie 2010, CELEX:32010D0335”</w:t>
            </w:r>
          </w:p>
          <w:p w14:paraId="213DF8FE"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ACA1E33" w14:textId="16034CED"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Hotărârea Guvernului nr. 74/2025 cu privire la aprobarea Regulamentului privind calculul consumului de energie din surse regenerabile:</w:t>
            </w:r>
          </w:p>
          <w:p w14:paraId="726DF568" w14:textId="1616F1A4"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,,Prezenta Hotărâre transpune Directiva delegată (UE) 2024/1405 a Comisiei din 14 martie 2024 de modificare a anexei IX la Directiva (UE) 2018/2001 a Parlamentului European și a Consiliului în ceea ce privește adăugarea de materii prime pentru producția de biocombustibili și biogaz, publicat în Jurnalul Oficial al Uniunii Europene, seria L 2024/1405 din 17 mai 2024, CELEX: 32024L1405”;</w:t>
            </w:r>
          </w:p>
          <w:p w14:paraId="0464ADD0"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5563AE4" w14:textId="53AA8CFF"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Proiectul de hotărâre a Guvernului privind aprobarea Regulamentului cu privire la normele de verificare a biocarburanților, biolichidelor și combustibililor din biomasă, precum și recunoașterea schemelor voluntare și modificarea unor acte normative:</w:t>
            </w:r>
          </w:p>
          <w:p w14:paraId="68C80838"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80E044B"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,Prezentul Regulament: </w:t>
            </w:r>
          </w:p>
          <w:p w14:paraId="04A222FE" w14:textId="0B1B796D"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transpune Regulamentul de punere în aplicare (UE) 2022/996 al Comisiei din 14 iunie 2022 privind normele de verificare a criteriilor de durabilitate și de reducere a emisiilor de gaze cu efect de seră și a criteriilor privind riscurile reduse din perspectiva schimbării indirecte a destinației terenurilor, publicat în Jurnalul Oficial al Uniunii Europene, seria L 168 din 27 iunie 2022, CELEX: 32022R0996;</w:t>
            </w:r>
          </w:p>
          <w:p w14:paraId="558FA5FC"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delegat (UE) 2023/1640 al Comisiei din 5 iunie 2023 privind metodologia de stabilire a ponderii biocombustibililor și a biogazului pentru transporturi rezultând din prelucrarea biomasei împreună cu combustibili fosili în cadrul unui proces comun, publicat în Jurnalul Oficial al Uniunii Europene, seria L 205 din 18 august 2023, CELEX: 32023R1640;</w:t>
            </w:r>
          </w:p>
          <w:p w14:paraId="5E4FCB0D" w14:textId="77777777"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(UE) nr. 1307/2014 al Comisiei din 8 decembrie 2014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 publicat în Jurnalul Oficial al Uniunii Europene, seria L 351 din 9 decembrie 2014, CELEX: 32014R1307;</w:t>
            </w:r>
          </w:p>
          <w:p w14:paraId="615709CB" w14:textId="07AF96C0" w:rsidR="00BC7E28" w:rsidRPr="008D0F75" w:rsidRDefault="00BC7E28" w:rsidP="00B93F4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parțial (transpune Anexa VIII)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tc>
        <w:tc>
          <w:tcPr>
            <w:tcW w:w="3681" w:type="dxa"/>
            <w:tcMar>
              <w:top w:w="0" w:type="dxa"/>
              <w:left w:w="108" w:type="dxa"/>
              <w:bottom w:w="0" w:type="dxa"/>
              <w:right w:w="108" w:type="dxa"/>
            </w:tcMar>
          </w:tcPr>
          <w:p w14:paraId="50E59E7C" w14:textId="77777777" w:rsidR="00010D3D" w:rsidRPr="008D0F75" w:rsidRDefault="00C80024" w:rsidP="00B93F4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w:t>
            </w:r>
          </w:p>
          <w:p w14:paraId="0E359F1C" w14:textId="77777777" w:rsidR="009273ED" w:rsidRPr="008D0F75" w:rsidRDefault="009273ED" w:rsidP="00B93F4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631F91C7" w14:textId="02AFF23E" w:rsidR="009273ED" w:rsidRPr="008D0F75" w:rsidRDefault="009273ED" w:rsidP="00B93F4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r>
      <w:tr w:rsidR="00363C6D" w:rsidRPr="008D0F75" w14:paraId="3C257342" w14:textId="77777777" w:rsidTr="003371CD">
        <w:trPr>
          <w:trHeight w:val="699"/>
        </w:trPr>
        <w:tc>
          <w:tcPr>
            <w:tcW w:w="2405" w:type="dxa"/>
            <w:vMerge w:val="restart"/>
            <w:tcMar>
              <w:top w:w="0" w:type="dxa"/>
              <w:left w:w="108" w:type="dxa"/>
              <w:bottom w:w="0" w:type="dxa"/>
              <w:right w:w="108" w:type="dxa"/>
            </w:tcMar>
          </w:tcPr>
          <w:p w14:paraId="71248AD9"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Petrom-Moldova S.R.L.</w:t>
            </w:r>
          </w:p>
          <w:p w14:paraId="002D29F0"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E455EAC" w14:textId="5FAE84A6"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110 din 03.04.2026</w:t>
            </w:r>
          </w:p>
        </w:tc>
        <w:tc>
          <w:tcPr>
            <w:tcW w:w="815" w:type="dxa"/>
            <w:vMerge w:val="restart"/>
            <w:tcMar>
              <w:top w:w="0" w:type="dxa"/>
              <w:left w:w="108" w:type="dxa"/>
              <w:bottom w:w="0" w:type="dxa"/>
              <w:right w:w="108" w:type="dxa"/>
            </w:tcMar>
          </w:tcPr>
          <w:p w14:paraId="264DD22A" w14:textId="3F4BD2FE"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12.</w:t>
            </w:r>
          </w:p>
        </w:tc>
        <w:tc>
          <w:tcPr>
            <w:tcW w:w="7123" w:type="dxa"/>
            <w:tcMar>
              <w:top w:w="0" w:type="dxa"/>
              <w:left w:w="108" w:type="dxa"/>
              <w:bottom w:w="0" w:type="dxa"/>
              <w:right w:w="108" w:type="dxa"/>
            </w:tcMar>
          </w:tcPr>
          <w:p w14:paraId="0C9ECE6B"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sz w:val="24"/>
                <w:szCs w:val="24"/>
              </w:rPr>
              <w:t>1. Introducerea unei definiții noi în Regulament</w:t>
            </w:r>
            <w:r w:rsidRPr="008D0F75">
              <w:rPr>
                <w:rFonts w:ascii="Times New Roman" w:hAnsi="Times New Roman"/>
                <w:sz w:val="24"/>
                <w:szCs w:val="24"/>
              </w:rPr>
              <w:t xml:space="preserve">: </w:t>
            </w:r>
          </w:p>
          <w:p w14:paraId="12845B65" w14:textId="436183E3"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activitatea de eșantionare – prelevare de probe a unui produs şi efectuarea încercărilor de determinare a parametrilor și specificațiilor tehnice stabilite în actele normative ce se referă la produsul respectiv.</w:t>
            </w:r>
          </w:p>
        </w:tc>
        <w:tc>
          <w:tcPr>
            <w:tcW w:w="3681" w:type="dxa"/>
            <w:tcMar>
              <w:top w:w="0" w:type="dxa"/>
              <w:left w:w="108" w:type="dxa"/>
              <w:bottom w:w="0" w:type="dxa"/>
              <w:right w:w="108" w:type="dxa"/>
            </w:tcMar>
          </w:tcPr>
          <w:p w14:paraId="184DB7D8" w14:textId="77777777" w:rsidR="00363C6D" w:rsidRPr="008D0F75" w:rsidRDefault="00FA1AE9" w:rsidP="008C65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Nu se acceptă</w:t>
            </w:r>
          </w:p>
          <w:p w14:paraId="5AED3AD2" w14:textId="77777777" w:rsidR="00342FD1" w:rsidRPr="008D0F75" w:rsidRDefault="00342FD1" w:rsidP="008C656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7AB2E5C3" w14:textId="28C87925" w:rsidR="00472076" w:rsidRPr="008D0F75" w:rsidRDefault="00FA1AE9" w:rsidP="008C65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evitarea redundanței </w:t>
            </w:r>
            <w:r w:rsidR="003371CD" w:rsidRPr="008D0F75">
              <w:rPr>
                <w:rFonts w:ascii="Times New Roman" w:hAnsi="Times New Roman"/>
                <w:sz w:val="24"/>
                <w:szCs w:val="24"/>
              </w:rPr>
              <w:t>definiției</w:t>
            </w:r>
            <w:r w:rsidRPr="008D0F75">
              <w:rPr>
                <w:rFonts w:ascii="Times New Roman" w:hAnsi="Times New Roman"/>
                <w:sz w:val="24"/>
                <w:szCs w:val="24"/>
              </w:rPr>
              <w:t xml:space="preserve"> „eșantion”, întrucât acesta nu depășește sensul său uzual.</w:t>
            </w:r>
          </w:p>
        </w:tc>
      </w:tr>
      <w:tr w:rsidR="00363C6D" w:rsidRPr="008D0F75" w14:paraId="7ACF49C2" w14:textId="77777777" w:rsidTr="00BF0155">
        <w:trPr>
          <w:trHeight w:val="266"/>
        </w:trPr>
        <w:tc>
          <w:tcPr>
            <w:tcW w:w="2405" w:type="dxa"/>
            <w:vMerge/>
            <w:tcMar>
              <w:top w:w="0" w:type="dxa"/>
              <w:left w:w="108" w:type="dxa"/>
              <w:bottom w:w="0" w:type="dxa"/>
              <w:right w:w="108" w:type="dxa"/>
            </w:tcMar>
          </w:tcPr>
          <w:p w14:paraId="3D947A5D"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815" w:type="dxa"/>
            <w:vMerge/>
            <w:tcMar>
              <w:top w:w="0" w:type="dxa"/>
              <w:left w:w="108" w:type="dxa"/>
              <w:bottom w:w="0" w:type="dxa"/>
              <w:right w:w="108" w:type="dxa"/>
            </w:tcMar>
          </w:tcPr>
          <w:p w14:paraId="04271735"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Mar>
              <w:top w:w="0" w:type="dxa"/>
              <w:left w:w="108" w:type="dxa"/>
              <w:bottom w:w="0" w:type="dxa"/>
              <w:right w:w="108" w:type="dxa"/>
            </w:tcMar>
          </w:tcPr>
          <w:p w14:paraId="53C9478C"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2. Lipsa obligației de certificare a fiecărui operator economic din lanțul de aprovizionare</w:t>
            </w:r>
          </w:p>
          <w:p w14:paraId="6BCAA76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Deși conform în p.76 din Regulament este prevăzută obligația operatorilor economici de a transmite informațiile documentate temeinic cu privire la caracteristicile de durabilitate și de reducere a emisiilor de gaze cu efect de seră (GES), precum și alte informații care descriu materiile prime sau combustibilii, necesare în conformitate cu HG 53/2025, Proiectul nu impune în mod expres fiecărui operator economic din lanțul de aprovizionare obligația de a deține o certificare individuală în cadrul unei scheme voluntare sau naționale de certificare.</w:t>
            </w:r>
          </w:p>
          <w:p w14:paraId="58857A61"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Or, Proiectul se limitează la obligația de transmitere a informațiilor privind durabilitatea, fără a condiționa participarea la lanțul de aprovizionare de deținerea unui certificat valid.</w:t>
            </w:r>
          </w:p>
          <w:p w14:paraId="13B4B23C"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Astfel, considerăm că pentru a evita o ruptură în lanțul de custodie toți operatorii economici care preiau proprietatea legală asupra materialului urmează să fie certificați individual.</w:t>
            </w:r>
          </w:p>
          <w:p w14:paraId="162656DB"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urmare, se propune completarea Regulamentului cu un nou punct, având următorul cuprins:</w:t>
            </w:r>
          </w:p>
          <w:p w14:paraId="6AB2026D" w14:textId="18547D4A"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„Fiecare operator economic care preia proprietatea legală asupra biocarburanților, biolichidelor, combustibililor din biomasă sau a materiilor prime destinate producerii acestora, în cadrul lanțului de aprovizionare, este obligat să dețină un certificat valid emis de un organism de certificare acreditat, în cadrul unei scheme voluntare recunoscute sau al schemei naționale, în conformitate cu prevederile prezentului regulament. Transmiterea informațiilor privind caracteristicile de durabilitate către următorul operator economic din lanțul de aprovizionare este condiționată de deținerea unui astfel de certificat.”</w:t>
            </w:r>
          </w:p>
        </w:tc>
        <w:tc>
          <w:tcPr>
            <w:tcW w:w="3681" w:type="dxa"/>
            <w:tcMar>
              <w:top w:w="0" w:type="dxa"/>
              <w:left w:w="108" w:type="dxa"/>
              <w:bottom w:w="0" w:type="dxa"/>
              <w:right w:w="108" w:type="dxa"/>
            </w:tcMar>
          </w:tcPr>
          <w:p w14:paraId="7ABAB943" w14:textId="77777777" w:rsidR="000A1827" w:rsidRPr="008D0F75" w:rsidRDefault="000A1827" w:rsidP="000A182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Nu se acceptă</w:t>
            </w:r>
          </w:p>
          <w:p w14:paraId="3B6E6291" w14:textId="77777777" w:rsidR="00342FD1" w:rsidRPr="008D0F75" w:rsidRDefault="00342FD1" w:rsidP="000A182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07F121A7" w14:textId="438315D8" w:rsidR="00CD6882" w:rsidRPr="008D0F75" w:rsidRDefault="00F0273F" w:rsidP="00CD688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Proiectul </w:t>
            </w:r>
            <w:r w:rsidR="003733F6" w:rsidRPr="008D0F75">
              <w:rPr>
                <w:rFonts w:ascii="Times New Roman" w:hAnsi="Times New Roman"/>
                <w:sz w:val="24"/>
                <w:szCs w:val="24"/>
              </w:rPr>
              <w:t>Regulamentul</w:t>
            </w:r>
            <w:r w:rsidRPr="008D0F75">
              <w:rPr>
                <w:rFonts w:ascii="Times New Roman" w:hAnsi="Times New Roman"/>
                <w:sz w:val="24"/>
                <w:szCs w:val="24"/>
              </w:rPr>
              <w:t>ui</w:t>
            </w:r>
            <w:r w:rsidR="003733F6" w:rsidRPr="008D0F75">
              <w:rPr>
                <w:rFonts w:ascii="Times New Roman" w:hAnsi="Times New Roman"/>
                <w:sz w:val="24"/>
                <w:szCs w:val="24"/>
              </w:rPr>
              <w:t xml:space="preserve"> </w:t>
            </w:r>
            <w:r w:rsidR="00CD6882" w:rsidRPr="008D0F75">
              <w:rPr>
                <w:rFonts w:ascii="Times New Roman" w:hAnsi="Times New Roman"/>
                <w:sz w:val="24"/>
                <w:szCs w:val="24"/>
              </w:rPr>
              <w:t>transpune integral Regulamentul de punere în aplicare (UE) 2022/996 care stabilește norme de punere în aplicare pentru a verifica într-un mod eficient și armonizat a conformității.</w:t>
            </w:r>
          </w:p>
          <w:p w14:paraId="6220307D" w14:textId="77777777" w:rsidR="00CD6882" w:rsidRPr="008D0F75" w:rsidRDefault="00CD6882" w:rsidP="000A182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05B8F967" w14:textId="7819B337" w:rsidR="00363C6D" w:rsidRPr="008D0F75" w:rsidRDefault="00CD6882" w:rsidP="00451CE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Totodată, s</w:t>
            </w:r>
            <w:r w:rsidR="004713C8" w:rsidRPr="008D0F75">
              <w:rPr>
                <w:rFonts w:ascii="Times New Roman" w:hAnsi="Times New Roman"/>
                <w:sz w:val="24"/>
                <w:szCs w:val="24"/>
              </w:rPr>
              <w:t>ubpct</w:t>
            </w:r>
            <w:r w:rsidR="0076117A" w:rsidRPr="008D0F75">
              <w:rPr>
                <w:rFonts w:ascii="Times New Roman" w:hAnsi="Times New Roman"/>
                <w:sz w:val="24"/>
                <w:szCs w:val="24"/>
              </w:rPr>
              <w:t>.</w:t>
            </w:r>
            <w:r w:rsidR="004713C8" w:rsidRPr="008D0F75">
              <w:rPr>
                <w:rFonts w:ascii="Times New Roman" w:hAnsi="Times New Roman"/>
                <w:sz w:val="24"/>
                <w:szCs w:val="24"/>
              </w:rPr>
              <w:t xml:space="preserve"> </w:t>
            </w:r>
            <w:r w:rsidR="00451CEE" w:rsidRPr="008D0F75">
              <w:rPr>
                <w:rFonts w:ascii="Times New Roman" w:hAnsi="Times New Roman"/>
                <w:sz w:val="24"/>
                <w:szCs w:val="24"/>
              </w:rPr>
              <w:t>2.28</w:t>
            </w:r>
            <w:r w:rsidR="004713C8" w:rsidRPr="008D0F75">
              <w:rPr>
                <w:rFonts w:ascii="Times New Roman" w:hAnsi="Times New Roman"/>
                <w:sz w:val="24"/>
                <w:szCs w:val="24"/>
              </w:rPr>
              <w:t xml:space="preserve"> din </w:t>
            </w:r>
            <w:r w:rsidR="00F0273F" w:rsidRPr="008D0F75">
              <w:rPr>
                <w:rFonts w:ascii="Times New Roman" w:hAnsi="Times New Roman"/>
                <w:sz w:val="24"/>
                <w:szCs w:val="24"/>
              </w:rPr>
              <w:t xml:space="preserve">proiectul </w:t>
            </w:r>
            <w:r w:rsidR="004713C8" w:rsidRPr="008D0F75">
              <w:rPr>
                <w:rFonts w:ascii="Times New Roman" w:hAnsi="Times New Roman"/>
                <w:sz w:val="24"/>
                <w:szCs w:val="24"/>
              </w:rPr>
              <w:t>Regulament</w:t>
            </w:r>
            <w:r w:rsidR="00F0273F" w:rsidRPr="008D0F75">
              <w:rPr>
                <w:rFonts w:ascii="Times New Roman" w:hAnsi="Times New Roman"/>
                <w:sz w:val="24"/>
                <w:szCs w:val="24"/>
              </w:rPr>
              <w:t>ului</w:t>
            </w:r>
            <w:r w:rsidR="004713C8" w:rsidRPr="008D0F75">
              <w:rPr>
                <w:rFonts w:ascii="Times New Roman" w:hAnsi="Times New Roman"/>
                <w:sz w:val="24"/>
                <w:szCs w:val="24"/>
              </w:rPr>
              <w:t xml:space="preserve"> </w:t>
            </w:r>
            <w:r w:rsidR="00451CEE" w:rsidRPr="008D0F75">
              <w:rPr>
                <w:rFonts w:ascii="Times New Roman" w:hAnsi="Times New Roman"/>
                <w:sz w:val="24"/>
                <w:szCs w:val="24"/>
              </w:rPr>
              <w:t xml:space="preserve"> </w:t>
            </w:r>
            <w:r w:rsidR="004713C8" w:rsidRPr="008D0F75">
              <w:rPr>
                <w:rFonts w:ascii="Times New Roman" w:hAnsi="Times New Roman"/>
                <w:sz w:val="24"/>
                <w:szCs w:val="24"/>
              </w:rPr>
              <w:t>definește „</w:t>
            </w:r>
            <w:r w:rsidR="00451CEE" w:rsidRPr="008D0F75">
              <w:rPr>
                <w:rFonts w:ascii="Times New Roman" w:hAnsi="Times New Roman"/>
                <w:sz w:val="24"/>
                <w:szCs w:val="24"/>
              </w:rPr>
              <w:t>Registru de biocarburanți</w:t>
            </w:r>
            <w:r w:rsidR="004713C8" w:rsidRPr="008D0F75">
              <w:rPr>
                <w:rFonts w:ascii="Times New Roman" w:hAnsi="Times New Roman"/>
                <w:sz w:val="24"/>
                <w:szCs w:val="24"/>
              </w:rPr>
              <w:t xml:space="preserve">” </w:t>
            </w:r>
            <w:r w:rsidR="00B562C4" w:rsidRPr="008D0F75">
              <w:rPr>
                <w:rFonts w:ascii="Times New Roman" w:hAnsi="Times New Roman"/>
                <w:sz w:val="24"/>
                <w:szCs w:val="24"/>
              </w:rPr>
              <w:t>în care se</w:t>
            </w:r>
            <w:r w:rsidR="004713C8" w:rsidRPr="008D0F75">
              <w:rPr>
                <w:rFonts w:ascii="Times New Roman" w:hAnsi="Times New Roman"/>
                <w:sz w:val="24"/>
                <w:szCs w:val="24"/>
              </w:rPr>
              <w:t xml:space="preserve"> face referință la </w:t>
            </w:r>
            <w:r w:rsidR="00451CEE" w:rsidRPr="008D0F75">
              <w:rPr>
                <w:rFonts w:ascii="Times New Roman" w:hAnsi="Times New Roman"/>
                <w:sz w:val="24"/>
                <w:szCs w:val="24"/>
              </w:rPr>
              <w:t xml:space="preserve"> </w:t>
            </w:r>
            <w:r w:rsidR="004713C8" w:rsidRPr="008D0F75">
              <w:rPr>
                <w:rFonts w:ascii="Times New Roman" w:hAnsi="Times New Roman"/>
                <w:b/>
                <w:bCs/>
                <w:sz w:val="24"/>
                <w:szCs w:val="24"/>
              </w:rPr>
              <w:t>pct. 7-9 din anexa nr. 1 din HG 53/2025</w:t>
            </w:r>
            <w:r w:rsidR="004713C8" w:rsidRPr="008D0F75">
              <w:rPr>
                <w:rFonts w:ascii="Times New Roman" w:hAnsi="Times New Roman"/>
                <w:sz w:val="24"/>
                <w:szCs w:val="24"/>
              </w:rPr>
              <w:t xml:space="preserve"> care constit</w:t>
            </w:r>
            <w:r w:rsidR="008C3755" w:rsidRPr="008D0F75">
              <w:rPr>
                <w:rFonts w:ascii="Times New Roman" w:hAnsi="Times New Roman"/>
                <w:sz w:val="24"/>
                <w:szCs w:val="24"/>
              </w:rPr>
              <w:t>uie</w:t>
            </w:r>
            <w:r w:rsidR="004713C8" w:rsidRPr="008D0F75">
              <w:rPr>
                <w:rFonts w:ascii="Times New Roman" w:hAnsi="Times New Roman"/>
                <w:sz w:val="24"/>
                <w:szCs w:val="24"/>
              </w:rPr>
              <w:t xml:space="preserve"> temei </w:t>
            </w:r>
            <w:r w:rsidR="008C3755" w:rsidRPr="008D0F75">
              <w:rPr>
                <w:rFonts w:ascii="Times New Roman" w:hAnsi="Times New Roman"/>
                <w:sz w:val="24"/>
                <w:szCs w:val="24"/>
              </w:rPr>
              <w:t>pentru</w:t>
            </w:r>
            <w:r w:rsidR="004713C8" w:rsidRPr="008D0F75">
              <w:rPr>
                <w:rFonts w:ascii="Times New Roman" w:hAnsi="Times New Roman"/>
                <w:sz w:val="24"/>
                <w:szCs w:val="24"/>
              </w:rPr>
              <w:t xml:space="preserve"> transmitearea datelor necesare.</w:t>
            </w:r>
          </w:p>
          <w:p w14:paraId="75E3051A" w14:textId="77777777" w:rsidR="00451CEE" w:rsidRPr="008D0F75" w:rsidRDefault="00451CEE" w:rsidP="00451CE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DE2BB71" w14:textId="1084E649" w:rsidR="00451CEE" w:rsidRPr="008D0F75" w:rsidRDefault="00451CEE" w:rsidP="004713C8">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sz w:val="24"/>
                <w:szCs w:val="24"/>
              </w:rPr>
              <w:t>Pct. 35 din HG 53/2025 cu modificările propuse la pct. 3.1.10  din prezentul proiect, prevede</w:t>
            </w:r>
            <w:r w:rsidR="004713C8" w:rsidRPr="008D0F75">
              <w:rPr>
                <w:rFonts w:ascii="Times New Roman" w:hAnsi="Times New Roman"/>
                <w:sz w:val="24"/>
                <w:szCs w:val="24"/>
              </w:rPr>
              <w:t xml:space="preserve"> </w:t>
            </w:r>
            <w:r w:rsidR="004713C8" w:rsidRPr="008D0F75">
              <w:rPr>
                <w:rFonts w:ascii="Times New Roman" w:hAnsi="Times New Roman"/>
                <w:b/>
                <w:bCs/>
                <w:sz w:val="24"/>
                <w:szCs w:val="24"/>
              </w:rPr>
              <w:t>obținerea de către operatorii economici a certificatelor din cadrul unei scheme voluntare sau naționale recunoscute de Guvern</w:t>
            </w:r>
            <w:r w:rsidR="004713C8" w:rsidRPr="008D0F75">
              <w:rPr>
                <w:rFonts w:ascii="Times New Roman" w:hAnsi="Times New Roman"/>
                <w:sz w:val="24"/>
                <w:szCs w:val="24"/>
              </w:rPr>
              <w:t>. Certificatul emis în cadrul unei scheme voluntare sau naționale recunoscute de Guvern confirmă respectarea elementelor prevăzute de schema respectivă, iar prezentarea altor dovezi nu este necesară.</w:t>
            </w:r>
          </w:p>
          <w:p w14:paraId="0FDDCAA4" w14:textId="77777777" w:rsidR="00A224B7" w:rsidRPr="008D0F75" w:rsidRDefault="00A224B7" w:rsidP="004713C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highlight w:val="yellow"/>
              </w:rPr>
            </w:pPr>
          </w:p>
          <w:p w14:paraId="4A13F5F3" w14:textId="1A581B27" w:rsidR="004713C8" w:rsidRPr="008D0F75" w:rsidRDefault="00E23BD6" w:rsidP="0076117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xml:space="preserve">Având în vedere că definiția de „operator economic” acoperă întregul lanț de aprovizionare, </w:t>
            </w:r>
            <w:r w:rsidRPr="008D0F75">
              <w:rPr>
                <w:rFonts w:ascii="Times New Roman" w:hAnsi="Times New Roman"/>
                <w:b/>
                <w:bCs/>
                <w:sz w:val="24"/>
                <w:szCs w:val="24"/>
              </w:rPr>
              <w:t xml:space="preserve">fiecare operator economic are obligația de a </w:t>
            </w:r>
            <w:r w:rsidR="00605857" w:rsidRPr="008D0F75">
              <w:rPr>
                <w:rFonts w:ascii="Times New Roman" w:hAnsi="Times New Roman"/>
                <w:b/>
                <w:bCs/>
                <w:sz w:val="24"/>
                <w:szCs w:val="24"/>
              </w:rPr>
              <w:t>deține</w:t>
            </w:r>
            <w:r w:rsidRPr="008D0F75">
              <w:rPr>
                <w:rFonts w:ascii="Times New Roman" w:hAnsi="Times New Roman"/>
                <w:b/>
                <w:bCs/>
                <w:sz w:val="24"/>
                <w:szCs w:val="24"/>
              </w:rPr>
              <w:t xml:space="preserve"> certificatul de conformitate</w:t>
            </w:r>
            <w:r w:rsidRPr="008D0F75">
              <w:rPr>
                <w:rFonts w:ascii="Times New Roman" w:hAnsi="Times New Roman"/>
                <w:sz w:val="24"/>
                <w:szCs w:val="24"/>
              </w:rPr>
              <w:t>.</w:t>
            </w:r>
          </w:p>
        </w:tc>
      </w:tr>
      <w:tr w:rsidR="00363C6D" w:rsidRPr="008D0F75" w14:paraId="3AC413E8" w14:textId="77777777" w:rsidTr="00BF0155">
        <w:trPr>
          <w:trHeight w:val="1266"/>
        </w:trPr>
        <w:tc>
          <w:tcPr>
            <w:tcW w:w="2405" w:type="dxa"/>
            <w:vMerge/>
            <w:tcMar>
              <w:top w:w="0" w:type="dxa"/>
              <w:left w:w="108" w:type="dxa"/>
              <w:bottom w:w="0" w:type="dxa"/>
              <w:right w:w="108" w:type="dxa"/>
            </w:tcMar>
          </w:tcPr>
          <w:p w14:paraId="5A7ABC89"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815" w:type="dxa"/>
            <w:vMerge/>
            <w:tcMar>
              <w:top w:w="0" w:type="dxa"/>
              <w:left w:w="108" w:type="dxa"/>
              <w:bottom w:w="0" w:type="dxa"/>
              <w:right w:w="108" w:type="dxa"/>
            </w:tcMar>
          </w:tcPr>
          <w:p w14:paraId="319FAF2F"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Mar>
              <w:top w:w="0" w:type="dxa"/>
              <w:left w:w="108" w:type="dxa"/>
              <w:bottom w:w="0" w:type="dxa"/>
              <w:right w:w="108" w:type="dxa"/>
            </w:tcMar>
          </w:tcPr>
          <w:p w14:paraId="039A2AF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3. Perioadă de implementare insuficientă</w:t>
            </w:r>
          </w:p>
          <w:p w14:paraId="1C32BF30"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Conform p. 6 din Proiect, actul normativ adoptat va intra în vigoare la data publicării în Monitorul Oficial al Republicii Moldova, cu excepția prevederilor de la p. 30-32 din Regulament, care vor intra în vigoare începând cu data de 1 ianuarie 2027." Prin urmare, Proiectul prevede o intrare în vigoare imediată a majorității dispozițiilor, fără a acorda operatorilor economici un termen rezonabil de adaptare. Singura excepție vizează p. 30- 32 din Regulament.</w:t>
            </w:r>
          </w:p>
          <w:p w14:paraId="61DD55B3"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Asemenea abordare nu ține cont de realitățile practice ale pieței din Republica Moldova. Obținerea unei certificări în cadrul unei scheme voluntare recunoscute presupune un proces complex, care include: identificarea și contractarea unui organism de certificare acreditat; pregătirea documentației interne (sisteme de gestionare, bilanț masic, calcule GES, etc.); remedierea eventualelor neconformități; și obținerea propriu-zisă a certificatului. Conform practicilor, acest proces durează în medie (...) luni de la momentul înaintării demersurilor necesare.</w:t>
            </w:r>
          </w:p>
          <w:p w14:paraId="561068A0" w14:textId="032D95E3"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sz w:val="24"/>
                <w:szCs w:val="24"/>
              </w:rPr>
              <w:t>Într-un context în care operatorii economici din Republica Moldova nu au avut anterior obligația formală de certificare în cadrul unor scheme voluntare, iar piața locală de servicii de audit și certificare este în curs de constituire, un termen de cel puțin 6 luni de la data publicării în Monitorul Oficial apare ca un minim necesar pentru asigurarea unei tranziții ordonate.</w:t>
            </w:r>
          </w:p>
        </w:tc>
        <w:tc>
          <w:tcPr>
            <w:tcW w:w="3681" w:type="dxa"/>
            <w:tcMar>
              <w:top w:w="0" w:type="dxa"/>
              <w:left w:w="108" w:type="dxa"/>
              <w:bottom w:w="0" w:type="dxa"/>
              <w:right w:w="108" w:type="dxa"/>
            </w:tcMar>
          </w:tcPr>
          <w:p w14:paraId="5EF7F2EF" w14:textId="4C1604B3" w:rsidR="004431FB" w:rsidRPr="008D0F75" w:rsidRDefault="00E84C19" w:rsidP="004431FB">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p>
          <w:p w14:paraId="141342FD" w14:textId="77777777" w:rsidR="00342FD1" w:rsidRPr="008D0F75" w:rsidRDefault="00342FD1" w:rsidP="004431FB">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3B1D9440" w14:textId="193570A3" w:rsidR="006348E5" w:rsidRPr="008D0F75" w:rsidRDefault="00947D6E" w:rsidP="00E0422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Proiectul </w:t>
            </w:r>
            <w:r w:rsidR="00BF4772" w:rsidRPr="008D0F75">
              <w:rPr>
                <w:rFonts w:ascii="Times New Roman" w:hAnsi="Times New Roman"/>
                <w:sz w:val="24"/>
                <w:szCs w:val="24"/>
              </w:rPr>
              <w:t>Regulamentul</w:t>
            </w:r>
            <w:r w:rsidRPr="008D0F75">
              <w:rPr>
                <w:rFonts w:ascii="Times New Roman" w:hAnsi="Times New Roman"/>
                <w:sz w:val="24"/>
                <w:szCs w:val="24"/>
              </w:rPr>
              <w:t>ui</w:t>
            </w:r>
            <w:r w:rsidR="00BF4772" w:rsidRPr="008D0F75">
              <w:rPr>
                <w:rFonts w:ascii="Times New Roman" w:hAnsi="Times New Roman"/>
                <w:sz w:val="24"/>
                <w:szCs w:val="24"/>
              </w:rPr>
              <w:t xml:space="preserve"> </w:t>
            </w:r>
            <w:r w:rsidR="00485547" w:rsidRPr="008D0F75">
              <w:rPr>
                <w:rFonts w:ascii="Times New Roman" w:hAnsi="Times New Roman"/>
                <w:sz w:val="24"/>
                <w:szCs w:val="24"/>
              </w:rPr>
              <w:t>stabilește procedura de verificare a criteriilor de durabilitate, aplicabilă odată cu instituirea cotelor minime anuale de biocarburanți.</w:t>
            </w:r>
          </w:p>
          <w:p w14:paraId="3B3C0359" w14:textId="77777777" w:rsidR="004902EA" w:rsidRPr="008D0F75" w:rsidRDefault="004902EA" w:rsidP="00E0422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192BCF7" w14:textId="77777777" w:rsidR="00AE64E4" w:rsidRPr="008D0F75" w:rsidRDefault="00485547" w:rsidP="00E0422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prezent, aceste cote nu au fost </w:t>
            </w:r>
            <w:r w:rsidR="00E84C19" w:rsidRPr="008D0F75">
              <w:rPr>
                <w:rFonts w:ascii="Times New Roman" w:hAnsi="Times New Roman"/>
                <w:sz w:val="24"/>
                <w:szCs w:val="24"/>
              </w:rPr>
              <w:t>stabilite</w:t>
            </w:r>
            <w:r w:rsidRPr="008D0F75">
              <w:rPr>
                <w:rFonts w:ascii="Times New Roman" w:hAnsi="Times New Roman"/>
                <w:sz w:val="24"/>
                <w:szCs w:val="24"/>
              </w:rPr>
              <w:t>.</w:t>
            </w:r>
            <w:r w:rsidR="00AE64E4" w:rsidRPr="008D0F75">
              <w:rPr>
                <w:rFonts w:ascii="Times New Roman" w:hAnsi="Times New Roman"/>
                <w:sz w:val="24"/>
                <w:szCs w:val="24"/>
              </w:rPr>
              <w:t xml:space="preserve"> </w:t>
            </w:r>
            <w:r w:rsidR="00AE64E4" w:rsidRPr="008D0F75">
              <w:rPr>
                <w:rFonts w:ascii="Times New Roman" w:hAnsi="Times New Roman"/>
                <w:sz w:val="24"/>
                <w:szCs w:val="24"/>
                <w:lang w:val="fr-FR"/>
              </w:rPr>
              <w:t>Odat</w:t>
            </w:r>
            <w:r w:rsidR="00AE64E4" w:rsidRPr="008D0F75">
              <w:rPr>
                <w:rFonts w:ascii="Times New Roman" w:hAnsi="Times New Roman"/>
                <w:sz w:val="24"/>
                <w:szCs w:val="24"/>
              </w:rPr>
              <w:t xml:space="preserve">ă ce ANRE va stabili cotele, în conformitate cu art. 14 alin. (1) lit. e) din Legea nr. 10/2016, prevederile Regulamentului din prezentul proiect vor deveni aplicabile. </w:t>
            </w:r>
          </w:p>
          <w:p w14:paraId="08D30EEC" w14:textId="77777777" w:rsidR="00AE64E4" w:rsidRPr="008D0F75" w:rsidRDefault="00AE64E4" w:rsidP="00E0422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85CB28D" w14:textId="05682EAB" w:rsidR="00AE64E4" w:rsidRPr="008D0F75" w:rsidRDefault="00AE64E4" w:rsidP="00E0422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ANRE urmează să stabilească și să comunice operatorilor economici noile cerințe, ținând cont de termenele de publicare a acestora, precum și de intervalul minim de timp de care operatorii economici vor beneficia pentru a se conforma.</w:t>
            </w:r>
          </w:p>
          <w:p w14:paraId="3441F5CA" w14:textId="77777777" w:rsidR="00AE64E4" w:rsidRPr="008D0F75" w:rsidRDefault="00AE64E4" w:rsidP="00E0422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E8AB810" w14:textId="59126F4B" w:rsidR="00485547" w:rsidRPr="008D0F75" w:rsidRDefault="00485547" w:rsidP="00E0422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pt-BR"/>
              </w:rPr>
            </w:pPr>
          </w:p>
        </w:tc>
      </w:tr>
      <w:tr w:rsidR="00363C6D" w:rsidRPr="008D0F75" w14:paraId="2D5C5783" w14:textId="77777777" w:rsidTr="00355EAF">
        <w:trPr>
          <w:trHeight w:val="270"/>
        </w:trPr>
        <w:tc>
          <w:tcPr>
            <w:tcW w:w="2405" w:type="dxa"/>
            <w:vMerge/>
            <w:tcMar>
              <w:top w:w="0" w:type="dxa"/>
              <w:left w:w="108" w:type="dxa"/>
              <w:bottom w:w="0" w:type="dxa"/>
              <w:right w:w="108" w:type="dxa"/>
            </w:tcMar>
          </w:tcPr>
          <w:p w14:paraId="7F5FD1CC"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815" w:type="dxa"/>
            <w:vMerge/>
            <w:tcMar>
              <w:top w:w="0" w:type="dxa"/>
              <w:left w:w="108" w:type="dxa"/>
              <w:bottom w:w="0" w:type="dxa"/>
              <w:right w:w="108" w:type="dxa"/>
            </w:tcMar>
          </w:tcPr>
          <w:p w14:paraId="1A007B6B"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Borders>
              <w:bottom w:val="single" w:sz="4" w:space="0" w:color="auto"/>
            </w:tcBorders>
            <w:tcMar>
              <w:top w:w="0" w:type="dxa"/>
              <w:left w:w="108" w:type="dxa"/>
              <w:bottom w:w="0" w:type="dxa"/>
              <w:right w:w="108" w:type="dxa"/>
            </w:tcMar>
          </w:tcPr>
          <w:p w14:paraId="477F8810"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4. Riscul blocării la vamă a loturilor de combustibil care conțin biocarburanți:</w:t>
            </w:r>
          </w:p>
          <w:p w14:paraId="02939B68"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Potrivit p. 77 din Regulament, informațiile care trebuie transmise pe întregul lanț de aprovizionare se includ în documentația care însoțește transporturile fizice de materii prime sau de combustibili. Totodată, potrivit Art. 25 (4) din Legea nr. 10/2016, conformitatea biocarburanților, biolichidelor și combustibililor din biomasă plasați pe piață se atestă prin documentele de confirmare emise în cadrul schemei/schemelor voluntare de certificare.</w:t>
            </w:r>
          </w:p>
          <w:p w14:paraId="73BD8872"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Coroborarea acestor prevederi creează un risc semnificativ pentru ca formalitățile de import să fie tergiversate, întrucât certificatul de durabilitate, care atestă conformitatea lotului de biocarburant cu criteriile stabilite de schema voluntară, este emis de organismul de certificare în termenul maxim permis de schema respectivă (de regulă după finalizarea tranzacției și verificarea documentelor aferente bilanțului masic). În practică, acest lucru înseamnă că, la momentul prezentării lotului fizic de combustibil la punctul vamal, certificatul de durabilitate aferent poate să nu fie încă disponibil.</w:t>
            </w:r>
          </w:p>
          <w:p w14:paraId="492868F0"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practica Uniunii Europene, schemele voluntare prevăd mecanisme de transfer al declarațiilor de durabilitate de la un operator economic la altul, cu posibilitatea transmiterii documentației de susținere într-un termen rezonabil de la livrarea fizică. Această flexibilitate este esențială pentru funcționarea fluidă a lanțurilor internaționale de aprovizionare, unde documentația de certificare urmează, de regulă, un circuit paralel cu cel fizic al mărfii.</w:t>
            </w:r>
          </w:p>
          <w:p w14:paraId="2E4EA2C5"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absența unei dispoziții clare în Proiect care să reglementeze acest aspect, autoritățile vamale pot refuza intrarea pe teritoriul Republicii Moldova a loturilor de combustibil care conțin biocarburanți, generând blocaje logistice și pierderi financiare semnificative pentru operatorii economici.</w:t>
            </w:r>
          </w:p>
          <w:p w14:paraId="19C72268"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urmare, se propune completarea Regulamentului cu un nou punct, având următorul cuprins:</w:t>
            </w:r>
          </w:p>
          <w:p w14:paraId="1F8B7889" w14:textId="660CCABD"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 xml:space="preserve">„Certificatele valide emise de un organism de certificare acreditat, în cadrul unei scheme voluntare recunoscute sau al schemei naționale, aferente unui lot de biocarburanți, biolichide sau combustibili din </w:t>
            </w:r>
            <w:r w:rsidRPr="008D0F75">
              <w:rPr>
                <w:rFonts w:ascii="Times New Roman" w:hAnsi="Times New Roman"/>
                <w:i/>
                <w:iCs/>
                <w:sz w:val="24"/>
                <w:szCs w:val="24"/>
              </w:rPr>
              <w:lastRenderedPageBreak/>
              <w:t>biomasă pot fi transmise următorului operator economic din lanțul de aprovizionare în termenul maxim prevăzut de schema voluntară de certificare de sustenabilitate. Pe durata acestui termen, operatorul economic destinatar poate plasa marfa pe piață sau o poate utiliza, cu condiția ca acesta să dețină un certificat valid în cadrul unei scheme voluntare recunoscute și să existe o confirmare provizorie din partea operatorului economic furnizor cu privire la caracteristicile lotului livrat.”</w:t>
            </w:r>
          </w:p>
        </w:tc>
        <w:tc>
          <w:tcPr>
            <w:tcW w:w="3681" w:type="dxa"/>
            <w:tcBorders>
              <w:bottom w:val="single" w:sz="4" w:space="0" w:color="auto"/>
            </w:tcBorders>
            <w:tcMar>
              <w:top w:w="0" w:type="dxa"/>
              <w:left w:w="108" w:type="dxa"/>
              <w:bottom w:w="0" w:type="dxa"/>
              <w:right w:w="108" w:type="dxa"/>
            </w:tcMar>
          </w:tcPr>
          <w:p w14:paraId="7D20FC2F" w14:textId="77777777" w:rsidR="00D5571D" w:rsidRPr="008D0F75" w:rsidRDefault="00D5571D" w:rsidP="00D5571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ia act.</w:t>
            </w:r>
          </w:p>
          <w:p w14:paraId="5F827A8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49BF03E" w14:textId="0B812A93" w:rsidR="00932410" w:rsidRPr="008D0F75" w:rsidRDefault="00BC5ECB"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În scopul alinierii prevederilor aferente procesului de plasare pe piață a biocarburanților, prevederile corespunzătoare din Legea nr. 10/2016 urmează a fi modificate.</w:t>
            </w:r>
          </w:p>
        </w:tc>
      </w:tr>
      <w:tr w:rsidR="00355EAF" w:rsidRPr="008D0F75" w14:paraId="7586574D" w14:textId="77777777" w:rsidTr="00355EAF">
        <w:trPr>
          <w:trHeight w:val="6286"/>
        </w:trPr>
        <w:tc>
          <w:tcPr>
            <w:tcW w:w="2405" w:type="dxa"/>
            <w:vMerge/>
            <w:tcMar>
              <w:top w:w="0" w:type="dxa"/>
              <w:left w:w="108" w:type="dxa"/>
              <w:bottom w:w="0" w:type="dxa"/>
              <w:right w:w="108" w:type="dxa"/>
            </w:tcMar>
          </w:tcPr>
          <w:p w14:paraId="25E8247B" w14:textId="77777777" w:rsidR="00355EAF" w:rsidRPr="008D0F75" w:rsidRDefault="00355EAF"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815" w:type="dxa"/>
            <w:vMerge/>
            <w:tcMar>
              <w:top w:w="0" w:type="dxa"/>
              <w:left w:w="108" w:type="dxa"/>
              <w:bottom w:w="0" w:type="dxa"/>
              <w:right w:w="108" w:type="dxa"/>
            </w:tcMar>
          </w:tcPr>
          <w:p w14:paraId="55CC43CC" w14:textId="77777777" w:rsidR="00355EAF" w:rsidRPr="008D0F75" w:rsidRDefault="00355EAF"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Borders>
              <w:top w:val="single" w:sz="4" w:space="0" w:color="auto"/>
            </w:tcBorders>
            <w:tcMar>
              <w:top w:w="0" w:type="dxa"/>
              <w:left w:w="108" w:type="dxa"/>
              <w:bottom w:w="0" w:type="dxa"/>
              <w:right w:w="108" w:type="dxa"/>
            </w:tcMar>
          </w:tcPr>
          <w:p w14:paraId="570A8B8F" w14:textId="77777777" w:rsidR="00355EAF" w:rsidRPr="008D0F75" w:rsidRDefault="00355EAF" w:rsidP="00355EAF">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5. Previzibilitatea și flexibilitatea stabilirii nivelurilor minime pentru biocarburanți:</w:t>
            </w:r>
          </w:p>
          <w:p w14:paraId="4A98DC84" w14:textId="77777777" w:rsidR="00355EAF" w:rsidRPr="008D0F75" w:rsidRDefault="00355EAF" w:rsidP="00355EA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Potrivit Art. 14,(1), e) din Legea nr. 10/2016, Agenția Națională pentru Reglementare în Energetică (în continuare "ANRE") deține competența de a stabili cantitățile și cotele minime anuale de biocarburanți care urmează a fi achiziționate în mod obligatoriu de către importatorii de produse petroliere principale, în conformitate cu Planul național integrat privind energia și clima și cu traiectoria orientativă trasată de acesta.</w:t>
            </w:r>
          </w:p>
          <w:p w14:paraId="65509F8C" w14:textId="77777777" w:rsidR="00355EAF" w:rsidRPr="008D0F75" w:rsidRDefault="00355EAF" w:rsidP="00355EA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Cu toate acestea, Proiectul nu reglementează un mecanism procedural prin care ANRE stabilește și comunică aceste cote minime, termenele de publicare a acestora sau intervalul minim de care operatorii economici vor beneficia pentru a se conforma noilor cerințe. Or, stabilirea cotelor minime obligatorii de biocarburanți în amestecul de produse petroliere are un impact semnificativ asupra activității importatorilor de produse petroliere principale, obligându-i să identifice furnizori de biocarburanți, să negocieze contracte de aprovizionare, să adapteze infrastructura logistică și să asigure conformitatea produselor cu standardele de calitate aplicabile.</w:t>
            </w:r>
          </w:p>
          <w:p w14:paraId="1851BD08" w14:textId="6105B7C4" w:rsidR="00355EAF" w:rsidRPr="008D0F75" w:rsidRDefault="00355EAF" w:rsidP="00355EAF">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sz w:val="24"/>
                <w:szCs w:val="24"/>
              </w:rPr>
              <w:t>Totodată, având în vedere că România reprezintă partenerul principal al Republicii Moldova în domeniul produselor petroliere, o aliniere a cotelor minime din Republica Moldova cu cele din România ar facilita importul de produse petroliere și ar asigura o flexibilitate pentru operatorii economici implicați.</w:t>
            </w:r>
          </w:p>
        </w:tc>
        <w:tc>
          <w:tcPr>
            <w:tcW w:w="3681" w:type="dxa"/>
            <w:tcBorders>
              <w:top w:val="single" w:sz="4" w:space="0" w:color="auto"/>
            </w:tcBorders>
            <w:tcMar>
              <w:top w:w="0" w:type="dxa"/>
              <w:left w:w="108" w:type="dxa"/>
              <w:bottom w:w="0" w:type="dxa"/>
              <w:right w:w="108" w:type="dxa"/>
            </w:tcMar>
          </w:tcPr>
          <w:p w14:paraId="04D0FE5C" w14:textId="77777777" w:rsidR="00355EAF" w:rsidRPr="008D0F75" w:rsidRDefault="0060442E"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p>
          <w:p w14:paraId="7602182D" w14:textId="77777777" w:rsidR="0060442E" w:rsidRPr="008D0F75" w:rsidRDefault="0060442E"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78ED7D41" w14:textId="34DAA14E" w:rsidR="0019076F" w:rsidRPr="008D0F75" w:rsidRDefault="00947D6E"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Proiectul </w:t>
            </w:r>
            <w:r w:rsidR="0019076F" w:rsidRPr="008D0F75">
              <w:rPr>
                <w:rFonts w:ascii="Times New Roman" w:hAnsi="Times New Roman"/>
                <w:sz w:val="24"/>
                <w:szCs w:val="24"/>
              </w:rPr>
              <w:t>Regulament</w:t>
            </w:r>
            <w:r w:rsidR="00BF4772" w:rsidRPr="008D0F75">
              <w:rPr>
                <w:rFonts w:ascii="Times New Roman" w:hAnsi="Times New Roman"/>
                <w:sz w:val="24"/>
                <w:szCs w:val="24"/>
              </w:rPr>
              <w:t>ul</w:t>
            </w:r>
            <w:r w:rsidRPr="008D0F75">
              <w:rPr>
                <w:rFonts w:ascii="Times New Roman" w:hAnsi="Times New Roman"/>
                <w:sz w:val="24"/>
                <w:szCs w:val="24"/>
              </w:rPr>
              <w:t>ui</w:t>
            </w:r>
            <w:r w:rsidR="00BF4772" w:rsidRPr="008D0F75">
              <w:rPr>
                <w:rFonts w:ascii="Times New Roman" w:hAnsi="Times New Roman"/>
                <w:sz w:val="24"/>
                <w:szCs w:val="24"/>
              </w:rPr>
              <w:t xml:space="preserve"> </w:t>
            </w:r>
            <w:r w:rsidR="0019076F" w:rsidRPr="008D0F75">
              <w:rPr>
                <w:rFonts w:ascii="Times New Roman" w:hAnsi="Times New Roman"/>
                <w:sz w:val="24"/>
                <w:szCs w:val="24"/>
              </w:rPr>
              <w:t xml:space="preserve">stabilește procedura de verificare a criteriilor de durabilitate, aplicabilă odată cu instituirea cotelor minime anuale de biocarburanți. În prezent, aceste cote nu au fost stabilite. </w:t>
            </w:r>
          </w:p>
          <w:p w14:paraId="5E14880C" w14:textId="77777777" w:rsidR="0019076F" w:rsidRPr="008D0F75" w:rsidRDefault="0019076F"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2CDA02B" w14:textId="6C7BBA53" w:rsidR="0056255F" w:rsidRPr="008D0F75" w:rsidRDefault="00182B3C"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ANRE urmează să stabilească și să comunice operatorilor economici noile cerințe, ținând cont de termenele de publicare a acestora, precum și de intervalul minim de timp de care operatorii economici vor beneficia pentru a se conforma</w:t>
            </w:r>
            <w:r w:rsidR="004676CA" w:rsidRPr="008D0F75">
              <w:rPr>
                <w:rFonts w:ascii="Times New Roman" w:hAnsi="Times New Roman"/>
                <w:sz w:val="24"/>
                <w:szCs w:val="24"/>
              </w:rPr>
              <w:t>.</w:t>
            </w:r>
          </w:p>
        </w:tc>
      </w:tr>
      <w:tr w:rsidR="00363C6D" w:rsidRPr="008D0F75" w14:paraId="222C39C2" w14:textId="77777777" w:rsidTr="00BF0155">
        <w:trPr>
          <w:trHeight w:val="3345"/>
        </w:trPr>
        <w:tc>
          <w:tcPr>
            <w:tcW w:w="2405" w:type="dxa"/>
            <w:vMerge/>
            <w:tcMar>
              <w:top w:w="0" w:type="dxa"/>
              <w:left w:w="108" w:type="dxa"/>
              <w:bottom w:w="0" w:type="dxa"/>
              <w:right w:w="108" w:type="dxa"/>
            </w:tcMar>
          </w:tcPr>
          <w:p w14:paraId="7ECD14E9"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815" w:type="dxa"/>
            <w:vMerge/>
            <w:tcMar>
              <w:top w:w="0" w:type="dxa"/>
              <w:left w:w="108" w:type="dxa"/>
              <w:bottom w:w="0" w:type="dxa"/>
              <w:right w:w="108" w:type="dxa"/>
            </w:tcMar>
          </w:tcPr>
          <w:p w14:paraId="1CA82F99"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Mar>
              <w:top w:w="0" w:type="dxa"/>
              <w:left w:w="108" w:type="dxa"/>
              <w:bottom w:w="0" w:type="dxa"/>
              <w:right w:w="108" w:type="dxa"/>
            </w:tcMar>
          </w:tcPr>
          <w:p w14:paraId="42DBF335" w14:textId="77777777" w:rsidR="00BF0155" w:rsidRPr="008D0F75" w:rsidRDefault="00BF0155" w:rsidP="00BF0155">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6. Neclaritate privind compensarea costurilor aferente procedurii de obținere a certificatelor valide emise de organismele de certificare acreditate.</w:t>
            </w:r>
          </w:p>
          <w:p w14:paraId="425160BF" w14:textId="77777777" w:rsidR="00BF0155" w:rsidRPr="008D0F75" w:rsidRDefault="00BF0155" w:rsidP="00BF015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Pe de o parte, potrivit p.17 din Metodologia de calcul şi aplicare a preţurilor la produsele petroliere, aprobată prin Hotărârea ANRE nr. 446/2021 (în continuare "Metodologia"), agenţii economici care practică activitatea de import şi comercializare cu ridicata şi activitatea de comercializare cu amănuntul sunt obligaţi să ducă evidenţa separat pe tipuri de produse petroliere a cheltuielilor ce ţin de fiecare din aceste activităţi. Titularii de licenţe, care în afara activităţii licenţiate legate de produsele petroliere practică şi alte activităţi, trebuie să ducă separat evidenţa cheltuielilor ce ţin de activitatea de import şi comercializarea produselor petroliere cu ridicata, activitatea de comercializare a produselor petroliere cu amănuntul şi alte activităţi. În costurile de import şi comercializare a produselor petroliere trebuie să fie incluse doar acele cheltuieli care nemijlocit ţin de activitatea respectivă.</w:t>
            </w:r>
          </w:p>
          <w:p w14:paraId="7B36CB48" w14:textId="003A9ACE" w:rsidR="00363C6D" w:rsidRPr="008D0F75" w:rsidRDefault="00BF0155" w:rsidP="00BF015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Pe de altă parte, potrivit Proiectului, obligația de certificare se aplică fiecărui operator economic din lanțul de aprovizionare. Asemenea obligație generează costuri operaționale substanțiale care, în prezent, nu sunt reflectate adecvat în Metodologie și, respectiv, în mecanismul prevăzut la art. 14 alin. (4) din Legea nr. 10/2016.</w:t>
            </w:r>
          </w:p>
        </w:tc>
        <w:tc>
          <w:tcPr>
            <w:tcW w:w="3681" w:type="dxa"/>
            <w:tcMar>
              <w:top w:w="0" w:type="dxa"/>
              <w:left w:w="108" w:type="dxa"/>
              <w:bottom w:w="0" w:type="dxa"/>
              <w:right w:w="108" w:type="dxa"/>
            </w:tcMar>
          </w:tcPr>
          <w:p w14:paraId="79F26730" w14:textId="77777777" w:rsidR="00363C6D" w:rsidRPr="008D0F75" w:rsidRDefault="00665A67"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p>
          <w:p w14:paraId="009A8BCC" w14:textId="77777777" w:rsidR="00665A67" w:rsidRPr="008D0F75" w:rsidRDefault="00665A67"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3F1C329" w14:textId="7173FFDB" w:rsidR="00665A67" w:rsidRPr="008D0F75" w:rsidRDefault="00947D6E" w:rsidP="00665A6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w:t>
            </w:r>
            <w:r w:rsidR="00217B75" w:rsidRPr="008D0F75">
              <w:rPr>
                <w:rFonts w:ascii="Times New Roman" w:hAnsi="Times New Roman"/>
                <w:sz w:val="24"/>
                <w:szCs w:val="24"/>
              </w:rPr>
              <w:t>r</w:t>
            </w:r>
            <w:r w:rsidRPr="008D0F75">
              <w:rPr>
                <w:rFonts w:ascii="Times New Roman" w:hAnsi="Times New Roman"/>
                <w:sz w:val="24"/>
                <w:szCs w:val="24"/>
              </w:rPr>
              <w:t xml:space="preserve">oiectul </w:t>
            </w:r>
            <w:r w:rsidR="00665A67" w:rsidRPr="008D0F75">
              <w:rPr>
                <w:rFonts w:ascii="Times New Roman" w:hAnsi="Times New Roman"/>
                <w:sz w:val="24"/>
                <w:szCs w:val="24"/>
              </w:rPr>
              <w:t>Regulamentul</w:t>
            </w:r>
            <w:r w:rsidRPr="008D0F75">
              <w:rPr>
                <w:rFonts w:ascii="Times New Roman" w:hAnsi="Times New Roman"/>
                <w:sz w:val="24"/>
                <w:szCs w:val="24"/>
              </w:rPr>
              <w:t>ui</w:t>
            </w:r>
            <w:r w:rsidR="00665A67" w:rsidRPr="008D0F75">
              <w:rPr>
                <w:rFonts w:ascii="Times New Roman" w:hAnsi="Times New Roman"/>
                <w:sz w:val="24"/>
                <w:szCs w:val="24"/>
              </w:rPr>
              <w:t xml:space="preserve"> transpune integral Regulamentul de punere în aplicare (UE) 2022/996 care stabilește norme de punere în aplicare pentru a verifica într-un mod eficient și armonizat a conformității.</w:t>
            </w:r>
          </w:p>
          <w:p w14:paraId="69C02D4C" w14:textId="77777777" w:rsidR="00665A67" w:rsidRPr="008D0F75" w:rsidRDefault="00665A67"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041C010" w14:textId="77777777" w:rsidR="00665A67" w:rsidRPr="008D0F75" w:rsidRDefault="00593103"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ANRE urmează să stabilească </w:t>
            </w:r>
            <w:r w:rsidR="00344D18" w:rsidRPr="008D0F75">
              <w:rPr>
                <w:rFonts w:ascii="Times New Roman" w:hAnsi="Times New Roman"/>
                <w:sz w:val="24"/>
                <w:szCs w:val="24"/>
              </w:rPr>
              <w:t xml:space="preserve">un mecanism </w:t>
            </w:r>
            <w:r w:rsidR="005A54EA" w:rsidRPr="008D0F75">
              <w:rPr>
                <w:rFonts w:ascii="Times New Roman" w:hAnsi="Times New Roman"/>
                <w:sz w:val="24"/>
                <w:szCs w:val="24"/>
              </w:rPr>
              <w:t xml:space="preserve">de calcul </w:t>
            </w:r>
            <w:r w:rsidRPr="008D0F75">
              <w:rPr>
                <w:rFonts w:ascii="Times New Roman" w:hAnsi="Times New Roman"/>
                <w:sz w:val="24"/>
                <w:szCs w:val="24"/>
              </w:rPr>
              <w:t>și să comunice operatorilor economici noile cerințe, ținând cont de termenele de publicare a acestora, precum și de intervalul minim de timp de care operatorii economici vor beneficia pentru a se conforma.</w:t>
            </w:r>
          </w:p>
          <w:p w14:paraId="2AFD4551" w14:textId="77777777" w:rsidR="005A54EA" w:rsidRPr="008D0F75" w:rsidRDefault="005A54EA"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0218D09" w14:textId="515906EC" w:rsidR="005A54EA" w:rsidRPr="008D0F75" w:rsidRDefault="005A54EA"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scopul alinierii prevederilor aferente procesului de plasare pe piață a biocarburanților, prevederile corespunzătoare din Legea nr. 10/2016 urmează a fi modificate.</w:t>
            </w:r>
          </w:p>
        </w:tc>
      </w:tr>
      <w:tr w:rsidR="00BF0155" w:rsidRPr="008D0F75" w14:paraId="23400460" w14:textId="77777777" w:rsidTr="00BF0155">
        <w:trPr>
          <w:trHeight w:val="4243"/>
        </w:trPr>
        <w:tc>
          <w:tcPr>
            <w:tcW w:w="2405" w:type="dxa"/>
            <w:vMerge/>
            <w:tcMar>
              <w:top w:w="0" w:type="dxa"/>
              <w:left w:w="108" w:type="dxa"/>
              <w:bottom w:w="0" w:type="dxa"/>
              <w:right w:w="108" w:type="dxa"/>
            </w:tcMar>
          </w:tcPr>
          <w:p w14:paraId="6A0CC26D" w14:textId="77777777" w:rsidR="00BF0155" w:rsidRPr="008D0F75" w:rsidRDefault="00BF0155"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c>
          <w:tcPr>
            <w:tcW w:w="815" w:type="dxa"/>
            <w:vMerge/>
            <w:tcMar>
              <w:top w:w="0" w:type="dxa"/>
              <w:left w:w="108" w:type="dxa"/>
              <w:bottom w:w="0" w:type="dxa"/>
              <w:right w:w="108" w:type="dxa"/>
            </w:tcMar>
          </w:tcPr>
          <w:p w14:paraId="068BBEB8" w14:textId="77777777" w:rsidR="00BF0155" w:rsidRPr="008D0F75" w:rsidRDefault="00BF0155"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Mar>
              <w:top w:w="0" w:type="dxa"/>
              <w:left w:w="108" w:type="dxa"/>
              <w:bottom w:w="0" w:type="dxa"/>
              <w:right w:w="108" w:type="dxa"/>
            </w:tcMar>
          </w:tcPr>
          <w:p w14:paraId="61D5C272" w14:textId="77777777" w:rsidR="00BF0155" w:rsidRPr="008D0F75" w:rsidRDefault="00BF0155" w:rsidP="00BF015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urmare, se propune ca prin Proiect sau printr-un alt mecanism de ajustare a cadrul legal național să fie prevăzut un mecanism clar prin care costurile aferente procedurii de obținere a certificatelor valide emise în cadrul schemelor naționale sau voluntare internaționale recunoscute de Guvern să fie luate în considerație la formarea prețurilor de comercializare cu amănuntul a produselor petroliere principale.</w:t>
            </w:r>
          </w:p>
          <w:p w14:paraId="60916761" w14:textId="77777777" w:rsidR="00BF0155" w:rsidRPr="008D0F75" w:rsidRDefault="00BF0155" w:rsidP="00BF015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De asemenea, prin prezentul, Societatea își exprimă interesul său să participe în continuare în cadrul dezbaterilor publice care pot avea loc în legătură cu Proiectul, inclusiv la cel mai înalt nivel și inclusiv cu ajutorul colegilor săi din Grupul OMV, care dețin o vastă experiență în ceea ce ține de implementarea cadrului legal asemănător Proiectului.</w:t>
            </w:r>
          </w:p>
          <w:p w14:paraId="3A205AA2" w14:textId="77777777" w:rsidR="00BF0155" w:rsidRPr="008D0F75" w:rsidRDefault="00BF0155" w:rsidP="00BF0155">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sz w:val="24"/>
                <w:szCs w:val="24"/>
              </w:rPr>
              <w:t>Prezenta nu este în detrimentul drepturilor pe care Societatea sau acționarii săi (direcți și indirecți) le are(au) sau le poate(pot) avea conform legislației în vigoare, inclusiv tratatelor la care Moldova este parte.</w:t>
            </w:r>
          </w:p>
        </w:tc>
        <w:tc>
          <w:tcPr>
            <w:tcW w:w="3681" w:type="dxa"/>
            <w:tcMar>
              <w:top w:w="0" w:type="dxa"/>
              <w:left w:w="108" w:type="dxa"/>
              <w:bottom w:w="0" w:type="dxa"/>
              <w:right w:w="108" w:type="dxa"/>
            </w:tcMar>
          </w:tcPr>
          <w:p w14:paraId="0641BEC3" w14:textId="77777777" w:rsidR="00BF0155" w:rsidRPr="008D0F75" w:rsidRDefault="00BF0155"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63C6D" w:rsidRPr="008D0F75" w14:paraId="00D3B0C5" w14:textId="77777777" w:rsidTr="00BF0155">
        <w:tc>
          <w:tcPr>
            <w:tcW w:w="2405" w:type="dxa"/>
            <w:tcMar>
              <w:top w:w="0" w:type="dxa"/>
              <w:left w:w="108" w:type="dxa"/>
              <w:bottom w:w="0" w:type="dxa"/>
              <w:right w:w="108" w:type="dxa"/>
            </w:tcMar>
          </w:tcPr>
          <w:p w14:paraId="0D0B7786"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„Termoelectrica” S.A.</w:t>
            </w:r>
          </w:p>
          <w:p w14:paraId="50369655"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ABFE94A" w14:textId="59322A12"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79/90e din 03.04.2026</w:t>
            </w:r>
          </w:p>
        </w:tc>
        <w:tc>
          <w:tcPr>
            <w:tcW w:w="815" w:type="dxa"/>
            <w:tcMar>
              <w:top w:w="0" w:type="dxa"/>
              <w:left w:w="108" w:type="dxa"/>
              <w:bottom w:w="0" w:type="dxa"/>
              <w:right w:w="108" w:type="dxa"/>
            </w:tcMar>
          </w:tcPr>
          <w:p w14:paraId="6F659605" w14:textId="2CA57B70"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13.</w:t>
            </w:r>
          </w:p>
        </w:tc>
        <w:tc>
          <w:tcPr>
            <w:tcW w:w="7123" w:type="dxa"/>
            <w:tcMar>
              <w:top w:w="0" w:type="dxa"/>
              <w:left w:w="108" w:type="dxa"/>
              <w:bottom w:w="0" w:type="dxa"/>
              <w:right w:w="108" w:type="dxa"/>
            </w:tcMar>
          </w:tcPr>
          <w:p w14:paraId="27392B5D" w14:textId="4F20916F"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574157D7" w14:textId="2903AF4A"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p>
        </w:tc>
      </w:tr>
      <w:tr w:rsidR="00363C6D" w:rsidRPr="008D0F75" w14:paraId="7E400AB7" w14:textId="77777777" w:rsidTr="00BF0155">
        <w:tc>
          <w:tcPr>
            <w:tcW w:w="2405" w:type="dxa"/>
            <w:tcMar>
              <w:top w:w="0" w:type="dxa"/>
              <w:left w:w="108" w:type="dxa"/>
              <w:bottom w:w="0" w:type="dxa"/>
              <w:right w:w="108" w:type="dxa"/>
            </w:tcMar>
          </w:tcPr>
          <w:p w14:paraId="6150276D"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Societatea pe Acțiuni „CET-Nord”</w:t>
            </w:r>
          </w:p>
          <w:p w14:paraId="78FADA61"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745668B" w14:textId="4A98BD9D"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200-08/0395 din 30.03.2026</w:t>
            </w:r>
          </w:p>
        </w:tc>
        <w:tc>
          <w:tcPr>
            <w:tcW w:w="815" w:type="dxa"/>
            <w:tcMar>
              <w:top w:w="0" w:type="dxa"/>
              <w:left w:w="108" w:type="dxa"/>
              <w:bottom w:w="0" w:type="dxa"/>
              <w:right w:w="108" w:type="dxa"/>
            </w:tcMar>
          </w:tcPr>
          <w:p w14:paraId="6C7BC2C7" w14:textId="386CEBCD"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14.</w:t>
            </w:r>
          </w:p>
        </w:tc>
        <w:tc>
          <w:tcPr>
            <w:tcW w:w="7123" w:type="dxa"/>
            <w:tcMar>
              <w:top w:w="0" w:type="dxa"/>
              <w:left w:w="108" w:type="dxa"/>
              <w:bottom w:w="0" w:type="dxa"/>
              <w:right w:w="108" w:type="dxa"/>
            </w:tcMar>
          </w:tcPr>
          <w:p w14:paraId="62EC35CA" w14:textId="4DBFAA4A"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S.A. „CET-Nord” susține promovarea proiectului menționat, apreciind că acesta se înscrie în direcția consolidării cadrului național de reglementare privind sursele alternative de energie,reducerii emisiilor de gaze cu efect de seră și alinierii la obiectivele și cerințele Uniunii Europene în domeniul energetic și al protecției mediului. Totodată, precizăm că, la această etapă, biocarburanții nu se regăsesc în structura combustibililor utilizați în cadrul instalațiilor de producere operate de S.A. „CET-Nord”, având în vedere configurația tehnologică actuală a echipamentelor și specificul regimurilor de exploatare. În contextul obiectivelor de decarbonizare și al necesității identificării unor soluții energetice sustenabile pe termen mediu și lung, considerăm justificată evaluarea posibilităților de utilizarea hidrogenului drept combustibil alternativ. În acest sens, apreciem ca oportună inițiere a unor studii tehnice privind amestecul hidrogen-gaz natural, inclusiv pentru procente </w:t>
            </w:r>
            <w:r w:rsidRPr="008D0F75">
              <w:rPr>
                <w:rFonts w:ascii="Times New Roman" w:hAnsi="Times New Roman"/>
                <w:sz w:val="24"/>
                <w:szCs w:val="24"/>
              </w:rPr>
              <w:lastRenderedPageBreak/>
              <w:t>de injectare de până la 5%, în vederea analizării impactului asupra funcționării echipamentelor existente, a condițiilor de siguranță în exploatare, a performanțelor energetice și a potențialului de reducere a emisiilor. Specialiștii S.A. „CET-Nord” își exprimă disponibilitatea de a participa, în colaborare cu Ministerul Energiei și cu alte instituții relevante, la evaluarea și fundamentarea tehnică a unor astfel de direcții de dezvoltare.</w:t>
            </w:r>
          </w:p>
        </w:tc>
        <w:tc>
          <w:tcPr>
            <w:tcW w:w="3681" w:type="dxa"/>
            <w:tcMar>
              <w:top w:w="0" w:type="dxa"/>
              <w:left w:w="108" w:type="dxa"/>
              <w:bottom w:w="0" w:type="dxa"/>
              <w:right w:w="108" w:type="dxa"/>
            </w:tcMar>
          </w:tcPr>
          <w:p w14:paraId="1AD87CFF" w14:textId="7AA6C380"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ia act.</w:t>
            </w:r>
          </w:p>
        </w:tc>
      </w:tr>
      <w:tr w:rsidR="00363C6D" w:rsidRPr="008D0F75" w14:paraId="36BACCA7" w14:textId="77777777" w:rsidTr="00BF0155">
        <w:tc>
          <w:tcPr>
            <w:tcW w:w="2405" w:type="dxa"/>
            <w:tcMar>
              <w:top w:w="0" w:type="dxa"/>
              <w:left w:w="108" w:type="dxa"/>
              <w:bottom w:w="0" w:type="dxa"/>
              <w:right w:w="108" w:type="dxa"/>
            </w:tcMar>
          </w:tcPr>
          <w:p w14:paraId="0D784E4C"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Infrastructurii și Dezvoltării Regionale</w:t>
            </w:r>
          </w:p>
          <w:p w14:paraId="1F06227E"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372B338" w14:textId="02FF70FF"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21-1858 din 07.04.2026</w:t>
            </w:r>
          </w:p>
        </w:tc>
        <w:tc>
          <w:tcPr>
            <w:tcW w:w="815" w:type="dxa"/>
            <w:tcMar>
              <w:top w:w="0" w:type="dxa"/>
              <w:left w:w="108" w:type="dxa"/>
              <w:bottom w:w="0" w:type="dxa"/>
              <w:right w:w="108" w:type="dxa"/>
            </w:tcMar>
          </w:tcPr>
          <w:p w14:paraId="32523320" w14:textId="16AF9E31"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15.</w:t>
            </w:r>
          </w:p>
        </w:tc>
        <w:tc>
          <w:tcPr>
            <w:tcW w:w="7123" w:type="dxa"/>
            <w:tcMar>
              <w:top w:w="0" w:type="dxa"/>
              <w:left w:w="108" w:type="dxa"/>
              <w:bottom w:w="0" w:type="dxa"/>
              <w:right w:w="108" w:type="dxa"/>
            </w:tcMar>
          </w:tcPr>
          <w:p w14:paraId="3C3FEBB0" w14:textId="4942C6BD"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Ca urmare a examinării proiectului de hotărâre a Guvernului privind aprobarea Regulamentului cu privire la normele de verificare a biocarburanților, biolichidelor și combustibililor din biomasă, precum și recunoașterea schemelor voluntare și modificarea unor acte normative </w:t>
            </w:r>
            <w:r w:rsidRPr="008D0F75">
              <w:rPr>
                <w:rFonts w:ascii="Times New Roman" w:hAnsi="Times New Roman"/>
                <w:b/>
                <w:bCs/>
                <w:sz w:val="24"/>
                <w:szCs w:val="24"/>
              </w:rPr>
              <w:t>(număr unic 277/Men/2026)</w:t>
            </w:r>
            <w:r w:rsidRPr="008D0F75">
              <w:rPr>
                <w:rFonts w:ascii="Times New Roman" w:hAnsi="Times New Roman"/>
                <w:i/>
                <w:iCs/>
                <w:sz w:val="24"/>
                <w:szCs w:val="24"/>
              </w:rPr>
              <w:t xml:space="preserve">, </w:t>
            </w:r>
            <w:r w:rsidRPr="008D0F75">
              <w:rPr>
                <w:rFonts w:ascii="Times New Roman" w:hAnsi="Times New Roman"/>
                <w:sz w:val="24"/>
                <w:szCs w:val="24"/>
              </w:rPr>
              <w:t xml:space="preserve">în limitele competențelor funcționale, comunicăm următoarele. </w:t>
            </w:r>
          </w:p>
          <w:p w14:paraId="7B41852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i/>
                <w:iCs/>
                <w:sz w:val="24"/>
                <w:szCs w:val="24"/>
              </w:rPr>
              <w:t xml:space="preserve">La proiectul hotărârii Guvernului: </w:t>
            </w:r>
          </w:p>
          <w:p w14:paraId="1B9DBDD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w:t>
            </w:r>
            <w:r w:rsidRPr="008D0F75">
              <w:rPr>
                <w:rFonts w:ascii="Times New Roman" w:hAnsi="Times New Roman"/>
                <w:b/>
                <w:bCs/>
                <w:sz w:val="24"/>
                <w:szCs w:val="24"/>
              </w:rPr>
              <w:t>pct. 2</w:t>
            </w:r>
            <w:r w:rsidRPr="008D0F75">
              <w:rPr>
                <w:rFonts w:ascii="Times New Roman" w:hAnsi="Times New Roman"/>
                <w:sz w:val="24"/>
                <w:szCs w:val="24"/>
              </w:rPr>
              <w:t xml:space="preserve">, în temeiul art. 55 din Legea nr. 100/2017 cu privire la actele normative, urmează a fi corectată trimiterea la art. 10 alin. (1) lit. d¹) din Legea nr. 10/2016 privind promovarea utilizării energiei din surse regenerabile, lipsind indicarea actului normativ la care se face referire. </w:t>
            </w:r>
          </w:p>
          <w:p w14:paraId="0D890CC5"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w:t>
            </w:r>
            <w:r w:rsidRPr="008D0F75">
              <w:rPr>
                <w:rFonts w:ascii="Times New Roman" w:hAnsi="Times New Roman"/>
                <w:b/>
                <w:bCs/>
                <w:sz w:val="24"/>
                <w:szCs w:val="24"/>
              </w:rPr>
              <w:t>subpct. 3.3</w:t>
            </w:r>
            <w:r w:rsidRPr="008D0F75">
              <w:rPr>
                <w:rFonts w:ascii="Times New Roman" w:hAnsi="Times New Roman"/>
                <w:sz w:val="24"/>
                <w:szCs w:val="24"/>
              </w:rPr>
              <w:t xml:space="preserve">, prin care se propune completarea Hotărârii Guvernului nr. 53/2025 cu anexa nr. 3 </w:t>
            </w:r>
            <w:r w:rsidRPr="008D0F75">
              <w:rPr>
                <w:rFonts w:ascii="Times New Roman" w:hAnsi="Times New Roman"/>
                <w:i/>
                <w:iCs/>
                <w:sz w:val="24"/>
                <w:szCs w:val="24"/>
              </w:rPr>
              <w:t>„Metodologia de determinare a reducerilor de emisii de gaze cu efect de seră generate de combustibilii lichizi și gazoși de origine nebiologică din surse regenerabile utilizați în transporturi și de combustibilii pe bază de carbon reciclat”</w:t>
            </w:r>
            <w:r w:rsidRPr="008D0F75">
              <w:rPr>
                <w:rFonts w:ascii="Times New Roman" w:hAnsi="Times New Roman"/>
                <w:sz w:val="24"/>
                <w:szCs w:val="24"/>
              </w:rPr>
              <w:t xml:space="preserve">, constatăm că proiectul utilizează aceeași denumire </w:t>
            </w:r>
            <w:r w:rsidRPr="008D0F75">
              <w:rPr>
                <w:rFonts w:ascii="Times New Roman" w:hAnsi="Times New Roman"/>
                <w:i/>
                <w:iCs/>
                <w:sz w:val="24"/>
                <w:szCs w:val="24"/>
              </w:rPr>
              <w:t>„Datele privind producția de energie electrică și consumul de combustibil”</w:t>
            </w:r>
            <w:r w:rsidRPr="008D0F75">
              <w:rPr>
                <w:rFonts w:ascii="Times New Roman" w:hAnsi="Times New Roman"/>
                <w:sz w:val="24"/>
                <w:szCs w:val="24"/>
              </w:rPr>
              <w:t xml:space="preserve">, atât pentru Capitolul II, cât și pentru Capitolul III. </w:t>
            </w:r>
          </w:p>
          <w:p w14:paraId="5DBB9A5C"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vederea asigurării clarității și coerenței structurale a anexei, precum și pentru evitarea dificultăților de interpretare și aplicare a metodologiei, se impune revizuirea denumirii unuia dintre capitole. </w:t>
            </w:r>
          </w:p>
          <w:p w14:paraId="011DAF7D"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i/>
                <w:iCs/>
                <w:sz w:val="24"/>
                <w:szCs w:val="24"/>
              </w:rPr>
              <w:t xml:space="preserve">La proiectul Regulamentului: </w:t>
            </w:r>
          </w:p>
          <w:p w14:paraId="16802CEB" w14:textId="6AE20FBF"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Pe tot textul Regulamentului, cuvintele </w:t>
            </w:r>
            <w:r w:rsidRPr="008D0F75">
              <w:rPr>
                <w:rFonts w:ascii="Times New Roman" w:hAnsi="Times New Roman"/>
                <w:i/>
                <w:iCs/>
                <w:sz w:val="24"/>
                <w:szCs w:val="24"/>
              </w:rPr>
              <w:t>„organism de certificare”</w:t>
            </w:r>
            <w:r w:rsidRPr="008D0F75">
              <w:rPr>
                <w:rFonts w:ascii="Times New Roman" w:hAnsi="Times New Roman"/>
                <w:sz w:val="24"/>
                <w:szCs w:val="24"/>
              </w:rPr>
              <w:t xml:space="preserve">, la orice formă gramaticală, se vor substitui cu cuvintele </w:t>
            </w:r>
            <w:r w:rsidRPr="008D0F75">
              <w:rPr>
                <w:rFonts w:ascii="Times New Roman" w:hAnsi="Times New Roman"/>
                <w:i/>
                <w:iCs/>
                <w:sz w:val="24"/>
                <w:szCs w:val="24"/>
              </w:rPr>
              <w:t>„organism de evaluare a conformității”</w:t>
            </w:r>
            <w:r w:rsidRPr="008D0F75">
              <w:rPr>
                <w:rFonts w:ascii="Times New Roman" w:hAnsi="Times New Roman"/>
                <w:sz w:val="24"/>
                <w:szCs w:val="24"/>
              </w:rPr>
              <w:t xml:space="preserve">, la forma gramaticală corespunzătoare, în </w:t>
            </w:r>
            <w:r w:rsidRPr="008D0F75">
              <w:rPr>
                <w:rFonts w:ascii="Times New Roman" w:hAnsi="Times New Roman"/>
                <w:sz w:val="24"/>
                <w:szCs w:val="24"/>
              </w:rPr>
              <w:lastRenderedPageBreak/>
              <w:t>conformitate cu art. 2 alin. (1) pct. 12 din Legea nr. 235/2011 privind activitățile de acreditare și de evaluare a conformității, precum și cu art. 13 alin. (2) din Legea nr. 10/2016 privind promovarea utilizării energiei din surse regenerabile.</w:t>
            </w:r>
          </w:p>
        </w:tc>
        <w:tc>
          <w:tcPr>
            <w:tcW w:w="3681" w:type="dxa"/>
            <w:tcMar>
              <w:top w:w="0" w:type="dxa"/>
              <w:left w:w="108" w:type="dxa"/>
              <w:bottom w:w="0" w:type="dxa"/>
              <w:right w:w="108" w:type="dxa"/>
            </w:tcMar>
          </w:tcPr>
          <w:p w14:paraId="166A7EF6" w14:textId="77777777" w:rsidR="00363C6D" w:rsidRPr="008D0F75" w:rsidRDefault="00E66BBB"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 parțial.</w:t>
            </w:r>
          </w:p>
          <w:p w14:paraId="158727BC" w14:textId="77777777" w:rsidR="00E66BBB" w:rsidRPr="008D0F75" w:rsidRDefault="00E66BBB"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31C868B" w14:textId="17E9F245" w:rsidR="00E97D52" w:rsidRPr="008D0F75" w:rsidRDefault="00A00F17"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Propunerea de substituire a sintagmei „organism de certificare” nu se consideră relevantă.</w:t>
            </w:r>
          </w:p>
          <w:p w14:paraId="6E2C5DF0" w14:textId="77777777" w:rsidR="00A00F17" w:rsidRPr="008D0F75" w:rsidRDefault="00A00F17"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E47E220" w14:textId="65EE1B7B" w:rsidR="00E2237F" w:rsidRPr="008D0F75" w:rsidRDefault="00E2237F"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Definiția noțiunii „organism de evaluare a conformității”, prevăzută de Legea nr. 235/2011, nu acoperă integral scopul prezentului proiect, fiind transpusă în </w:t>
            </w:r>
            <w:r w:rsidR="00131B33" w:rsidRPr="008D0F75">
              <w:rPr>
                <w:rFonts w:ascii="Times New Roman" w:hAnsi="Times New Roman"/>
                <w:sz w:val="24"/>
                <w:szCs w:val="24"/>
              </w:rPr>
              <w:t>conformitate</w:t>
            </w:r>
            <w:r w:rsidRPr="008D0F75">
              <w:rPr>
                <w:rFonts w:ascii="Times New Roman" w:hAnsi="Times New Roman"/>
                <w:sz w:val="24"/>
                <w:szCs w:val="24"/>
              </w:rPr>
              <w:t xml:space="preserve"> Regulamentului (CE) nr. 765/2008. În sensul Regulamentului din prezentul proiect, definiția noțiunii </w:t>
            </w:r>
            <w:r w:rsidR="00131B33" w:rsidRPr="008D0F75">
              <w:rPr>
                <w:rFonts w:ascii="Times New Roman" w:hAnsi="Times New Roman"/>
                <w:sz w:val="24"/>
                <w:szCs w:val="24"/>
              </w:rPr>
              <w:t>„</w:t>
            </w:r>
            <w:r w:rsidRPr="008D0F75">
              <w:rPr>
                <w:rFonts w:ascii="Times New Roman" w:hAnsi="Times New Roman"/>
                <w:sz w:val="24"/>
                <w:szCs w:val="24"/>
              </w:rPr>
              <w:t>organism de certificare</w:t>
            </w:r>
            <w:r w:rsidR="00131B33" w:rsidRPr="008D0F75">
              <w:rPr>
                <w:rFonts w:ascii="Times New Roman" w:hAnsi="Times New Roman"/>
                <w:sz w:val="24"/>
                <w:szCs w:val="24"/>
              </w:rPr>
              <w:t>”</w:t>
            </w:r>
            <w:r w:rsidRPr="008D0F75">
              <w:rPr>
                <w:rFonts w:ascii="Times New Roman" w:hAnsi="Times New Roman"/>
                <w:sz w:val="24"/>
                <w:szCs w:val="24"/>
              </w:rPr>
              <w:t xml:space="preserve"> are un scop mai </w:t>
            </w:r>
            <w:r w:rsidR="00763CC2" w:rsidRPr="008D0F75">
              <w:rPr>
                <w:rFonts w:ascii="Times New Roman" w:hAnsi="Times New Roman"/>
                <w:sz w:val="24"/>
                <w:szCs w:val="24"/>
              </w:rPr>
              <w:t>îngust</w:t>
            </w:r>
            <w:r w:rsidRPr="008D0F75">
              <w:rPr>
                <w:rFonts w:ascii="Times New Roman" w:hAnsi="Times New Roman"/>
                <w:sz w:val="24"/>
                <w:szCs w:val="24"/>
              </w:rPr>
              <w:t xml:space="preserve"> stabilit</w:t>
            </w:r>
            <w:r w:rsidR="00561E02" w:rsidRPr="008D0F75">
              <w:rPr>
                <w:rFonts w:ascii="Times New Roman" w:hAnsi="Times New Roman"/>
                <w:sz w:val="24"/>
                <w:szCs w:val="24"/>
              </w:rPr>
              <w:t>,</w:t>
            </w:r>
            <w:r w:rsidR="002B4986" w:rsidRPr="008D0F75">
              <w:rPr>
                <w:rFonts w:ascii="Times New Roman" w:hAnsi="Times New Roman"/>
                <w:sz w:val="24"/>
                <w:szCs w:val="24"/>
              </w:rPr>
              <w:t xml:space="preserve"> aferent schemelor v</w:t>
            </w:r>
            <w:r w:rsidR="0050794E" w:rsidRPr="008D0F75">
              <w:rPr>
                <w:rFonts w:ascii="Times New Roman" w:hAnsi="Times New Roman"/>
                <w:sz w:val="24"/>
                <w:szCs w:val="24"/>
              </w:rPr>
              <w:t>oluntare</w:t>
            </w:r>
            <w:r w:rsidRPr="008D0F75">
              <w:rPr>
                <w:rFonts w:ascii="Times New Roman" w:hAnsi="Times New Roman"/>
                <w:sz w:val="24"/>
                <w:szCs w:val="24"/>
              </w:rPr>
              <w:t>, transpus în conformitate cu Regulamentul de punere în aplicare (UE) 2022/996</w:t>
            </w:r>
            <w:r w:rsidRPr="008D0F75">
              <w:rPr>
                <w:rFonts w:ascii="Times New Roman" w:hAnsi="Times New Roman"/>
                <w:i/>
                <w:iCs/>
                <w:sz w:val="24"/>
                <w:szCs w:val="24"/>
              </w:rPr>
              <w:t>.</w:t>
            </w:r>
          </w:p>
        </w:tc>
      </w:tr>
      <w:tr w:rsidR="00363C6D" w:rsidRPr="008D0F75" w14:paraId="4916E4D3" w14:textId="77777777" w:rsidTr="00BF0155">
        <w:tc>
          <w:tcPr>
            <w:tcW w:w="2405" w:type="dxa"/>
            <w:tcMar>
              <w:top w:w="0" w:type="dxa"/>
              <w:left w:w="108" w:type="dxa"/>
              <w:bottom w:w="0" w:type="dxa"/>
              <w:right w:w="108" w:type="dxa"/>
            </w:tcMar>
          </w:tcPr>
          <w:p w14:paraId="69DFBFBE"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Finanțelor</w:t>
            </w:r>
          </w:p>
          <w:p w14:paraId="7111C2A8"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D0A99C8" w14:textId="33B219B2"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09/2-03/244/561 din 23 martie 2026</w:t>
            </w:r>
          </w:p>
        </w:tc>
        <w:tc>
          <w:tcPr>
            <w:tcW w:w="815" w:type="dxa"/>
            <w:tcMar>
              <w:top w:w="0" w:type="dxa"/>
              <w:left w:w="108" w:type="dxa"/>
              <w:bottom w:w="0" w:type="dxa"/>
              <w:right w:w="108" w:type="dxa"/>
            </w:tcMar>
          </w:tcPr>
          <w:p w14:paraId="2ABA65EC" w14:textId="62D74D70"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16.</w:t>
            </w:r>
          </w:p>
        </w:tc>
        <w:tc>
          <w:tcPr>
            <w:tcW w:w="7123" w:type="dxa"/>
            <w:tcMar>
              <w:top w:w="0" w:type="dxa"/>
              <w:left w:w="108" w:type="dxa"/>
              <w:bottom w:w="0" w:type="dxa"/>
              <w:right w:w="108" w:type="dxa"/>
            </w:tcMar>
          </w:tcPr>
          <w:p w14:paraId="2B2E888C" w14:textId="1D7BE168"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indicația Cancelariei de Stat nr. DGPŞG-2020-18-69-934 din 23 martie 2026, Ministerul Finanțelor a examinat proiectul de hotărâre </w:t>
            </w:r>
            <w:r w:rsidRPr="008D0F75">
              <w:rPr>
                <w:rFonts w:ascii="Times New Roman" w:hAnsi="Times New Roman"/>
                <w:i/>
                <w:iCs/>
                <w:sz w:val="24"/>
                <w:szCs w:val="24"/>
              </w:rPr>
              <w:t>privind aprobarea Regulamentului cu privire la normele de verificare a biocarburanților, biolichidelor și combustibililor din biomasă, precum și recunoașterea schemelor voluntare și modificarea unor acte normative (</w:t>
            </w:r>
            <w:r w:rsidRPr="008D0F75">
              <w:rPr>
                <w:rFonts w:ascii="Times New Roman" w:hAnsi="Times New Roman"/>
                <w:b/>
                <w:bCs/>
                <w:i/>
                <w:iCs/>
                <w:sz w:val="24"/>
                <w:szCs w:val="24"/>
              </w:rPr>
              <w:t>număr unic 277/MEn/2026)</w:t>
            </w:r>
            <w:r w:rsidRPr="008D0F75">
              <w:rPr>
                <w:rFonts w:ascii="Times New Roman" w:hAnsi="Times New Roman"/>
                <w:i/>
                <w:iCs/>
                <w:sz w:val="24"/>
                <w:szCs w:val="24"/>
              </w:rPr>
              <w:t xml:space="preserve">, autor – Ministerul Energiei </w:t>
            </w:r>
            <w:r w:rsidRPr="008D0F75">
              <w:rPr>
                <w:rFonts w:ascii="Times New Roman" w:hAnsi="Times New Roman"/>
                <w:sz w:val="24"/>
                <w:szCs w:val="24"/>
              </w:rPr>
              <w:t xml:space="preserve">și, în limita atribuțiilor funcționale, comunică următoarele. </w:t>
            </w:r>
          </w:p>
          <w:p w14:paraId="33391E3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i/>
                <w:iCs/>
                <w:sz w:val="24"/>
                <w:szCs w:val="24"/>
              </w:rPr>
              <w:t xml:space="preserve">La proiectul Regulamentului: </w:t>
            </w:r>
          </w:p>
          <w:p w14:paraId="31488556"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capitolul II, secțiunea 1 </w:t>
            </w:r>
            <w:r w:rsidRPr="008D0F75">
              <w:rPr>
                <w:rFonts w:ascii="Times New Roman" w:hAnsi="Times New Roman"/>
                <w:i/>
                <w:iCs/>
                <w:sz w:val="24"/>
                <w:szCs w:val="24"/>
              </w:rPr>
              <w:t>„Structura de guvernanță a schemei voluntare”</w:t>
            </w:r>
            <w:r w:rsidRPr="008D0F75">
              <w:rPr>
                <w:rFonts w:ascii="Times New Roman" w:hAnsi="Times New Roman"/>
                <w:sz w:val="24"/>
                <w:szCs w:val="24"/>
              </w:rPr>
              <w:t xml:space="preserve">, se stipulează că, organul de specialitate al administrației publice în domeniul energeticii înființează un grup de lucru de asistență tehnică specializată, cu posibilitatea de a contracta experți externi independenți, în vederea acordării de consultanță privind aspecte tehnice. </w:t>
            </w:r>
          </w:p>
          <w:p w14:paraId="463002EB"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Întru evitarea neclarităților, este esențial să fie indicați expres membrii căror autorități vor face parte din grupul respectiv, specificându-se dacă aceștia vor fi remunerați sau nu, iar în caz afirmativ, se va preciza sursa de finanțare. </w:t>
            </w:r>
          </w:p>
          <w:p w14:paraId="3AECC092"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i/>
                <w:iCs/>
                <w:sz w:val="24"/>
                <w:szCs w:val="24"/>
              </w:rPr>
              <w:t xml:space="preserve">La Nota de fundamentare: </w:t>
            </w:r>
          </w:p>
          <w:p w14:paraId="27A47AA8"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compartimentul 4.2 ,,</w:t>
            </w:r>
            <w:r w:rsidRPr="008D0F75">
              <w:rPr>
                <w:rFonts w:ascii="Times New Roman" w:hAnsi="Times New Roman"/>
                <w:i/>
                <w:iCs/>
                <w:sz w:val="24"/>
                <w:szCs w:val="24"/>
              </w:rPr>
              <w:t>Impactul financiar și argumentarea costurilor estimative</w:t>
            </w:r>
            <w:r w:rsidRPr="008D0F75">
              <w:rPr>
                <w:rFonts w:ascii="Times New Roman" w:hAnsi="Times New Roman"/>
                <w:sz w:val="24"/>
                <w:szCs w:val="24"/>
              </w:rPr>
              <w:t xml:space="preserve">” este menționat că, proiectul de hotărâre presupune anumite cheltuieli financiare din bugetul de stat. </w:t>
            </w:r>
          </w:p>
          <w:p w14:paraId="01F41EA2" w14:textId="068AEBD6"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principiu, se face referire la costurile pentru elaborarea și operarea „</w:t>
            </w:r>
            <w:r w:rsidRPr="008D0F75">
              <w:rPr>
                <w:rFonts w:ascii="Times New Roman" w:hAnsi="Times New Roman"/>
                <w:i/>
                <w:iCs/>
                <w:sz w:val="24"/>
                <w:szCs w:val="24"/>
              </w:rPr>
              <w:t>Registrului de biocarburanți</w:t>
            </w:r>
            <w:r w:rsidRPr="008D0F75">
              <w:rPr>
                <w:rFonts w:ascii="Times New Roman" w:hAnsi="Times New Roman"/>
                <w:sz w:val="24"/>
                <w:szCs w:val="24"/>
              </w:rPr>
              <w:t xml:space="preserve">”, menționându-se că, sunt prevăzute și acceptate în proiectul </w:t>
            </w:r>
            <w:r w:rsidR="00FA45D7" w:rsidRPr="008D0F75">
              <w:rPr>
                <w:rFonts w:ascii="Times New Roman" w:hAnsi="Times New Roman"/>
                <w:i/>
                <w:iCs/>
                <w:sz w:val="24"/>
                <w:szCs w:val="24"/>
              </w:rPr>
              <w:t xml:space="preserve"> </w:t>
            </w:r>
            <w:r w:rsidR="00C830DF" w:rsidRPr="008D0F75">
              <w:rPr>
                <w:rFonts w:ascii="Times New Roman" w:hAnsi="Times New Roman"/>
                <w:i/>
                <w:iCs/>
                <w:sz w:val="24"/>
                <w:szCs w:val="24"/>
              </w:rPr>
              <w:t xml:space="preserve"> </w:t>
            </w:r>
            <w:r w:rsidRPr="008D0F75">
              <w:rPr>
                <w:rFonts w:ascii="Times New Roman" w:hAnsi="Times New Roman"/>
                <w:sz w:val="24"/>
                <w:szCs w:val="24"/>
              </w:rPr>
              <w:t xml:space="preserve"> asigurarea procesului de colectare și stocare a informațiilor privind tranzacțiile și caracteristicile de durabilitate ale combustibililor, inclusiv emisiile de gaze cu efect de seră generate pe durata ciclului de viață, dezvoltarea unui sistem de monitorizare pentru această activitate. </w:t>
            </w:r>
          </w:p>
          <w:p w14:paraId="0D47E20E"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xml:space="preserve">Cu toate acestea, subliniem faptul că, costurile respective nu au fost acceptate în contextul proiectului </w:t>
            </w:r>
            <w:r w:rsidRPr="008D0F75">
              <w:rPr>
                <w:rFonts w:ascii="Times New Roman" w:hAnsi="Times New Roman"/>
                <w:i/>
                <w:iCs/>
                <w:sz w:val="24"/>
                <w:szCs w:val="24"/>
              </w:rPr>
              <w:t>Cadrului bugetar pe termen mediu 2026-2028</w:t>
            </w:r>
            <w:r w:rsidRPr="008D0F75">
              <w:rPr>
                <w:rFonts w:ascii="Times New Roman" w:hAnsi="Times New Roman"/>
                <w:sz w:val="24"/>
                <w:szCs w:val="24"/>
              </w:rPr>
              <w:t xml:space="preserve">, ci au fost aprobate și alocate conform </w:t>
            </w:r>
            <w:r w:rsidRPr="008D0F75">
              <w:rPr>
                <w:rFonts w:ascii="Times New Roman" w:hAnsi="Times New Roman"/>
                <w:i/>
                <w:iCs/>
                <w:sz w:val="24"/>
                <w:szCs w:val="24"/>
              </w:rPr>
              <w:t>Legii bugetului de stat pentru anul 2026 nr. 322/2025</w:t>
            </w:r>
            <w:r w:rsidRPr="008D0F75">
              <w:rPr>
                <w:rFonts w:ascii="Times New Roman" w:hAnsi="Times New Roman"/>
                <w:sz w:val="24"/>
                <w:szCs w:val="24"/>
              </w:rPr>
              <w:t xml:space="preserve">. În consecință, trimiterea la cadrul legal va fi ajustată, pentru a asigura prezentarea unor informații juste. </w:t>
            </w:r>
          </w:p>
          <w:p w14:paraId="19B7E538"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Totodată, atenționăm că, realizarea prevederilor prezentei hotărâri se va efectua din contul și în limita alocațiilor bugetare aprobate prin legea bugetară anuală sau cadrul bugetar pe termen mediu, aferente Ministerului Energiei, fără necesitatea alocării mijloacelor bugetare suplimentare, precum și din surse de asistență externă nerambursabilă. </w:t>
            </w:r>
          </w:p>
          <w:p w14:paraId="4BE4E786" w14:textId="3EE14D4E"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concluzie, Ministerul Finanțelor este disponibil să examineze repetat proiectul de hotărâre, după luarea în considerare a obiecțiilor formulate.</w:t>
            </w:r>
          </w:p>
        </w:tc>
        <w:tc>
          <w:tcPr>
            <w:tcW w:w="3681" w:type="dxa"/>
            <w:tcMar>
              <w:top w:w="0" w:type="dxa"/>
              <w:left w:w="108" w:type="dxa"/>
              <w:bottom w:w="0" w:type="dxa"/>
              <w:right w:w="108" w:type="dxa"/>
            </w:tcMar>
          </w:tcPr>
          <w:p w14:paraId="26BFD1BF" w14:textId="5733A597" w:rsidR="003C7A2F" w:rsidRPr="008D0F75" w:rsidRDefault="003C7A2F" w:rsidP="003C7A2F">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w:t>
            </w:r>
          </w:p>
          <w:p w14:paraId="1FD754FE"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66459E2" w14:textId="1859AA8F" w:rsidR="00274553" w:rsidRPr="008D0F75" w:rsidRDefault="00D17C25"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w:t>
            </w:r>
            <w:r w:rsidR="003C7A2F" w:rsidRPr="008D0F75">
              <w:rPr>
                <w:rFonts w:ascii="Times New Roman" w:hAnsi="Times New Roman"/>
                <w:sz w:val="24"/>
                <w:szCs w:val="24"/>
              </w:rPr>
              <w:t xml:space="preserve"> </w:t>
            </w:r>
            <w:r w:rsidRPr="008D0F75">
              <w:rPr>
                <w:rFonts w:ascii="Times New Roman" w:hAnsi="Times New Roman"/>
                <w:sz w:val="24"/>
                <w:szCs w:val="24"/>
              </w:rPr>
              <w:t xml:space="preserve">pct. 3 din </w:t>
            </w:r>
            <w:r w:rsidR="00396572" w:rsidRPr="008D0F75">
              <w:rPr>
                <w:rFonts w:ascii="Times New Roman" w:hAnsi="Times New Roman"/>
                <w:sz w:val="24"/>
                <w:szCs w:val="24"/>
              </w:rPr>
              <w:t>proiectul R</w:t>
            </w:r>
            <w:r w:rsidRPr="008D0F75">
              <w:rPr>
                <w:rFonts w:ascii="Times New Roman" w:hAnsi="Times New Roman"/>
                <w:sz w:val="24"/>
                <w:szCs w:val="24"/>
              </w:rPr>
              <w:t>egulamentul</w:t>
            </w:r>
            <w:r w:rsidR="00E91C00" w:rsidRPr="008D0F75">
              <w:rPr>
                <w:rFonts w:ascii="Times New Roman" w:hAnsi="Times New Roman"/>
                <w:sz w:val="24"/>
                <w:szCs w:val="24"/>
              </w:rPr>
              <w:t>ui</w:t>
            </w:r>
            <w:r w:rsidR="00274553" w:rsidRPr="008D0F75">
              <w:rPr>
                <w:rFonts w:ascii="Times New Roman" w:hAnsi="Times New Roman"/>
                <w:sz w:val="24"/>
                <w:szCs w:val="24"/>
              </w:rPr>
              <w:t>:</w:t>
            </w:r>
          </w:p>
          <w:p w14:paraId="4D38A7DE" w14:textId="77777777" w:rsidR="00B44FA3" w:rsidRPr="008D0F75" w:rsidRDefault="00B44FA3"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70218B8" w14:textId="77777777" w:rsidR="00E91C00" w:rsidRPr="008D0F75" w:rsidRDefault="001A6038"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1) </w:t>
            </w:r>
            <w:r w:rsidR="00D877B3" w:rsidRPr="008D0F75">
              <w:rPr>
                <w:rFonts w:ascii="Times New Roman" w:hAnsi="Times New Roman"/>
                <w:sz w:val="24"/>
                <w:szCs w:val="24"/>
              </w:rPr>
              <w:t xml:space="preserve">este </w:t>
            </w:r>
            <w:r w:rsidR="00F70DB3" w:rsidRPr="008D0F75">
              <w:rPr>
                <w:rFonts w:ascii="Times New Roman" w:hAnsi="Times New Roman"/>
                <w:sz w:val="24"/>
                <w:szCs w:val="24"/>
              </w:rPr>
              <w:t>indic</w:t>
            </w:r>
            <w:r w:rsidR="00D877B3" w:rsidRPr="008D0F75">
              <w:rPr>
                <w:rFonts w:ascii="Times New Roman" w:hAnsi="Times New Roman"/>
                <w:sz w:val="24"/>
                <w:szCs w:val="24"/>
              </w:rPr>
              <w:t>at</w:t>
            </w:r>
            <w:r w:rsidR="00F70DB3" w:rsidRPr="008D0F75">
              <w:rPr>
                <w:rFonts w:ascii="Times New Roman" w:hAnsi="Times New Roman"/>
                <w:sz w:val="24"/>
                <w:szCs w:val="24"/>
              </w:rPr>
              <w:t xml:space="preserve"> expres </w:t>
            </w:r>
            <w:r w:rsidR="009B4760" w:rsidRPr="008D0F75">
              <w:rPr>
                <w:rFonts w:ascii="Times New Roman" w:hAnsi="Times New Roman"/>
                <w:sz w:val="24"/>
                <w:szCs w:val="24"/>
              </w:rPr>
              <w:t>autoritățile care vor face parte din</w:t>
            </w:r>
            <w:r w:rsidR="00F70DB3" w:rsidRPr="008D0F75">
              <w:rPr>
                <w:rFonts w:ascii="Times New Roman" w:hAnsi="Times New Roman"/>
                <w:sz w:val="24"/>
                <w:szCs w:val="24"/>
              </w:rPr>
              <w:t xml:space="preserve"> grupul</w:t>
            </w:r>
            <w:r w:rsidR="009B4760" w:rsidRPr="008D0F75">
              <w:rPr>
                <w:rFonts w:ascii="Times New Roman" w:hAnsi="Times New Roman"/>
                <w:sz w:val="24"/>
                <w:szCs w:val="24"/>
              </w:rPr>
              <w:t xml:space="preserve"> </w:t>
            </w:r>
            <w:r w:rsidR="00F70DB3" w:rsidRPr="008D0F75">
              <w:rPr>
                <w:rFonts w:ascii="Times New Roman" w:hAnsi="Times New Roman"/>
                <w:sz w:val="24"/>
                <w:szCs w:val="24"/>
              </w:rPr>
              <w:t>de lucru</w:t>
            </w:r>
            <w:r w:rsidR="00E91C00" w:rsidRPr="008D0F75">
              <w:rPr>
                <w:rFonts w:ascii="Times New Roman" w:hAnsi="Times New Roman"/>
                <w:sz w:val="24"/>
                <w:szCs w:val="24"/>
              </w:rPr>
              <w:t>:</w:t>
            </w:r>
            <w:r w:rsidR="00F70DB3" w:rsidRPr="008D0F75">
              <w:rPr>
                <w:rFonts w:ascii="Times New Roman" w:hAnsi="Times New Roman"/>
                <w:sz w:val="24"/>
                <w:szCs w:val="24"/>
              </w:rPr>
              <w:t xml:space="preserve"> </w:t>
            </w:r>
          </w:p>
          <w:p w14:paraId="0B4BC8C2" w14:textId="315F7B18" w:rsidR="003C7A2F" w:rsidRPr="008D0F75" w:rsidRDefault="00F70DB3"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w:t>
            </w:r>
            <w:r w:rsidR="00700D63" w:rsidRPr="008D0F75">
              <w:rPr>
                <w:rFonts w:ascii="Times New Roman" w:hAnsi="Times New Roman"/>
                <w:i/>
                <w:iCs/>
                <w:sz w:val="24"/>
                <w:szCs w:val="24"/>
              </w:rPr>
              <w:t>Din componența grupului de lucru fac parte, în mod obligatoriu, Agenția de Mediu și IP CNED.”</w:t>
            </w:r>
          </w:p>
          <w:p w14:paraId="70A02EB0" w14:textId="77777777" w:rsidR="00E6665D" w:rsidRPr="008D0F75" w:rsidRDefault="00E6665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p>
          <w:p w14:paraId="6AD75607" w14:textId="77777777" w:rsidR="002D7747" w:rsidRPr="008D0F75" w:rsidRDefault="001A6038"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2) </w:t>
            </w:r>
            <w:r w:rsidR="00274553" w:rsidRPr="008D0F75">
              <w:rPr>
                <w:rFonts w:ascii="Times New Roman" w:hAnsi="Times New Roman"/>
                <w:sz w:val="24"/>
                <w:szCs w:val="24"/>
              </w:rPr>
              <w:t xml:space="preserve">s-a completat cu </w:t>
            </w:r>
            <w:r w:rsidR="00424A69" w:rsidRPr="008D0F75">
              <w:rPr>
                <w:rFonts w:ascii="Times New Roman" w:hAnsi="Times New Roman"/>
                <w:sz w:val="24"/>
                <w:szCs w:val="24"/>
              </w:rPr>
              <w:t>următoare sintagmă</w:t>
            </w:r>
            <w:r w:rsidR="002D7747" w:rsidRPr="008D0F75">
              <w:rPr>
                <w:rFonts w:ascii="Times New Roman" w:hAnsi="Times New Roman"/>
                <w:sz w:val="24"/>
                <w:szCs w:val="24"/>
              </w:rPr>
              <w:t>:</w:t>
            </w:r>
          </w:p>
          <w:p w14:paraId="7EFA1C1B" w14:textId="4DA64552" w:rsidR="001A6038" w:rsidRPr="008D0F75" w:rsidRDefault="00424A69"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w:t>
            </w:r>
            <w:r w:rsidR="003E4AE9" w:rsidRPr="008D0F75">
              <w:rPr>
                <w:rFonts w:ascii="Times New Roman" w:hAnsi="Times New Roman"/>
                <w:i/>
                <w:iCs/>
                <w:sz w:val="24"/>
                <w:szCs w:val="24"/>
              </w:rPr>
              <w:t>Activitatea în calitate de membru al grupului de lucru nu se remunerează</w:t>
            </w:r>
            <w:r w:rsidR="0016588F" w:rsidRPr="008D0F75">
              <w:rPr>
                <w:rFonts w:ascii="Times New Roman" w:hAnsi="Times New Roman"/>
                <w:i/>
                <w:iCs/>
                <w:sz w:val="24"/>
                <w:szCs w:val="24"/>
              </w:rPr>
              <w:t>.</w:t>
            </w:r>
            <w:r w:rsidR="0016588F" w:rsidRPr="008D0F75">
              <w:rPr>
                <w:rFonts w:ascii="Times New Roman" w:hAnsi="Times New Roman"/>
                <w:sz w:val="24"/>
                <w:szCs w:val="24"/>
              </w:rPr>
              <w:t>”</w:t>
            </w:r>
          </w:p>
          <w:p w14:paraId="37030CF5" w14:textId="77777777" w:rsidR="008F03D9" w:rsidRPr="008D0F75" w:rsidRDefault="008F03D9"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p>
          <w:p w14:paraId="2792E2E3" w14:textId="781FE627" w:rsidR="008F03D9" w:rsidRPr="008D0F75" w:rsidRDefault="00E6665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3) </w:t>
            </w:r>
            <w:r w:rsidR="007716FD" w:rsidRPr="008D0F75">
              <w:rPr>
                <w:rFonts w:ascii="Times New Roman" w:hAnsi="Times New Roman"/>
                <w:sz w:val="24"/>
                <w:szCs w:val="24"/>
              </w:rPr>
              <w:t>Nota de fundamentare a fost modificată în conformitate cu propunere</w:t>
            </w:r>
            <w:r w:rsidR="002F2A1E" w:rsidRPr="008D0F75">
              <w:rPr>
                <w:rFonts w:ascii="Times New Roman" w:hAnsi="Times New Roman"/>
                <w:sz w:val="24"/>
                <w:szCs w:val="24"/>
              </w:rPr>
              <w:t xml:space="preserve"> </w:t>
            </w:r>
            <w:r w:rsidR="009214CE" w:rsidRPr="008D0F75">
              <w:rPr>
                <w:rFonts w:ascii="Times New Roman" w:hAnsi="Times New Roman"/>
                <w:sz w:val="24"/>
                <w:szCs w:val="24"/>
              </w:rPr>
              <w:t>înaintată</w:t>
            </w:r>
            <w:r w:rsidR="007716FD" w:rsidRPr="008D0F75">
              <w:rPr>
                <w:rFonts w:ascii="Times New Roman" w:hAnsi="Times New Roman"/>
                <w:sz w:val="24"/>
                <w:szCs w:val="24"/>
              </w:rPr>
              <w:t>.</w:t>
            </w:r>
          </w:p>
        </w:tc>
      </w:tr>
      <w:tr w:rsidR="00363C6D" w:rsidRPr="008D0F75" w14:paraId="48AB9457" w14:textId="77777777" w:rsidTr="00BF0155">
        <w:tc>
          <w:tcPr>
            <w:tcW w:w="2405" w:type="dxa"/>
            <w:tcMar>
              <w:top w:w="0" w:type="dxa"/>
              <w:left w:w="108" w:type="dxa"/>
              <w:bottom w:w="0" w:type="dxa"/>
              <w:right w:w="108" w:type="dxa"/>
            </w:tcMar>
          </w:tcPr>
          <w:p w14:paraId="0A166298" w14:textId="51FB94B1"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Agriculturii</w:t>
            </w:r>
          </w:p>
          <w:p w14:paraId="32CD3041" w14:textId="4AE47299"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și Industriei Alimentare</w:t>
            </w:r>
          </w:p>
          <w:p w14:paraId="785F6BD1"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78318AF" w14:textId="1949CA4E"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2026PHG-1050 din 9 aprilie 2026</w:t>
            </w:r>
          </w:p>
        </w:tc>
        <w:tc>
          <w:tcPr>
            <w:tcW w:w="815" w:type="dxa"/>
            <w:tcMar>
              <w:top w:w="0" w:type="dxa"/>
              <w:left w:w="108" w:type="dxa"/>
              <w:bottom w:w="0" w:type="dxa"/>
              <w:right w:w="108" w:type="dxa"/>
            </w:tcMar>
          </w:tcPr>
          <w:p w14:paraId="6B56B3A9" w14:textId="2B7DF25A"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17.</w:t>
            </w:r>
          </w:p>
        </w:tc>
        <w:tc>
          <w:tcPr>
            <w:tcW w:w="7123" w:type="dxa"/>
            <w:tcMar>
              <w:top w:w="0" w:type="dxa"/>
              <w:left w:w="108" w:type="dxa"/>
              <w:bottom w:w="0" w:type="dxa"/>
              <w:right w:w="108" w:type="dxa"/>
            </w:tcMar>
          </w:tcPr>
          <w:p w14:paraId="5A8DC28F" w14:textId="43EEFEB5"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contextul examinării proiectul de hotărâre privind aprobarea Regulamentului cu privire la normele de verificare a biocarburanților, biolichidelor și combustibililor din biomasă, precum și recunoașterea schemelor voluntare și modificarea unor acte normative (număr unic 277/MEn/2026), Vă comunicăm următoarele. </w:t>
            </w:r>
          </w:p>
          <w:p w14:paraId="0B6DC46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sz w:val="24"/>
                <w:szCs w:val="24"/>
              </w:rPr>
              <w:t xml:space="preserve">1) Obiecţii argumentate şi explicite pe marginea cărora trebuie să se ajungă la un acord: </w:t>
            </w:r>
          </w:p>
          <w:p w14:paraId="78373C2C" w14:textId="0D14CF88"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pe tot parcursul proiectului de substituit sintagma „schimbării indirecte a destinației terenurilor” cu sintagma „schimbării destinației terenurilor” în vederea asigurării respectării terminologiei utilizate în Codul Funciar nr. 22/2024.</w:t>
            </w:r>
          </w:p>
        </w:tc>
        <w:tc>
          <w:tcPr>
            <w:tcW w:w="3681" w:type="dxa"/>
            <w:tcMar>
              <w:top w:w="0" w:type="dxa"/>
              <w:left w:w="108" w:type="dxa"/>
              <w:bottom w:w="0" w:type="dxa"/>
              <w:right w:w="108" w:type="dxa"/>
            </w:tcMar>
          </w:tcPr>
          <w:p w14:paraId="22ED158B" w14:textId="77777777" w:rsidR="00720729" w:rsidRPr="008D0F75" w:rsidRDefault="00720729" w:rsidP="00720729">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acceptă.</w:t>
            </w:r>
          </w:p>
          <w:p w14:paraId="7A0C65D5"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tc>
      </w:tr>
      <w:tr w:rsidR="00363C6D" w:rsidRPr="008D0F75" w14:paraId="64F32E3E" w14:textId="77777777" w:rsidTr="00BF0155">
        <w:tc>
          <w:tcPr>
            <w:tcW w:w="2405" w:type="dxa"/>
            <w:tcMar>
              <w:top w:w="0" w:type="dxa"/>
              <w:left w:w="108" w:type="dxa"/>
              <w:bottom w:w="0" w:type="dxa"/>
              <w:right w:w="108" w:type="dxa"/>
            </w:tcMar>
          </w:tcPr>
          <w:p w14:paraId="10C0714E"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Agenția Proprietății Publice</w:t>
            </w:r>
          </w:p>
          <w:p w14:paraId="198DA0C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8324E7A" w14:textId="12F8EE8B"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Nr.05-04-2629 din 10.04.2026</w:t>
            </w:r>
          </w:p>
        </w:tc>
        <w:tc>
          <w:tcPr>
            <w:tcW w:w="815" w:type="dxa"/>
            <w:tcMar>
              <w:top w:w="0" w:type="dxa"/>
              <w:left w:w="108" w:type="dxa"/>
              <w:bottom w:w="0" w:type="dxa"/>
              <w:right w:w="108" w:type="dxa"/>
            </w:tcMar>
          </w:tcPr>
          <w:p w14:paraId="1CF97EC1" w14:textId="66398957"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18.</w:t>
            </w:r>
          </w:p>
        </w:tc>
        <w:tc>
          <w:tcPr>
            <w:tcW w:w="7123" w:type="dxa"/>
            <w:tcMar>
              <w:top w:w="0" w:type="dxa"/>
              <w:left w:w="108" w:type="dxa"/>
              <w:bottom w:w="0" w:type="dxa"/>
              <w:right w:w="108" w:type="dxa"/>
            </w:tcMar>
          </w:tcPr>
          <w:p w14:paraId="2A808330" w14:textId="23D5A70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Lipsa obiecțiilor și propunerilor.</w:t>
            </w:r>
          </w:p>
        </w:tc>
        <w:tc>
          <w:tcPr>
            <w:tcW w:w="3681" w:type="dxa"/>
            <w:tcMar>
              <w:top w:w="0" w:type="dxa"/>
              <w:left w:w="108" w:type="dxa"/>
              <w:bottom w:w="0" w:type="dxa"/>
              <w:right w:w="108" w:type="dxa"/>
            </w:tcMar>
          </w:tcPr>
          <w:p w14:paraId="1F359072" w14:textId="7C0734A3" w:rsidR="00363C6D" w:rsidRPr="008D0F75" w:rsidRDefault="00A91E00"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Se ia act.</w:t>
            </w:r>
          </w:p>
        </w:tc>
      </w:tr>
      <w:tr w:rsidR="00363C6D" w:rsidRPr="008D0F75" w14:paraId="35BDFB1D" w14:textId="77777777" w:rsidTr="00BF0155">
        <w:tc>
          <w:tcPr>
            <w:tcW w:w="2405" w:type="dxa"/>
            <w:tcMar>
              <w:top w:w="0" w:type="dxa"/>
              <w:left w:w="108" w:type="dxa"/>
              <w:bottom w:w="0" w:type="dxa"/>
              <w:right w:w="108" w:type="dxa"/>
            </w:tcMar>
          </w:tcPr>
          <w:p w14:paraId="7A17F90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Mediului</w:t>
            </w:r>
          </w:p>
          <w:p w14:paraId="469D0102"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B4972BD" w14:textId="25E7FECE"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Nr.13-05/1268 din 17.04.2026</w:t>
            </w:r>
          </w:p>
        </w:tc>
        <w:tc>
          <w:tcPr>
            <w:tcW w:w="815" w:type="dxa"/>
            <w:tcMar>
              <w:top w:w="0" w:type="dxa"/>
              <w:left w:w="108" w:type="dxa"/>
              <w:bottom w:w="0" w:type="dxa"/>
              <w:right w:w="108" w:type="dxa"/>
            </w:tcMar>
          </w:tcPr>
          <w:p w14:paraId="3BC385B8" w14:textId="3E63B29D"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19.</w:t>
            </w:r>
          </w:p>
        </w:tc>
        <w:tc>
          <w:tcPr>
            <w:tcW w:w="7123" w:type="dxa"/>
            <w:tcMar>
              <w:top w:w="0" w:type="dxa"/>
              <w:left w:w="108" w:type="dxa"/>
              <w:bottom w:w="0" w:type="dxa"/>
              <w:right w:w="108" w:type="dxa"/>
            </w:tcMar>
          </w:tcPr>
          <w:p w14:paraId="1A5CFCB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sz w:val="24"/>
                <w:szCs w:val="24"/>
              </w:rPr>
              <w:t>La pct. 2</w:t>
            </w:r>
            <w:r w:rsidRPr="008D0F75">
              <w:rPr>
                <w:rFonts w:ascii="Times New Roman" w:hAnsi="Times New Roman"/>
                <w:sz w:val="24"/>
                <w:szCs w:val="24"/>
              </w:rPr>
              <w:t xml:space="preserve"> din preambul se propune adăugarea unei fraze: „Recunoașterea schemelor voluntare se realizează cu respectarea legislației naționale de mediu, inclusiv a obligațiilor privind protecția biodiversității, utilizarea durabilă a resurselor naturale și controlul supraexploatării biomasei.”</w:t>
            </w:r>
          </w:p>
          <w:p w14:paraId="7C583A8B"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sz w:val="24"/>
                <w:szCs w:val="24"/>
              </w:rPr>
              <w:lastRenderedPageBreak/>
              <w:t>La pct. 3.1.5 și 3.1.7</w:t>
            </w:r>
            <w:r w:rsidRPr="008D0F75">
              <w:rPr>
                <w:rFonts w:ascii="Times New Roman" w:hAnsi="Times New Roman"/>
                <w:sz w:val="24"/>
                <w:szCs w:val="24"/>
              </w:rPr>
              <w:t xml:space="preserve"> se menționează schimbul de date între scheme, dar nu se menționează verificarea impactului asupra mediului, context în care se propune introducerea unei prevederi privind partajarea datelor relevante de mediu (zone sensibile, arii protejate, specii rare, riscuri asupra fondului forestier) cu Ministerul Mediului și Agenția de Mediu.</w:t>
            </w:r>
          </w:p>
          <w:p w14:paraId="5FCAD191"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sz w:val="24"/>
                <w:szCs w:val="24"/>
              </w:rPr>
              <w:t>La pct. 3.1.10 și 3.1.11</w:t>
            </w:r>
            <w:r w:rsidRPr="008D0F75">
              <w:rPr>
                <w:rFonts w:ascii="Times New Roman" w:hAnsi="Times New Roman"/>
                <w:sz w:val="24"/>
                <w:szCs w:val="24"/>
              </w:rPr>
              <w:t xml:space="preserve"> se reglementează doar criterii tehnice și economice. Astfel se propune: introducerea unui alineat nou: „Evaluarea unei scheme voluntare include analiza respectării legislației naționale privind conservarea biodiversității (Legea Nr. 1538/1998 privind fondul ariilor naturale protejate de stat), protecția solului și a resurselor de apă.”</w:t>
            </w:r>
          </w:p>
          <w:p w14:paraId="16A164EB"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b/>
                <w:bCs/>
                <w:sz w:val="24"/>
                <w:szCs w:val="24"/>
              </w:rPr>
              <w:t>La pct. 3.4</w:t>
            </w:r>
            <w:r w:rsidRPr="008D0F75">
              <w:rPr>
                <w:rFonts w:ascii="Times New Roman" w:hAnsi="Times New Roman"/>
                <w:sz w:val="24"/>
                <w:szCs w:val="24"/>
              </w:rPr>
              <w:t xml:space="preserve"> privind completarea cu Anexa nr. 4 a Hotărârii Guvernului nr. 53/2025 „Orientări operaționale privind dovezile pentru demonstrarea conformității cu criteriile de durabilitate aplicabile biomasei forestiere” se notează că aceasta transpune integral 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L320 din 14 decembrie 2022 (CELEX: 32022R2448).</w:t>
            </w:r>
          </w:p>
          <w:p w14:paraId="4E418296"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acest context, considerăm că transpunerea respectivă urmează să ia în considerație specificul național, de exemplu zonele fitogeografice (domeniu; zonă ecologică), limitându-se la indicatorii caracteristici Republicii Moldova, excluzând versiunile exotice (de exemplu: tropical, pădure tropicală pluvială etc.). Este necesar să se acorde o atenție sporită asupra unor reglementări tehnice, deoarece pe unele aspecte reglementările naționale sunt mai stricte. </w:t>
            </w:r>
          </w:p>
          <w:p w14:paraId="423B9C7E"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Concomitent, se menționează că factorii care sunt recomandați în document pentru efectuarea calculelor aferente demonstrării conformității cu criteriile de durabilitate aplicabile biomasei forestiere au o amplitudine prea generală și nu reflectă condițiile și factorii caracteristici Republicii Moldova. </w:t>
            </w:r>
          </w:p>
          <w:p w14:paraId="03EF6C1D"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xml:space="preserve">În cazul utilizării acestora rezultatele calculelor vor fi eronate și nu vor reflecta corect situația sau efectul climatic al recoltelor de biomasă forestieră în Republica Moldova, vor fi diferențe esențiale cu datele din inventarele naționale a gazelor cu efect de seră (GES). </w:t>
            </w:r>
          </w:p>
          <w:p w14:paraId="13133BF3"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pt-BR"/>
              </w:rPr>
            </w:pPr>
            <w:r w:rsidRPr="008D0F75">
              <w:rPr>
                <w:rFonts w:ascii="Times New Roman" w:hAnsi="Times New Roman"/>
                <w:sz w:val="24"/>
                <w:szCs w:val="24"/>
              </w:rPr>
              <w:t xml:space="preserve">În Capitolul I Dispoziții generale, noțiunile prevăzute la pct. 2 este necesar de corelat parțial cu prevederile art. 3 din Codul silvic (nr. 69/2024). </w:t>
            </w:r>
          </w:p>
          <w:p w14:paraId="63EFA195"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pct. 3.2.3: considerăm necesar de a introduce o referire explicită la legislația națională: Legea Nr. 1538/1998 privind fondul ariilor naturale protejate de stat, Legea nr. 94/2007 cu privire la rețeaua ecologică, Legea regnului vegetal nr. 239/2007 și Legea nr. 439/1995 regnului animal. </w:t>
            </w:r>
          </w:p>
          <w:p w14:paraId="7B16B5D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pct. 3.2.4: se impune includerea obligației operatorului de a evita recoltarea în habitate critice ale speciilor rare sau periclitate, incluse în Cartea Roșie a Republicii Moldova. </w:t>
            </w:r>
          </w:p>
          <w:p w14:paraId="314A8B0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pct. 7.2.2 – expresia „zece ani” de substituit cu expresia „doi ani” conform alin. (5) al art. 44 din Codul silvic (nr. 69/2024). </w:t>
            </w:r>
          </w:p>
          <w:p w14:paraId="60F41EE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fr-FR"/>
              </w:rPr>
            </w:pPr>
            <w:r w:rsidRPr="008D0F75">
              <w:rPr>
                <w:rFonts w:ascii="Times New Roman" w:hAnsi="Times New Roman"/>
                <w:sz w:val="24"/>
                <w:szCs w:val="24"/>
              </w:rPr>
              <w:t>La pct. 7.2.5 – propoziția 2 de completat după virgulă cu expresia „precum și planurile de management forestier”.</w:t>
            </w:r>
          </w:p>
          <w:p w14:paraId="6E9B0FA5" w14:textId="77777777" w:rsidR="00664EED" w:rsidRPr="00004E79" w:rsidRDefault="00507602"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b/>
                <w:bCs/>
                <w:sz w:val="24"/>
                <w:szCs w:val="24"/>
              </w:rPr>
              <w:t xml:space="preserve">La pct. 3.5 </w:t>
            </w:r>
            <w:r w:rsidRPr="00004E79">
              <w:rPr>
                <w:rFonts w:ascii="Times New Roman" w:hAnsi="Times New Roman"/>
                <w:sz w:val="24"/>
                <w:szCs w:val="24"/>
              </w:rPr>
              <w:t>prin care Hotărârea Guvernului nr. 53/2025, se completează cu anexa nr. 5 „Orientări pentru calcularea stocurilor de carbon din sol”, se recomandă utilizarea valorii</w:t>
            </w:r>
            <w:r w:rsidR="00664EED" w:rsidRPr="00004E79">
              <w:rPr>
                <w:rFonts w:ascii="Times New Roman" w:hAnsi="Times New Roman"/>
                <w:sz w:val="24"/>
                <w:szCs w:val="24"/>
                <w:lang w:val="fr-FR"/>
              </w:rPr>
              <w:t xml:space="preserve"> </w:t>
            </w:r>
            <w:r w:rsidR="00664EED" w:rsidRPr="00004E79">
              <w:rPr>
                <w:rFonts w:ascii="Times New Roman" w:hAnsi="Times New Roman"/>
                <w:sz w:val="24"/>
                <w:szCs w:val="24"/>
              </w:rPr>
              <w:t xml:space="preserve">factorilor utilizați în procesul inventarului național de GES. Astfel, factorii care necesită ajustare națională se cuprind în următoarele puncte/tabele din document: </w:t>
            </w:r>
          </w:p>
          <w:p w14:paraId="4DB415C4" w14:textId="77777777"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 xml:space="preserve">- pct. 20, Tabelul 1: SOCST, cantitatea standard de carbon organic din sol în stratul de 0- 30 centimetri aflat la suprafața terenului; </w:t>
            </w:r>
          </w:p>
          <w:p w14:paraId="10B3DE8B" w14:textId="77777777"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 xml:space="preserve">- pct. 33, Tabelul 9: Valorile de vegetație pentru terenuri agricole (în general); </w:t>
            </w:r>
          </w:p>
          <w:p w14:paraId="5F6D21E8" w14:textId="77777777"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 xml:space="preserve">- pct. 34, Tabelul 11: Valorile de vegetație pentru culturi perene (în general); </w:t>
            </w:r>
          </w:p>
          <w:p w14:paraId="78BAAFF2" w14:textId="77777777"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 xml:space="preserve">- pct. 35, Tabelul 13: Valorile de vegetație pentru pășuni – cu excepția zonei de tufăriș (în general); </w:t>
            </w:r>
          </w:p>
          <w:p w14:paraId="2CFCE1FC" w14:textId="77777777"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 xml:space="preserve">- pct. 35, Tabelul 15: Valorile de vegetație pentru zonele de tufăriș, respectiv terenuri cu vegetație alcătuită preponderent din plante </w:t>
            </w:r>
            <w:r w:rsidRPr="00004E79">
              <w:rPr>
                <w:rFonts w:ascii="Times New Roman" w:hAnsi="Times New Roman"/>
                <w:sz w:val="24"/>
                <w:szCs w:val="24"/>
              </w:rPr>
              <w:lastRenderedPageBreak/>
              <w:t xml:space="preserve">lemnoase cu înălțimi mai mici de 5 metri, care nu prezintă trăsături caracteristice arborilor; </w:t>
            </w:r>
          </w:p>
          <w:p w14:paraId="7C7638D1" w14:textId="333EC186"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w:t>
            </w:r>
            <w:r w:rsidR="003F0BA5" w:rsidRPr="00004E79">
              <w:rPr>
                <w:rFonts w:ascii="Times New Roman" w:hAnsi="Times New Roman"/>
                <w:sz w:val="24"/>
                <w:szCs w:val="24"/>
              </w:rPr>
              <w:t xml:space="preserve"> </w:t>
            </w:r>
            <w:r w:rsidRPr="00004E79">
              <w:rPr>
                <w:rFonts w:ascii="Times New Roman" w:hAnsi="Times New Roman"/>
                <w:sz w:val="24"/>
                <w:szCs w:val="24"/>
              </w:rPr>
              <w:t xml:space="preserve">pct. 36, Tabelul 16: Valorile de vegetație pentru suprafețele împădurite cu un coronament cuprins între 10% și 30% – excluzând plantațiile forestiere; </w:t>
            </w:r>
          </w:p>
          <w:p w14:paraId="5E6E9393" w14:textId="77777777"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 xml:space="preserve">- pct. 36, Tabelul 17: Valorile de vegetație pentru suprafețele împădurite cu un coronament mai mare de 30% – excluzând plantațiile forestiere; </w:t>
            </w:r>
          </w:p>
          <w:p w14:paraId="53204CBC" w14:textId="77777777" w:rsidR="00664EED" w:rsidRPr="00004E79"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004E79">
              <w:rPr>
                <w:rFonts w:ascii="Times New Roman" w:hAnsi="Times New Roman"/>
                <w:sz w:val="24"/>
                <w:szCs w:val="24"/>
              </w:rPr>
              <w:t xml:space="preserve">- pct. 36, Tabelul 18: Valorile de vegetație pentru plantațiile forestiere. </w:t>
            </w:r>
          </w:p>
          <w:p w14:paraId="4E2CE629" w14:textId="77777777" w:rsidR="00F61C54" w:rsidRPr="00004E79" w:rsidRDefault="00F61C54"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6EDB225" w14:textId="4319C1CE" w:rsidR="00507602" w:rsidRPr="008D0F75" w:rsidRDefault="00664EED" w:rsidP="00664EE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pt-BR"/>
              </w:rPr>
            </w:pPr>
            <w:r w:rsidRPr="00004E79">
              <w:rPr>
                <w:rFonts w:ascii="Times New Roman" w:hAnsi="Times New Roman"/>
                <w:sz w:val="24"/>
                <w:szCs w:val="24"/>
              </w:rPr>
              <w:t>Suplimentar, propunem includerea în Capitolul I Dispoziții generale a unui punct care să prevadă necesitatea utilizării prioritare a factorilor din cel mai recent inventar național de GES, transmis către Secretariatul Convenției-cadru ONU privind schimbările climatice. Deoarece, Republica Moldova, în procesul de elaborare a inventarului național de GES la sectorul 4 „Folosința terenurilor, schimbări în folosința terenurilor și silvicultură” (LULUCF), dispune de o acoperire de peste 95% cu factori de emisie cu specific național, elaborați în conformitate cu cercetările și rapoartele naționale. Utilizarea factorilor impliciți se admite doar în cazul lipsei factorilor naționali.</w:t>
            </w:r>
          </w:p>
        </w:tc>
        <w:tc>
          <w:tcPr>
            <w:tcW w:w="3681" w:type="dxa"/>
            <w:tcMar>
              <w:top w:w="0" w:type="dxa"/>
              <w:left w:w="108" w:type="dxa"/>
              <w:bottom w:w="0" w:type="dxa"/>
              <w:right w:w="108" w:type="dxa"/>
            </w:tcMar>
          </w:tcPr>
          <w:p w14:paraId="61C2A30A" w14:textId="77777777" w:rsidR="00363C6D" w:rsidRPr="008D0F75" w:rsidRDefault="00C100B9"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 parțial.</w:t>
            </w:r>
          </w:p>
          <w:p w14:paraId="21C7DE8A" w14:textId="77777777" w:rsidR="00C100B9" w:rsidRPr="008D0F75" w:rsidRDefault="00C100B9"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2B1B0F5" w14:textId="376A592E" w:rsidR="00B84D59" w:rsidRPr="008D0F75" w:rsidRDefault="002D1207" w:rsidP="004F57A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1) </w:t>
            </w:r>
            <w:r w:rsidR="008368FF" w:rsidRPr="008D0F75">
              <w:rPr>
                <w:rFonts w:ascii="Times New Roman" w:hAnsi="Times New Roman"/>
                <w:sz w:val="24"/>
                <w:szCs w:val="24"/>
              </w:rPr>
              <w:t>Propuner</w:t>
            </w:r>
            <w:r w:rsidR="00A55580" w:rsidRPr="008D0F75">
              <w:rPr>
                <w:rFonts w:ascii="Times New Roman" w:hAnsi="Times New Roman"/>
                <w:sz w:val="24"/>
                <w:szCs w:val="24"/>
              </w:rPr>
              <w:t>ea</w:t>
            </w:r>
            <w:r w:rsidR="008368FF" w:rsidRPr="008D0F75">
              <w:rPr>
                <w:rFonts w:ascii="Times New Roman" w:hAnsi="Times New Roman"/>
                <w:sz w:val="24"/>
                <w:szCs w:val="24"/>
              </w:rPr>
              <w:t xml:space="preserve"> </w:t>
            </w:r>
            <w:r w:rsidR="00C93251" w:rsidRPr="008D0F75">
              <w:rPr>
                <w:rFonts w:ascii="Times New Roman" w:hAnsi="Times New Roman"/>
                <w:sz w:val="24"/>
                <w:szCs w:val="24"/>
              </w:rPr>
              <w:t>aferentă</w:t>
            </w:r>
            <w:r w:rsidR="008368FF" w:rsidRPr="008D0F75">
              <w:rPr>
                <w:rFonts w:ascii="Times New Roman" w:hAnsi="Times New Roman"/>
                <w:sz w:val="24"/>
                <w:szCs w:val="24"/>
              </w:rPr>
              <w:t xml:space="preserve"> </w:t>
            </w:r>
            <w:r w:rsidR="008368FF" w:rsidRPr="008D0F75">
              <w:rPr>
                <w:rFonts w:ascii="Times New Roman" w:hAnsi="Times New Roman"/>
                <w:b/>
                <w:bCs/>
                <w:sz w:val="24"/>
                <w:szCs w:val="24"/>
              </w:rPr>
              <w:t>subpct. 3.1.5</w:t>
            </w:r>
            <w:r w:rsidR="008368FF" w:rsidRPr="008D0F75">
              <w:rPr>
                <w:rFonts w:ascii="Times New Roman" w:hAnsi="Times New Roman"/>
                <w:sz w:val="24"/>
                <w:szCs w:val="24"/>
              </w:rPr>
              <w:t xml:space="preserve"> și </w:t>
            </w:r>
            <w:r w:rsidR="008368FF" w:rsidRPr="008D0F75">
              <w:rPr>
                <w:rFonts w:ascii="Times New Roman" w:hAnsi="Times New Roman"/>
                <w:b/>
                <w:bCs/>
                <w:sz w:val="24"/>
                <w:szCs w:val="24"/>
              </w:rPr>
              <w:t>3.1.7</w:t>
            </w:r>
            <w:r w:rsidR="009F0B4B" w:rsidRPr="008D0F75">
              <w:rPr>
                <w:rFonts w:ascii="Times New Roman" w:hAnsi="Times New Roman"/>
                <w:sz w:val="24"/>
                <w:szCs w:val="24"/>
              </w:rPr>
              <w:t xml:space="preserve"> </w:t>
            </w:r>
            <w:r w:rsidR="0003113D" w:rsidRPr="008D0F75">
              <w:rPr>
                <w:rFonts w:ascii="Times New Roman" w:hAnsi="Times New Roman"/>
                <w:sz w:val="24"/>
                <w:szCs w:val="24"/>
              </w:rPr>
              <w:t xml:space="preserve">se raportează la prevederile privind partajarea </w:t>
            </w:r>
            <w:r w:rsidR="0003113D" w:rsidRPr="008D0F75">
              <w:rPr>
                <w:rFonts w:ascii="Times New Roman" w:hAnsi="Times New Roman"/>
                <w:sz w:val="24"/>
                <w:szCs w:val="24"/>
              </w:rPr>
              <w:lastRenderedPageBreak/>
              <w:t>datelor relevante de mediu, care sunt deja menționate în proiectul Regulamentului, după cum urmează:</w:t>
            </w:r>
            <w:r w:rsidR="00B84D59" w:rsidRPr="008D0F75">
              <w:rPr>
                <w:rFonts w:ascii="Times New Roman" w:hAnsi="Times New Roman"/>
                <w:sz w:val="24"/>
                <w:szCs w:val="24"/>
              </w:rPr>
              <w:t>:</w:t>
            </w:r>
          </w:p>
          <w:p w14:paraId="71BA201E" w14:textId="77777777" w:rsidR="00B84D59" w:rsidRPr="008D0F75" w:rsidRDefault="00B84D59" w:rsidP="004F57A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C4F241E" w14:textId="45E999CF" w:rsidR="00122931" w:rsidRPr="008D0F75" w:rsidRDefault="00A55580" w:rsidP="00A555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w:t>
            </w:r>
            <w:r w:rsidR="00A1705A" w:rsidRPr="008D0F75">
              <w:rPr>
                <w:rFonts w:ascii="Times New Roman" w:hAnsi="Times New Roman"/>
                <w:sz w:val="24"/>
                <w:szCs w:val="24"/>
              </w:rPr>
              <w:t>Capitolul IV</w:t>
            </w:r>
            <w:r w:rsidR="002D7CBB" w:rsidRPr="008D0F75">
              <w:rPr>
                <w:rFonts w:ascii="Times New Roman" w:hAnsi="Times New Roman"/>
                <w:sz w:val="24"/>
                <w:szCs w:val="24"/>
              </w:rPr>
              <w:t xml:space="preserve"> secțiunea 1</w:t>
            </w:r>
            <w:r w:rsidR="00016AF7" w:rsidRPr="008D0F75">
              <w:rPr>
                <w:rFonts w:ascii="Times New Roman" w:hAnsi="Times New Roman"/>
                <w:sz w:val="24"/>
                <w:szCs w:val="24"/>
              </w:rPr>
              <w:t xml:space="preserve"> </w:t>
            </w:r>
            <w:r w:rsidR="00A1705A" w:rsidRPr="008D0F75">
              <w:rPr>
                <w:rFonts w:ascii="Times New Roman" w:hAnsi="Times New Roman"/>
                <w:sz w:val="24"/>
                <w:szCs w:val="24"/>
              </w:rPr>
              <w:t xml:space="preserve">prevede </w:t>
            </w:r>
            <w:r w:rsidR="00122931" w:rsidRPr="008D0F75">
              <w:rPr>
                <w:rFonts w:ascii="Times New Roman" w:hAnsi="Times New Roman"/>
                <w:sz w:val="24"/>
                <w:szCs w:val="24"/>
              </w:rPr>
              <w:t>informația necesară care trebuie să fie inclusă</w:t>
            </w:r>
            <w:r w:rsidR="00150383" w:rsidRPr="008D0F75">
              <w:rPr>
                <w:rFonts w:ascii="Times New Roman" w:hAnsi="Times New Roman"/>
                <w:sz w:val="24"/>
                <w:szCs w:val="24"/>
              </w:rPr>
              <w:t xml:space="preserve"> în </w:t>
            </w:r>
            <w:r w:rsidR="00122931" w:rsidRPr="008D0F75">
              <w:rPr>
                <w:rFonts w:ascii="Times New Roman" w:hAnsi="Times New Roman"/>
                <w:sz w:val="24"/>
                <w:szCs w:val="24"/>
              </w:rPr>
              <w:t xml:space="preserve">Registru de </w:t>
            </w:r>
            <w:r w:rsidR="00150383" w:rsidRPr="008D0F75">
              <w:rPr>
                <w:rFonts w:ascii="Times New Roman" w:hAnsi="Times New Roman"/>
                <w:sz w:val="24"/>
                <w:szCs w:val="24"/>
              </w:rPr>
              <w:t>b</w:t>
            </w:r>
            <w:r w:rsidR="00122931" w:rsidRPr="008D0F75">
              <w:rPr>
                <w:rFonts w:ascii="Times New Roman" w:hAnsi="Times New Roman"/>
                <w:sz w:val="24"/>
                <w:szCs w:val="24"/>
              </w:rPr>
              <w:t>iocarburanți</w:t>
            </w:r>
            <w:r w:rsidRPr="008D0F75">
              <w:rPr>
                <w:rFonts w:ascii="Times New Roman" w:hAnsi="Times New Roman"/>
                <w:sz w:val="24"/>
                <w:szCs w:val="24"/>
              </w:rPr>
              <w:t>.</w:t>
            </w:r>
          </w:p>
          <w:p w14:paraId="2AA0FEBF" w14:textId="2DBE70AC" w:rsidR="00E65D95" w:rsidRPr="008D0F75" w:rsidRDefault="00A55580" w:rsidP="00A555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w:t>
            </w:r>
            <w:r w:rsidR="00E047DF" w:rsidRPr="008D0F75">
              <w:rPr>
                <w:rFonts w:ascii="Times New Roman" w:hAnsi="Times New Roman"/>
                <w:sz w:val="24"/>
                <w:szCs w:val="24"/>
              </w:rPr>
              <w:t xml:space="preserve">Anexa nr. 1 </w:t>
            </w:r>
            <w:r w:rsidR="00035022" w:rsidRPr="008D0F75">
              <w:rPr>
                <w:rFonts w:ascii="Times New Roman" w:hAnsi="Times New Roman"/>
                <w:sz w:val="24"/>
                <w:szCs w:val="24"/>
              </w:rPr>
              <w:t xml:space="preserve">prevede </w:t>
            </w:r>
            <w:r w:rsidR="00D54F16" w:rsidRPr="008D0F75">
              <w:rPr>
                <w:rFonts w:ascii="Times New Roman" w:hAnsi="Times New Roman"/>
                <w:sz w:val="24"/>
                <w:szCs w:val="24"/>
              </w:rPr>
              <w:t xml:space="preserve">lista </w:t>
            </w:r>
            <w:r w:rsidR="00E65D95" w:rsidRPr="008D0F75">
              <w:rPr>
                <w:rFonts w:ascii="Times New Roman" w:hAnsi="Times New Roman"/>
                <w:sz w:val="24"/>
                <w:szCs w:val="24"/>
              </w:rPr>
              <w:t xml:space="preserve">de </w:t>
            </w:r>
            <w:r w:rsidR="00035022" w:rsidRPr="008D0F75">
              <w:rPr>
                <w:rFonts w:ascii="Times New Roman" w:hAnsi="Times New Roman"/>
                <w:sz w:val="24"/>
                <w:szCs w:val="24"/>
              </w:rPr>
              <w:t>date care trebuie transmise pe întregul lanț de aprovizionare și date privind tranzacțiile</w:t>
            </w:r>
            <w:r w:rsidR="00A41E22" w:rsidRPr="008D0F75">
              <w:rPr>
                <w:rFonts w:ascii="Times New Roman" w:hAnsi="Times New Roman"/>
                <w:sz w:val="24"/>
                <w:szCs w:val="24"/>
              </w:rPr>
              <w:t xml:space="preserve"> </w:t>
            </w:r>
            <w:r w:rsidR="00B60FD5" w:rsidRPr="008D0F75">
              <w:rPr>
                <w:rFonts w:ascii="Times New Roman" w:hAnsi="Times New Roman"/>
                <w:sz w:val="24"/>
                <w:szCs w:val="24"/>
              </w:rPr>
              <w:t>care vor fi incluse</w:t>
            </w:r>
            <w:r w:rsidR="00A41E22" w:rsidRPr="008D0F75">
              <w:rPr>
                <w:rFonts w:ascii="Times New Roman" w:hAnsi="Times New Roman"/>
                <w:sz w:val="24"/>
                <w:szCs w:val="24"/>
              </w:rPr>
              <w:t xml:space="preserve"> în Registru de biocarburanți</w:t>
            </w:r>
            <w:r w:rsidR="00E65D95" w:rsidRPr="008D0F75">
              <w:rPr>
                <w:rFonts w:ascii="Times New Roman" w:hAnsi="Times New Roman"/>
                <w:sz w:val="24"/>
                <w:szCs w:val="24"/>
              </w:rPr>
              <w:t>.</w:t>
            </w:r>
          </w:p>
          <w:p w14:paraId="7446C58E" w14:textId="77777777" w:rsidR="00E65D95" w:rsidRPr="008D0F75" w:rsidRDefault="00E65D95" w:rsidP="004F57A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EC83154" w14:textId="77777777" w:rsidR="00A55580" w:rsidRPr="008D0F75" w:rsidRDefault="00B10AE3" w:rsidP="004F57A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Agenția de Mediu va avea acces la Registru </w:t>
            </w:r>
            <w:r w:rsidR="00A55580" w:rsidRPr="008D0F75">
              <w:rPr>
                <w:rFonts w:ascii="Times New Roman" w:hAnsi="Times New Roman"/>
                <w:sz w:val="24"/>
                <w:szCs w:val="24"/>
              </w:rPr>
              <w:t>de biocarburanți.</w:t>
            </w:r>
          </w:p>
          <w:p w14:paraId="5E57CB01" w14:textId="77777777" w:rsidR="008F01B7" w:rsidRPr="008D0F75" w:rsidRDefault="008F01B7" w:rsidP="00704D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17CC4D2" w14:textId="76DE99BB" w:rsidR="00C44D3E" w:rsidRPr="008D0F75" w:rsidRDefault="00C44D3E" w:rsidP="00C44D3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2) Propunerea aferentă </w:t>
            </w:r>
            <w:r w:rsidRPr="008D0F75">
              <w:rPr>
                <w:rFonts w:ascii="Times New Roman" w:hAnsi="Times New Roman"/>
                <w:b/>
                <w:bCs/>
                <w:sz w:val="24"/>
                <w:szCs w:val="24"/>
              </w:rPr>
              <w:t>subpct. 3.4</w:t>
            </w:r>
            <w:r w:rsidR="00E47B61" w:rsidRPr="008D0F75">
              <w:rPr>
                <w:rFonts w:ascii="Times New Roman" w:hAnsi="Times New Roman"/>
                <w:b/>
                <w:bCs/>
                <w:sz w:val="24"/>
                <w:szCs w:val="24"/>
              </w:rPr>
              <w:t xml:space="preserve"> </w:t>
            </w:r>
            <w:r w:rsidRPr="008D0F75">
              <w:rPr>
                <w:rFonts w:ascii="Times New Roman" w:hAnsi="Times New Roman"/>
                <w:sz w:val="24"/>
                <w:szCs w:val="24"/>
              </w:rPr>
              <w:t>privind excluderea versiunilor exotice</w:t>
            </w:r>
            <w:r w:rsidR="00FB14C3" w:rsidRPr="008D0F75">
              <w:rPr>
                <w:rFonts w:ascii="Times New Roman" w:hAnsi="Times New Roman"/>
                <w:sz w:val="24"/>
                <w:szCs w:val="24"/>
              </w:rPr>
              <w:t xml:space="preserve"> se raportează la faptul că </w:t>
            </w:r>
            <w:r w:rsidRPr="008D0F75">
              <w:rPr>
                <w:rFonts w:ascii="Times New Roman" w:hAnsi="Times New Roman"/>
                <w:sz w:val="24"/>
                <w:szCs w:val="24"/>
              </w:rPr>
              <w:t xml:space="preserve">biomasa poate fi importată din alte state, iar țara de </w:t>
            </w:r>
            <w:r w:rsidR="009A06CC" w:rsidRPr="008D0F75">
              <w:rPr>
                <w:rFonts w:ascii="Times New Roman" w:hAnsi="Times New Roman"/>
                <w:sz w:val="24"/>
                <w:szCs w:val="24"/>
              </w:rPr>
              <w:t>recoltare</w:t>
            </w:r>
            <w:r w:rsidRPr="008D0F75">
              <w:rPr>
                <w:rFonts w:ascii="Times New Roman" w:hAnsi="Times New Roman"/>
                <w:sz w:val="24"/>
                <w:szCs w:val="24"/>
              </w:rPr>
              <w:t xml:space="preserve"> nu se limitează la o singură zonă fitogeografică, aceasta </w:t>
            </w:r>
            <w:r w:rsidR="00166C0D" w:rsidRPr="008D0F75">
              <w:rPr>
                <w:rFonts w:ascii="Times New Roman" w:hAnsi="Times New Roman"/>
                <w:sz w:val="24"/>
                <w:szCs w:val="24"/>
              </w:rPr>
              <w:t>poate</w:t>
            </w:r>
            <w:r w:rsidRPr="008D0F75">
              <w:rPr>
                <w:rFonts w:ascii="Times New Roman" w:hAnsi="Times New Roman"/>
                <w:sz w:val="24"/>
                <w:szCs w:val="24"/>
              </w:rPr>
              <w:t xml:space="preserve"> proveni din orice regiune;</w:t>
            </w:r>
          </w:p>
          <w:p w14:paraId="04A90839" w14:textId="77777777" w:rsidR="00615AF6" w:rsidRPr="008D0F75" w:rsidRDefault="00615AF6" w:rsidP="00C44D3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DAD0312" w14:textId="59208436" w:rsidR="001F1849" w:rsidRPr="008D0F75" w:rsidRDefault="009A6183" w:rsidP="00C44D3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3) Propunerile aferente noțiunilor de la </w:t>
            </w:r>
            <w:r w:rsidRPr="008D0F75">
              <w:rPr>
                <w:rFonts w:ascii="Times New Roman" w:hAnsi="Times New Roman"/>
                <w:b/>
                <w:bCs/>
                <w:sz w:val="24"/>
                <w:szCs w:val="24"/>
              </w:rPr>
              <w:t>pct. 2</w:t>
            </w:r>
            <w:r w:rsidR="0073333A" w:rsidRPr="008D0F75">
              <w:rPr>
                <w:rFonts w:ascii="Times New Roman" w:hAnsi="Times New Roman"/>
                <w:b/>
                <w:bCs/>
                <w:sz w:val="24"/>
                <w:szCs w:val="24"/>
              </w:rPr>
              <w:t xml:space="preserve">, </w:t>
            </w:r>
            <w:r w:rsidR="0073333A" w:rsidRPr="008D0F75">
              <w:rPr>
                <w:rFonts w:ascii="Times New Roman" w:hAnsi="Times New Roman"/>
                <w:sz w:val="24"/>
                <w:szCs w:val="24"/>
              </w:rPr>
              <w:t xml:space="preserve">respectiv „pădure plantată” și „plantație forestieră”, prevăzute la anexa nr. 4, sunt deja definite în Codul Silvic (nr. 69/2024). Totuși, orientările operaționale din anexa </w:t>
            </w:r>
            <w:r w:rsidR="0073333A" w:rsidRPr="008D0F75">
              <w:rPr>
                <w:rFonts w:ascii="Times New Roman" w:hAnsi="Times New Roman"/>
                <w:sz w:val="24"/>
                <w:szCs w:val="24"/>
              </w:rPr>
              <w:lastRenderedPageBreak/>
              <w:t>nr. 4 au caracter tehnic și introduc definiții mai specifice, menite să precizeze aplicarea acestora exclusiv în cadrul orientărilor operaționale, completând definiția generală din Codul Silvic al Republicii Moldova.</w:t>
            </w:r>
          </w:p>
          <w:p w14:paraId="52A63E1C" w14:textId="77777777" w:rsidR="009A6183" w:rsidRPr="008D0F75" w:rsidRDefault="009A6183" w:rsidP="00C44D3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02D5CF2" w14:textId="77777777" w:rsidR="008F01B7" w:rsidRPr="008D0F75" w:rsidRDefault="009A6183" w:rsidP="00C44D3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4</w:t>
            </w:r>
            <w:r w:rsidR="00786A20" w:rsidRPr="008D0F75">
              <w:rPr>
                <w:rFonts w:ascii="Times New Roman" w:hAnsi="Times New Roman"/>
                <w:sz w:val="24"/>
                <w:szCs w:val="24"/>
              </w:rPr>
              <w:t xml:space="preserve">) </w:t>
            </w:r>
            <w:r w:rsidR="00111145" w:rsidRPr="008D0F75">
              <w:rPr>
                <w:rFonts w:ascii="Times New Roman" w:hAnsi="Times New Roman"/>
                <w:sz w:val="24"/>
                <w:szCs w:val="24"/>
              </w:rPr>
              <w:t>Propunerile aferente subp</w:t>
            </w:r>
            <w:r w:rsidR="00580B22" w:rsidRPr="008D0F75">
              <w:rPr>
                <w:rFonts w:ascii="Times New Roman" w:hAnsi="Times New Roman"/>
                <w:sz w:val="24"/>
                <w:szCs w:val="24"/>
              </w:rPr>
              <w:t>ct.</w:t>
            </w:r>
            <w:r w:rsidR="00111145" w:rsidRPr="008D0F75">
              <w:rPr>
                <w:rFonts w:ascii="Times New Roman" w:hAnsi="Times New Roman"/>
                <w:sz w:val="24"/>
                <w:szCs w:val="24"/>
              </w:rPr>
              <w:t xml:space="preserve"> </w:t>
            </w:r>
            <w:r w:rsidR="00111145" w:rsidRPr="008D0F75">
              <w:rPr>
                <w:rFonts w:ascii="Times New Roman" w:hAnsi="Times New Roman"/>
                <w:b/>
                <w:bCs/>
                <w:sz w:val="24"/>
                <w:szCs w:val="24"/>
              </w:rPr>
              <w:t>3.2.3, 3.2.4, 7.2.2 și 7.2.5</w:t>
            </w:r>
            <w:r w:rsidR="001F0524" w:rsidRPr="008D0F75">
              <w:rPr>
                <w:rFonts w:ascii="Times New Roman" w:hAnsi="Times New Roman"/>
                <w:b/>
                <w:bCs/>
                <w:sz w:val="24"/>
                <w:szCs w:val="24"/>
              </w:rPr>
              <w:t xml:space="preserve"> </w:t>
            </w:r>
            <w:r w:rsidR="001F0524" w:rsidRPr="008D0F75">
              <w:rPr>
                <w:rFonts w:ascii="Times New Roman" w:hAnsi="Times New Roman"/>
                <w:sz w:val="24"/>
                <w:szCs w:val="24"/>
              </w:rPr>
              <w:t>se raportează la obligația de a prezenta dovezi privind respectarea legislației naționale sau subnaționale din țara de recoltare. În acest sens, legislația aplicabilă diferă în funcție de statul în care are loc recoltarea</w:t>
            </w:r>
            <w:r w:rsidR="00111145" w:rsidRPr="008D0F75">
              <w:rPr>
                <w:rFonts w:ascii="Times New Roman" w:hAnsi="Times New Roman"/>
                <w:sz w:val="24"/>
                <w:szCs w:val="24"/>
              </w:rPr>
              <w:t>.</w:t>
            </w:r>
            <w:r w:rsidR="00751DA5" w:rsidRPr="008D0F75">
              <w:rPr>
                <w:rFonts w:ascii="Times New Roman" w:hAnsi="Times New Roman"/>
                <w:sz w:val="24"/>
                <w:szCs w:val="24"/>
              </w:rPr>
              <w:t xml:space="preserve"> </w:t>
            </w:r>
            <w:r w:rsidR="009701B5" w:rsidRPr="008D0F75">
              <w:rPr>
                <w:rFonts w:ascii="Times New Roman" w:hAnsi="Times New Roman"/>
                <w:sz w:val="24"/>
                <w:szCs w:val="24"/>
              </w:rPr>
              <w:t>De exemplu, dacă țara de recoltare este Republica Moldova, operatorul economic are obligația de a prezenta dovezi în statul importator, în conformitate cu legislația națională a Republicii Moldova. Dacă operatorul economic importă în Republica Moldova, acesta are obligația de a prezenta dovezi în conformitate cu legislația țării de recoltare.</w:t>
            </w:r>
          </w:p>
          <w:p w14:paraId="1399AB31" w14:textId="77777777" w:rsidR="00E10D0A" w:rsidRPr="008D0F75" w:rsidRDefault="00266465" w:rsidP="007744F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5)</w:t>
            </w:r>
            <w:r w:rsidR="0070423E" w:rsidRPr="008D0F75">
              <w:rPr>
                <w:rFonts w:ascii="Times New Roman" w:hAnsi="Times New Roman"/>
                <w:sz w:val="24"/>
                <w:szCs w:val="24"/>
              </w:rPr>
              <w:t xml:space="preserve"> </w:t>
            </w:r>
            <w:r w:rsidR="00EA2FFC" w:rsidRPr="008D0F75">
              <w:rPr>
                <w:rFonts w:ascii="Times New Roman" w:hAnsi="Times New Roman"/>
                <w:sz w:val="24"/>
                <w:szCs w:val="24"/>
              </w:rPr>
              <w:t>Propunerile aferente subp</w:t>
            </w:r>
            <w:r w:rsidR="0070423E" w:rsidRPr="008D0F75">
              <w:rPr>
                <w:rFonts w:ascii="Times New Roman" w:hAnsi="Times New Roman"/>
                <w:sz w:val="24"/>
                <w:szCs w:val="24"/>
              </w:rPr>
              <w:t>ct.</w:t>
            </w:r>
            <w:r w:rsidR="00EA2FFC" w:rsidRPr="008D0F75">
              <w:rPr>
                <w:rFonts w:ascii="Times New Roman" w:hAnsi="Times New Roman"/>
                <w:sz w:val="24"/>
                <w:szCs w:val="24"/>
              </w:rPr>
              <w:t xml:space="preserve"> 3.5.</w:t>
            </w:r>
            <w:r w:rsidR="007744FD" w:rsidRPr="008D0F75">
              <w:rPr>
                <w:rFonts w:ascii="Times New Roman" w:hAnsi="Times New Roman"/>
                <w:sz w:val="24"/>
                <w:szCs w:val="24"/>
              </w:rPr>
              <w:t xml:space="preserve"> </w:t>
            </w:r>
            <w:r w:rsidR="00E10D0A" w:rsidRPr="008D0F75">
              <w:rPr>
                <w:rFonts w:ascii="Times New Roman" w:hAnsi="Times New Roman"/>
                <w:sz w:val="24"/>
                <w:szCs w:val="24"/>
              </w:rPr>
              <w:t xml:space="preserve">Orientările pentru calcularea stocurilor de carbon din sol pe baza orientărilor din 2006 ale Grupului interguvernamental privind schimbările climatice (IPCC) pentru </w:t>
            </w:r>
            <w:r w:rsidR="00E10D0A" w:rsidRPr="008D0F75">
              <w:rPr>
                <w:rFonts w:ascii="Times New Roman" w:hAnsi="Times New Roman"/>
                <w:sz w:val="24"/>
                <w:szCs w:val="24"/>
              </w:rPr>
              <w:lastRenderedPageBreak/>
              <w:t>inventarele naționale de gaze cu efect de seră. Orientările respective au fost concepute pentru inventarele naționale de gaze cu efect de seră și nu sunt exprimate într-o formă care să poată fi aplicată rapid de operatorii economici. Prin urmare, atunci când în orientările IPCC pentru inventarele naționale de gaze cu efect de seră nu există informațiile necesare privind producția biocarburanților și biolichidelor sau atunci când astfel de informații nu sunt accesibile, este oportun să se apeleze la alte surse științifice de date.</w:t>
            </w:r>
          </w:p>
          <w:p w14:paraId="5A0F731F" w14:textId="77777777" w:rsidR="007744FD" w:rsidRPr="008D0F75" w:rsidRDefault="007744FD" w:rsidP="007744F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7D80829" w14:textId="10A96433" w:rsidR="007744FD" w:rsidRPr="008D0F75" w:rsidRDefault="00CC6C5A" w:rsidP="007744F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Pct. 3 prevede posibilitatea utilizării unor metode alternative pentru solurile minerale. De asemenea, orientările respetive se aplică în funcție de țara de recoltare.</w:t>
            </w:r>
          </w:p>
        </w:tc>
      </w:tr>
      <w:tr w:rsidR="00363C6D" w:rsidRPr="008D0F75" w14:paraId="31D4A574" w14:textId="77777777" w:rsidTr="00BF0155">
        <w:tc>
          <w:tcPr>
            <w:tcW w:w="2405" w:type="dxa"/>
            <w:tcMar>
              <w:top w:w="0" w:type="dxa"/>
              <w:left w:w="108" w:type="dxa"/>
              <w:bottom w:w="0" w:type="dxa"/>
              <w:right w:w="108" w:type="dxa"/>
            </w:tcMar>
          </w:tcPr>
          <w:p w14:paraId="7605637F"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Ministerul Dezvoltării</w:t>
            </w:r>
          </w:p>
          <w:p w14:paraId="14AE452C"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Economice și Digitalizării al Republicii Moldova</w:t>
            </w:r>
          </w:p>
          <w:p w14:paraId="322148D9"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6AC8EFA" w14:textId="6A8F05EF"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16/2-1334 din 21.04.2026</w:t>
            </w:r>
          </w:p>
        </w:tc>
        <w:tc>
          <w:tcPr>
            <w:tcW w:w="815" w:type="dxa"/>
            <w:tcMar>
              <w:top w:w="0" w:type="dxa"/>
              <w:left w:w="108" w:type="dxa"/>
              <w:bottom w:w="0" w:type="dxa"/>
              <w:right w:w="108" w:type="dxa"/>
            </w:tcMar>
          </w:tcPr>
          <w:p w14:paraId="74F5BD85" w14:textId="0B6E448F" w:rsidR="00363C6D" w:rsidRPr="008D0F75" w:rsidRDefault="00363C6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20.</w:t>
            </w:r>
          </w:p>
        </w:tc>
        <w:tc>
          <w:tcPr>
            <w:tcW w:w="7123" w:type="dxa"/>
            <w:tcMar>
              <w:top w:w="0" w:type="dxa"/>
              <w:left w:w="108" w:type="dxa"/>
              <w:bottom w:w="0" w:type="dxa"/>
              <w:right w:w="108" w:type="dxa"/>
            </w:tcMar>
          </w:tcPr>
          <w:p w14:paraId="38211EB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De ordin general</w:t>
            </w:r>
          </w:p>
          <w:p w14:paraId="69A3A97E"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Proiectul conține elemente de debirocratizare și aliniere la acquis-ul UE, cât și unele riscuri regulatorii ce necesită ajustare.</w:t>
            </w:r>
          </w:p>
          <w:p w14:paraId="46AA3944"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De exemplu considerăm necesară: (i) o delimitare clară a obligațiilor autorității publice centrale, Instituției Publice Centrul Național pentru Energie Durabilă, Secretariatul Comunității Energetice și al Centrului Național de Acreditare; (ii) Aplicarea principiului proporționalității și limitarea datelor la strictul necesar cu referire la datele solicitate în raport cu Registrul de biocarburanți (date detaliate privind ciclul de viață al combustibililor); (iii) Procedură complexă de instituire și recunoaștere a schemelor voluntare; (iv) Stabilirea clară a raportului și recunoașterii </w:t>
            </w:r>
            <w:r w:rsidRPr="008D0F75">
              <w:rPr>
                <w:rFonts w:ascii="Times New Roman" w:hAnsi="Times New Roman"/>
                <w:sz w:val="24"/>
                <w:szCs w:val="24"/>
              </w:rPr>
              <w:lastRenderedPageBreak/>
              <w:t>reciproce între schemele naționale și cele voluntare; (v) Raționalizarea fluxurilor de raportare și digitalizarea acestora.</w:t>
            </w:r>
          </w:p>
          <w:p w14:paraId="0B63AE2A"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La punctul 3 din Hotărâre, privind completarea Regulamentului cu privire la criterii de durabilitate și metodologia de calcul</w:t>
            </w:r>
          </w:p>
          <w:p w14:paraId="0A1D272D"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Punctul 35</w:t>
            </w:r>
            <w:r w:rsidRPr="008D0F75">
              <w:rPr>
                <w:rFonts w:ascii="Times New Roman" w:hAnsi="Times New Roman"/>
                <w:sz w:val="24"/>
                <w:szCs w:val="24"/>
                <w:vertAlign w:val="superscript"/>
              </w:rPr>
              <w:t>2</w:t>
            </w:r>
            <w:r w:rsidRPr="008D0F75">
              <w:rPr>
                <w:rFonts w:ascii="Times New Roman" w:hAnsi="Times New Roman"/>
                <w:sz w:val="24"/>
                <w:szCs w:val="24"/>
              </w:rPr>
              <w:t xml:space="preserve"> specifică „Centrul Național de Acreditare supraveghează funcționarea organismelor de certificare care realizează audituri independente în cadrul unei scheme voluntare…”. Activitatea de supraveghere a organismelor de certificare nu este specifică Organismului Național statuate la art. 8 din Legea nr. 235/2011 privind activitățile de acreditare și de evaluare a conformității și transpune Regulamentul (CE) nr.765/2008 al Parlamentului European și al Consiliului din 9 iulie 2008 de stabilire a cerințelor de acreditare și de supraveghere a pieței în ceea ce privește comercializarea produselor și de abrogare a Regulamentului (CEE) nr. 339/93.</w:t>
            </w:r>
          </w:p>
          <w:p w14:paraId="1B749961"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vederea transpunerii coerente a Directivei (UE) 2018/2001 a Parlamentului European și a Consiliului din 11 decembrie 2018 privind promovarea utilizării energiei din surse regenerabile este necesar substituirea textului „Centrul Național de Acreditare” cu textul „ organul central de specialitate”.</w:t>
            </w:r>
          </w:p>
          <w:p w14:paraId="632CE245"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La Regulamentul cu privire la normele de verificare a biocarburanților, biolichidelor și combustibililor din biomasă</w:t>
            </w:r>
          </w:p>
          <w:p w14:paraId="52550927" w14:textId="77777777"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Noțiunile descrise la pct. 2 nu sunt transpuse fidel conform Regulamentului de punere în aplicare (UE) 2022/996 al Comisiei din 14 iunie 2022. Astfel, în Regulament noțiunea „sistem voluntar” înseamnă o organizație care certifică respectarea de către operatorii economici a criteriilor și normelor…”, iar în proiect este descrisă noțiunea „</w:t>
            </w:r>
            <w:r w:rsidRPr="008D0F75">
              <w:rPr>
                <w:rFonts w:ascii="Times New Roman" w:hAnsi="Times New Roman"/>
                <w:i/>
                <w:iCs/>
                <w:sz w:val="24"/>
                <w:szCs w:val="24"/>
              </w:rPr>
              <w:t xml:space="preserve">schema voluntară </w:t>
            </w:r>
            <w:r w:rsidRPr="008D0F75">
              <w:rPr>
                <w:rFonts w:ascii="Times New Roman" w:hAnsi="Times New Roman"/>
                <w:sz w:val="24"/>
                <w:szCs w:val="24"/>
              </w:rPr>
              <w:t xml:space="preserve">– organizație care certifică respectarea de către operatorii economici a criteriilor și normelor…”. În acest context, se propune transpunerea fidelă a noțiunilor. </w:t>
            </w:r>
          </w:p>
          <w:p w14:paraId="12749A12" w14:textId="234CF270" w:rsidR="00363C6D" w:rsidRPr="008D0F75" w:rsidRDefault="00363C6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Secțiunea a 8-a, precum și la pct. 68-73 textul „Centrul Național de Acreditare” de substituit cu textul „organul central de specialitate”. Argumentele de susținere a acestei propuneri sunt atribuțiile Centrului </w:t>
            </w:r>
            <w:r w:rsidRPr="008D0F75">
              <w:rPr>
                <w:rFonts w:ascii="Times New Roman" w:hAnsi="Times New Roman"/>
                <w:sz w:val="24"/>
                <w:szCs w:val="24"/>
              </w:rPr>
              <w:lastRenderedPageBreak/>
              <w:t>Național de Acreditare descrise în Legea nr.235/2011, potrivit căreia, activitatea de „supraveghere” este în contradicție cu norma citată.</w:t>
            </w:r>
          </w:p>
        </w:tc>
        <w:tc>
          <w:tcPr>
            <w:tcW w:w="3681" w:type="dxa"/>
            <w:tcMar>
              <w:top w:w="0" w:type="dxa"/>
              <w:left w:w="108" w:type="dxa"/>
              <w:bottom w:w="0" w:type="dxa"/>
              <w:right w:w="108" w:type="dxa"/>
            </w:tcMar>
          </w:tcPr>
          <w:p w14:paraId="585748F8" w14:textId="77777777" w:rsidR="00363C6D" w:rsidRPr="008D0F75" w:rsidRDefault="001B3A4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 parțial.</w:t>
            </w:r>
          </w:p>
          <w:p w14:paraId="1DC480BF" w14:textId="54D1B156" w:rsidR="00F05CD7" w:rsidRPr="008D0F75" w:rsidRDefault="008A4C86"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 xml:space="preserve">1) </w:t>
            </w:r>
            <w:r w:rsidR="00C55BEF" w:rsidRPr="008D0F75">
              <w:rPr>
                <w:rFonts w:ascii="Times New Roman" w:hAnsi="Times New Roman"/>
                <w:b/>
                <w:bCs/>
                <w:sz w:val="24"/>
                <w:szCs w:val="24"/>
              </w:rPr>
              <w:t>Clarificăr</w:t>
            </w:r>
            <w:r w:rsidR="00BD4480" w:rsidRPr="008D0F75">
              <w:rPr>
                <w:rFonts w:ascii="Times New Roman" w:hAnsi="Times New Roman"/>
                <w:b/>
                <w:bCs/>
                <w:sz w:val="24"/>
                <w:szCs w:val="24"/>
              </w:rPr>
              <w:t>e</w:t>
            </w:r>
            <w:r w:rsidR="00C55BEF" w:rsidRPr="008D0F75">
              <w:rPr>
                <w:rFonts w:ascii="Times New Roman" w:hAnsi="Times New Roman"/>
                <w:b/>
                <w:bCs/>
                <w:sz w:val="24"/>
                <w:szCs w:val="24"/>
              </w:rPr>
              <w:t xml:space="preserve"> la propunerile d</w:t>
            </w:r>
            <w:r w:rsidR="00AA007F" w:rsidRPr="008D0F75">
              <w:rPr>
                <w:rFonts w:ascii="Times New Roman" w:hAnsi="Times New Roman"/>
                <w:b/>
                <w:bCs/>
                <w:sz w:val="24"/>
                <w:szCs w:val="24"/>
              </w:rPr>
              <w:t>e ordin general</w:t>
            </w:r>
          </w:p>
          <w:p w14:paraId="35E874D9" w14:textId="77777777" w:rsidR="007D115F" w:rsidRPr="008D0F75" w:rsidRDefault="007D115F"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6DB2A378" w14:textId="6ACB1FCD" w:rsidR="00AA007F" w:rsidRPr="008D0F75" w:rsidRDefault="00C55BEF"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(i) </w:t>
            </w:r>
            <w:r w:rsidR="00727E0E" w:rsidRPr="008D0F75">
              <w:rPr>
                <w:rFonts w:ascii="Times New Roman" w:hAnsi="Times New Roman"/>
                <w:sz w:val="24"/>
                <w:szCs w:val="24"/>
              </w:rPr>
              <w:t xml:space="preserve">Obligațiile părților </w:t>
            </w:r>
            <w:r w:rsidR="00E12DA3" w:rsidRPr="008D0F75">
              <w:rPr>
                <w:rFonts w:ascii="Times New Roman" w:hAnsi="Times New Roman"/>
                <w:sz w:val="24"/>
                <w:szCs w:val="24"/>
              </w:rPr>
              <w:t xml:space="preserve">implicate </w:t>
            </w:r>
            <w:r w:rsidR="00727E0E" w:rsidRPr="008D0F75">
              <w:rPr>
                <w:rFonts w:ascii="Times New Roman" w:hAnsi="Times New Roman"/>
                <w:sz w:val="24"/>
                <w:szCs w:val="24"/>
              </w:rPr>
              <w:t xml:space="preserve">sunt prevăzute în proiectul hotărârii, inclusiv actele normative care </w:t>
            </w:r>
            <w:r w:rsidR="00E12DA3" w:rsidRPr="008D0F75">
              <w:rPr>
                <w:rFonts w:ascii="Times New Roman" w:hAnsi="Times New Roman"/>
                <w:sz w:val="24"/>
                <w:szCs w:val="24"/>
              </w:rPr>
              <w:t>se</w:t>
            </w:r>
            <w:r w:rsidR="00727E0E" w:rsidRPr="008D0F75">
              <w:rPr>
                <w:rFonts w:ascii="Times New Roman" w:hAnsi="Times New Roman"/>
                <w:sz w:val="24"/>
                <w:szCs w:val="24"/>
              </w:rPr>
              <w:t xml:space="preserve"> modific</w:t>
            </w:r>
            <w:r w:rsidR="00E12DA3" w:rsidRPr="008D0F75">
              <w:rPr>
                <w:rFonts w:ascii="Times New Roman" w:hAnsi="Times New Roman"/>
                <w:sz w:val="24"/>
                <w:szCs w:val="24"/>
              </w:rPr>
              <w:t>ă</w:t>
            </w:r>
            <w:r w:rsidR="00727E0E" w:rsidRPr="008D0F75">
              <w:rPr>
                <w:rFonts w:ascii="Times New Roman" w:hAnsi="Times New Roman"/>
                <w:sz w:val="24"/>
                <w:szCs w:val="24"/>
              </w:rPr>
              <w:t>, în funcție de rolul acestora în procesele aferente.</w:t>
            </w:r>
            <w:r w:rsidR="00085DD8" w:rsidRPr="008D0F75">
              <w:rPr>
                <w:rFonts w:ascii="Times New Roman" w:hAnsi="Times New Roman"/>
                <w:sz w:val="24"/>
                <w:szCs w:val="24"/>
              </w:rPr>
              <w:t xml:space="preserve"> De exemplu, </w:t>
            </w:r>
            <w:r w:rsidR="00E34432" w:rsidRPr="008D0F75">
              <w:rPr>
                <w:rFonts w:ascii="Times New Roman" w:hAnsi="Times New Roman"/>
                <w:sz w:val="24"/>
                <w:szCs w:val="24"/>
              </w:rPr>
              <w:t xml:space="preserve">pct. 9 din HG 53/2025 </w:t>
            </w:r>
            <w:r w:rsidR="00FB03F8" w:rsidRPr="008D0F75">
              <w:rPr>
                <w:rFonts w:ascii="Times New Roman" w:hAnsi="Times New Roman"/>
                <w:sz w:val="24"/>
                <w:szCs w:val="24"/>
              </w:rPr>
              <w:t xml:space="preserve">și subpct. </w:t>
            </w:r>
            <w:r w:rsidR="00843355" w:rsidRPr="008D0F75">
              <w:rPr>
                <w:rFonts w:ascii="Times New Roman" w:hAnsi="Times New Roman"/>
                <w:sz w:val="24"/>
                <w:szCs w:val="24"/>
              </w:rPr>
              <w:t>2.28</w:t>
            </w:r>
            <w:r w:rsidR="00FB03F8" w:rsidRPr="008D0F75">
              <w:rPr>
                <w:rFonts w:ascii="Times New Roman" w:hAnsi="Times New Roman"/>
                <w:sz w:val="24"/>
                <w:szCs w:val="24"/>
              </w:rPr>
              <w:t xml:space="preserve"> din </w:t>
            </w:r>
            <w:r w:rsidR="00DA0241" w:rsidRPr="008D0F75">
              <w:rPr>
                <w:rFonts w:ascii="Times New Roman" w:hAnsi="Times New Roman"/>
                <w:sz w:val="24"/>
                <w:szCs w:val="24"/>
              </w:rPr>
              <w:t>proiectul</w:t>
            </w:r>
            <w:r w:rsidR="00FB03F8" w:rsidRPr="008D0F75">
              <w:rPr>
                <w:rFonts w:ascii="Times New Roman" w:hAnsi="Times New Roman"/>
                <w:sz w:val="24"/>
                <w:szCs w:val="24"/>
              </w:rPr>
              <w:t xml:space="preserve"> Regulamentului</w:t>
            </w:r>
            <w:r w:rsidR="00843355" w:rsidRPr="008D0F75">
              <w:rPr>
                <w:rFonts w:ascii="Times New Roman" w:hAnsi="Times New Roman"/>
                <w:sz w:val="24"/>
                <w:szCs w:val="24"/>
              </w:rPr>
              <w:t xml:space="preserve"> </w:t>
            </w:r>
            <w:r w:rsidR="00843355" w:rsidRPr="008D0F75">
              <w:rPr>
                <w:rFonts w:ascii="Times New Roman" w:hAnsi="Times New Roman"/>
                <w:sz w:val="24"/>
                <w:szCs w:val="24"/>
              </w:rPr>
              <w:lastRenderedPageBreak/>
              <w:t xml:space="preserve">specifică rolul IP CNED </w:t>
            </w:r>
            <w:r w:rsidR="00FB03F8" w:rsidRPr="008D0F75">
              <w:rPr>
                <w:rFonts w:ascii="Times New Roman" w:hAnsi="Times New Roman"/>
                <w:sz w:val="24"/>
                <w:szCs w:val="24"/>
              </w:rPr>
              <w:t>de a gestiona</w:t>
            </w:r>
            <w:r w:rsidR="00093806" w:rsidRPr="008D0F75">
              <w:rPr>
                <w:rFonts w:ascii="Times New Roman" w:hAnsi="Times New Roman"/>
                <w:sz w:val="24"/>
                <w:szCs w:val="24"/>
              </w:rPr>
              <w:t xml:space="preserve"> Registrul de biocarburanți și datele aferente, </w:t>
            </w:r>
            <w:r w:rsidR="004F33FD" w:rsidRPr="008D0F75">
              <w:rPr>
                <w:rFonts w:ascii="Times New Roman" w:hAnsi="Times New Roman"/>
                <w:sz w:val="24"/>
                <w:szCs w:val="24"/>
              </w:rPr>
              <w:t>pct. 35</w:t>
            </w:r>
            <w:r w:rsidR="00FB0C73" w:rsidRPr="008D0F75">
              <w:rPr>
                <w:rFonts w:ascii="Times New Roman" w:hAnsi="Times New Roman"/>
                <w:sz w:val="24"/>
                <w:szCs w:val="24"/>
              </w:rPr>
              <w:t>-37</w:t>
            </w:r>
            <w:r w:rsidR="004F33FD" w:rsidRPr="008D0F75">
              <w:rPr>
                <w:rFonts w:ascii="Times New Roman" w:hAnsi="Times New Roman"/>
                <w:sz w:val="24"/>
                <w:szCs w:val="24"/>
              </w:rPr>
              <w:t xml:space="preserve"> din HG 53/2025 specifică rolul </w:t>
            </w:r>
            <w:r w:rsidR="006C344A" w:rsidRPr="008D0F75">
              <w:rPr>
                <w:rFonts w:ascii="Times New Roman" w:hAnsi="Times New Roman"/>
                <w:sz w:val="24"/>
                <w:szCs w:val="24"/>
              </w:rPr>
              <w:t xml:space="preserve">autorității publice centrale </w:t>
            </w:r>
            <w:r w:rsidR="006E4BD5" w:rsidRPr="008D0F75">
              <w:rPr>
                <w:rFonts w:ascii="Times New Roman" w:hAnsi="Times New Roman"/>
                <w:sz w:val="24"/>
                <w:szCs w:val="24"/>
              </w:rPr>
              <w:t>și a Secretariatul Comunității Energetice</w:t>
            </w:r>
            <w:r w:rsidR="00485E67" w:rsidRPr="008D0F75">
              <w:rPr>
                <w:rFonts w:ascii="Times New Roman" w:hAnsi="Times New Roman"/>
                <w:sz w:val="24"/>
                <w:szCs w:val="24"/>
              </w:rPr>
              <w:t>.</w:t>
            </w:r>
          </w:p>
          <w:p w14:paraId="3745A24E" w14:textId="77777777" w:rsidR="007D115F" w:rsidRPr="008D0F75" w:rsidRDefault="007D115F"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90612B7" w14:textId="7F648504" w:rsidR="00AC537D" w:rsidRPr="008D0F75" w:rsidRDefault="008A0D3B" w:rsidP="00AC537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(ii)</w:t>
            </w:r>
            <w:r w:rsidR="00AC537D" w:rsidRPr="008D0F75">
              <w:rPr>
                <w:rFonts w:ascii="Times New Roman" w:hAnsi="Times New Roman"/>
                <w:b/>
                <w:bCs/>
                <w:sz w:val="24"/>
                <w:szCs w:val="24"/>
              </w:rPr>
              <w:t xml:space="preserve"> </w:t>
            </w:r>
            <w:r w:rsidR="00DB395D" w:rsidRPr="008D0F75">
              <w:rPr>
                <w:rFonts w:ascii="Times New Roman" w:hAnsi="Times New Roman"/>
                <w:sz w:val="24"/>
                <w:szCs w:val="24"/>
              </w:rPr>
              <w:t>Capitolul IV, secțiunea 1, stabilește informațiile care urmează a fi incluse în Registrul de biocarburanți. Anexa nr. 1 prevede lista de date ce trebuie transmise pe întregul lanț de aprovizionare, precum și datele privind tranzacțiile ce vor fi înscrise în Registrul de biocarburanți.</w:t>
            </w:r>
            <w:r w:rsidR="00D81FF9" w:rsidRPr="008D0F75">
              <w:rPr>
                <w:rFonts w:ascii="Times New Roman" w:hAnsi="Times New Roman"/>
                <w:sz w:val="24"/>
                <w:szCs w:val="24"/>
              </w:rPr>
              <w:t xml:space="preserve"> </w:t>
            </w:r>
            <w:r w:rsidR="00DB395D" w:rsidRPr="008D0F75">
              <w:rPr>
                <w:rFonts w:ascii="Times New Roman" w:hAnsi="Times New Roman"/>
                <w:sz w:val="24"/>
                <w:szCs w:val="24"/>
              </w:rPr>
              <w:t>Toate părțile implicate în procesilor</w:t>
            </w:r>
            <w:r w:rsidR="001E012A" w:rsidRPr="008D0F75">
              <w:rPr>
                <w:rFonts w:ascii="Times New Roman" w:hAnsi="Times New Roman"/>
                <w:sz w:val="24"/>
                <w:szCs w:val="24"/>
              </w:rPr>
              <w:t xml:space="preserve"> </w:t>
            </w:r>
            <w:r w:rsidR="00DB395D" w:rsidRPr="008D0F75">
              <w:rPr>
                <w:rFonts w:ascii="Times New Roman" w:hAnsi="Times New Roman"/>
                <w:sz w:val="24"/>
                <w:szCs w:val="24"/>
              </w:rPr>
              <w:t>vor avea acces la Registrul de biocarburanți</w:t>
            </w:r>
            <w:r w:rsidR="001E012A" w:rsidRPr="008D0F75">
              <w:rPr>
                <w:rFonts w:ascii="Times New Roman" w:hAnsi="Times New Roman"/>
                <w:sz w:val="24"/>
                <w:szCs w:val="24"/>
              </w:rPr>
              <w:t xml:space="preserve">, în limita responsabilității </w:t>
            </w:r>
            <w:r w:rsidR="00C047B7" w:rsidRPr="008D0F75">
              <w:rPr>
                <w:rFonts w:ascii="Times New Roman" w:hAnsi="Times New Roman"/>
                <w:sz w:val="24"/>
                <w:szCs w:val="24"/>
              </w:rPr>
              <w:t>ce le revine</w:t>
            </w:r>
            <w:r w:rsidR="001E012A" w:rsidRPr="008D0F75">
              <w:rPr>
                <w:rFonts w:ascii="Times New Roman" w:hAnsi="Times New Roman"/>
                <w:sz w:val="24"/>
                <w:szCs w:val="24"/>
              </w:rPr>
              <w:t>.</w:t>
            </w:r>
            <w:r w:rsidR="00D81FF9" w:rsidRPr="008D0F75">
              <w:rPr>
                <w:rFonts w:ascii="Times New Roman" w:hAnsi="Times New Roman"/>
                <w:sz w:val="24"/>
                <w:szCs w:val="24"/>
              </w:rPr>
              <w:t xml:space="preserve"> Informațiile solicitate sunt strict aliniate cu prevederile Directivei (UE) 2018/2001.</w:t>
            </w:r>
          </w:p>
          <w:p w14:paraId="446F3C21" w14:textId="77777777" w:rsidR="007D115F" w:rsidRPr="008D0F75" w:rsidRDefault="007D115F" w:rsidP="00AC537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646D1A8" w14:textId="6DC4124F" w:rsidR="00E77092" w:rsidRPr="008D0F75" w:rsidRDefault="00C047B7" w:rsidP="0061338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(iii) </w:t>
            </w:r>
            <w:r w:rsidR="00596FFC" w:rsidRPr="008D0F75">
              <w:rPr>
                <w:rFonts w:ascii="Times New Roman" w:hAnsi="Times New Roman"/>
                <w:sz w:val="24"/>
                <w:szCs w:val="24"/>
              </w:rPr>
              <w:t xml:space="preserve">Doar schemele voluntare și naționale recunoscute de Comisia Europeană sunt considerate valide pentru confirmarea respectării criteriilor de durabilitate prevăzute de Directiva (UE) 2018/2001. Procedura de recunoaștere a schemelor aprobate de Comisia Europeană este una simplificată, întrucât Guvernul recunoaște aceste </w:t>
            </w:r>
            <w:r w:rsidR="00596FFC" w:rsidRPr="008D0F75">
              <w:rPr>
                <w:rFonts w:ascii="Times New Roman" w:hAnsi="Times New Roman"/>
                <w:sz w:val="24"/>
                <w:szCs w:val="24"/>
              </w:rPr>
              <w:lastRenderedPageBreak/>
              <w:t>scheme în temeiul prevederilor de la pct. 2 al proiectului hotărârii. Astfel, în cazul în care un operator economic prezintă un certificat de conformitate emis în cadrul unei scheme recunoscute, nu mai este necesară prezentarea altor dovezi, conform pct. 35 din Hotărârea Guvernului nr. 53/2025, cu modificările propuse la punctul 3.</w:t>
            </w:r>
            <w:r w:rsidR="00325D8F" w:rsidRPr="008D0F75">
              <w:rPr>
                <w:rFonts w:ascii="Times New Roman" w:hAnsi="Times New Roman"/>
                <w:sz w:val="24"/>
                <w:szCs w:val="24"/>
              </w:rPr>
              <w:t>2</w:t>
            </w:r>
            <w:r w:rsidR="00596FFC" w:rsidRPr="008D0F75">
              <w:rPr>
                <w:rFonts w:ascii="Times New Roman" w:hAnsi="Times New Roman"/>
                <w:sz w:val="24"/>
                <w:szCs w:val="24"/>
              </w:rPr>
              <w:t>.10 din prezentul proiect.</w:t>
            </w:r>
          </w:p>
          <w:p w14:paraId="28965ACA" w14:textId="77777777" w:rsidR="007341EA" w:rsidRPr="008D0F75" w:rsidRDefault="007341EA" w:rsidP="0061338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32EDC84" w14:textId="41C40ACD" w:rsidR="007341EA" w:rsidRPr="008D0F75" w:rsidRDefault="007341EA" w:rsidP="0061338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Dacă se instituie o schemă voluntară pe teritoriul Re</w:t>
            </w:r>
            <w:r w:rsidR="007308AB" w:rsidRPr="008D0F75">
              <w:rPr>
                <w:rFonts w:ascii="Times New Roman" w:hAnsi="Times New Roman"/>
                <w:sz w:val="24"/>
                <w:szCs w:val="24"/>
              </w:rPr>
              <w:t>public</w:t>
            </w:r>
            <w:r w:rsidR="00851C7C" w:rsidRPr="008D0F75">
              <w:rPr>
                <w:rFonts w:ascii="Times New Roman" w:hAnsi="Times New Roman"/>
                <w:sz w:val="24"/>
                <w:szCs w:val="24"/>
              </w:rPr>
              <w:t>i</w:t>
            </w:r>
            <w:r w:rsidR="007308AB" w:rsidRPr="008D0F75">
              <w:rPr>
                <w:rFonts w:ascii="Times New Roman" w:hAnsi="Times New Roman"/>
                <w:sz w:val="24"/>
                <w:szCs w:val="24"/>
              </w:rPr>
              <w:t xml:space="preserve">i Moldova, această se aprobă </w:t>
            </w:r>
            <w:r w:rsidR="00851C7C" w:rsidRPr="008D0F75">
              <w:rPr>
                <w:rFonts w:ascii="Times New Roman" w:hAnsi="Times New Roman"/>
                <w:sz w:val="24"/>
                <w:szCs w:val="24"/>
              </w:rPr>
              <w:t>de G</w:t>
            </w:r>
            <w:r w:rsidR="007308AB" w:rsidRPr="008D0F75">
              <w:rPr>
                <w:rFonts w:ascii="Times New Roman" w:hAnsi="Times New Roman"/>
                <w:sz w:val="24"/>
                <w:szCs w:val="24"/>
              </w:rPr>
              <w:t xml:space="preserve">uvern și </w:t>
            </w:r>
            <w:r w:rsidR="00C72DA7" w:rsidRPr="008D0F75">
              <w:rPr>
                <w:rFonts w:ascii="Times New Roman" w:hAnsi="Times New Roman"/>
                <w:sz w:val="24"/>
                <w:szCs w:val="24"/>
              </w:rPr>
              <w:t>se notifică cu privire la intenția de a recunoaște</w:t>
            </w:r>
            <w:r w:rsidR="00D34BC1" w:rsidRPr="008D0F75">
              <w:rPr>
                <w:rFonts w:ascii="Times New Roman" w:hAnsi="Times New Roman"/>
                <w:sz w:val="24"/>
                <w:szCs w:val="24"/>
              </w:rPr>
              <w:t>rea</w:t>
            </w:r>
            <w:r w:rsidR="00C72DA7" w:rsidRPr="008D0F75">
              <w:rPr>
                <w:rFonts w:ascii="Times New Roman" w:hAnsi="Times New Roman"/>
                <w:sz w:val="24"/>
                <w:szCs w:val="24"/>
              </w:rPr>
              <w:t xml:space="preserve"> </w:t>
            </w:r>
            <w:r w:rsidR="00D34BC1" w:rsidRPr="008D0F75">
              <w:rPr>
                <w:rFonts w:ascii="Times New Roman" w:hAnsi="Times New Roman"/>
                <w:sz w:val="24"/>
                <w:szCs w:val="24"/>
              </w:rPr>
              <w:t xml:space="preserve">acesteia </w:t>
            </w:r>
            <w:r w:rsidR="00C72DA7" w:rsidRPr="008D0F75">
              <w:rPr>
                <w:rFonts w:ascii="Times New Roman" w:hAnsi="Times New Roman"/>
                <w:sz w:val="24"/>
                <w:szCs w:val="24"/>
              </w:rPr>
              <w:t>pe teritoriul Uniunii Europen</w:t>
            </w:r>
            <w:r w:rsidR="00D34BC1" w:rsidRPr="008D0F75">
              <w:rPr>
                <w:rFonts w:ascii="Times New Roman" w:hAnsi="Times New Roman"/>
                <w:sz w:val="24"/>
                <w:szCs w:val="24"/>
              </w:rPr>
              <w:t xml:space="preserve">, în conformitate cu pct. </w:t>
            </w:r>
            <w:r w:rsidR="00D056EB" w:rsidRPr="008D0F75">
              <w:rPr>
                <w:rFonts w:ascii="Times New Roman" w:hAnsi="Times New Roman"/>
                <w:sz w:val="24"/>
                <w:szCs w:val="24"/>
              </w:rPr>
              <w:t xml:space="preserve">35.2 din Hotărârea Guvernului nr. 53/2025 cu modificările propuse la pct. </w:t>
            </w:r>
            <w:r w:rsidR="00A16446" w:rsidRPr="008D0F75">
              <w:rPr>
                <w:rFonts w:ascii="Times New Roman" w:hAnsi="Times New Roman"/>
                <w:sz w:val="24"/>
                <w:szCs w:val="24"/>
              </w:rPr>
              <w:t>3.</w:t>
            </w:r>
            <w:r w:rsidR="005E01F7" w:rsidRPr="008D0F75">
              <w:rPr>
                <w:rFonts w:ascii="Times New Roman" w:hAnsi="Times New Roman"/>
                <w:sz w:val="24"/>
                <w:szCs w:val="24"/>
              </w:rPr>
              <w:t>2</w:t>
            </w:r>
            <w:r w:rsidR="00A16446" w:rsidRPr="008D0F75">
              <w:rPr>
                <w:rFonts w:ascii="Times New Roman" w:hAnsi="Times New Roman"/>
                <w:sz w:val="24"/>
                <w:szCs w:val="24"/>
              </w:rPr>
              <w:t>.11</w:t>
            </w:r>
            <w:r w:rsidR="000221EE" w:rsidRPr="008D0F75">
              <w:rPr>
                <w:rFonts w:ascii="Times New Roman" w:hAnsi="Times New Roman"/>
                <w:sz w:val="24"/>
                <w:szCs w:val="24"/>
              </w:rPr>
              <w:t xml:space="preserve"> </w:t>
            </w:r>
            <w:r w:rsidR="00D056EB" w:rsidRPr="008D0F75">
              <w:rPr>
                <w:rFonts w:ascii="Times New Roman" w:hAnsi="Times New Roman"/>
                <w:sz w:val="24"/>
                <w:szCs w:val="24"/>
              </w:rPr>
              <w:t>din</w:t>
            </w:r>
            <w:r w:rsidR="00D34BC1" w:rsidRPr="008D0F75">
              <w:rPr>
                <w:rFonts w:ascii="Times New Roman" w:hAnsi="Times New Roman"/>
                <w:sz w:val="24"/>
                <w:szCs w:val="24"/>
              </w:rPr>
              <w:t xml:space="preserve"> proiect</w:t>
            </w:r>
            <w:r w:rsidR="000221EE" w:rsidRPr="008D0F75">
              <w:rPr>
                <w:rFonts w:ascii="Times New Roman" w:hAnsi="Times New Roman"/>
                <w:sz w:val="24"/>
                <w:szCs w:val="24"/>
              </w:rPr>
              <w:t xml:space="preserve">ul </w:t>
            </w:r>
            <w:r w:rsidR="00F47A97" w:rsidRPr="008D0F75">
              <w:rPr>
                <w:rFonts w:ascii="Times New Roman" w:hAnsi="Times New Roman"/>
                <w:sz w:val="24"/>
                <w:szCs w:val="24"/>
              </w:rPr>
              <w:t>hotărârii</w:t>
            </w:r>
            <w:r w:rsidR="000221EE" w:rsidRPr="008D0F75">
              <w:rPr>
                <w:rFonts w:ascii="Times New Roman" w:hAnsi="Times New Roman"/>
                <w:sz w:val="24"/>
                <w:szCs w:val="24"/>
              </w:rPr>
              <w:t>.</w:t>
            </w:r>
          </w:p>
          <w:p w14:paraId="7F4D047F" w14:textId="77777777" w:rsidR="000221EE" w:rsidRPr="008D0F75" w:rsidRDefault="000221EE" w:rsidP="0061338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05EC8BE" w14:textId="568F4504" w:rsidR="00173F45" w:rsidRPr="008D0F75" w:rsidRDefault="00A84D7D" w:rsidP="0061338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(iv) </w:t>
            </w:r>
            <w:r w:rsidR="009370BA" w:rsidRPr="008D0F75">
              <w:rPr>
                <w:rFonts w:ascii="Times New Roman" w:hAnsi="Times New Roman"/>
                <w:sz w:val="24"/>
                <w:szCs w:val="24"/>
              </w:rPr>
              <w:t xml:space="preserve">Schema națională </w:t>
            </w:r>
            <w:r w:rsidR="008C3A2E" w:rsidRPr="008D0F75">
              <w:rPr>
                <w:rFonts w:ascii="Times New Roman" w:hAnsi="Times New Roman"/>
                <w:sz w:val="24"/>
                <w:szCs w:val="24"/>
              </w:rPr>
              <w:t>poate fi</w:t>
            </w:r>
            <w:r w:rsidR="009370BA" w:rsidRPr="008D0F75">
              <w:rPr>
                <w:rFonts w:ascii="Times New Roman" w:hAnsi="Times New Roman"/>
                <w:sz w:val="24"/>
                <w:szCs w:val="24"/>
              </w:rPr>
              <w:t xml:space="preserve"> institui</w:t>
            </w:r>
            <w:r w:rsidR="008C3A2E" w:rsidRPr="008D0F75">
              <w:rPr>
                <w:rFonts w:ascii="Times New Roman" w:hAnsi="Times New Roman"/>
                <w:sz w:val="24"/>
                <w:szCs w:val="24"/>
              </w:rPr>
              <w:t>t</w:t>
            </w:r>
            <w:r w:rsidR="005329AD" w:rsidRPr="008D0F75">
              <w:rPr>
                <w:rFonts w:ascii="Times New Roman" w:hAnsi="Times New Roman"/>
                <w:sz w:val="24"/>
                <w:szCs w:val="24"/>
              </w:rPr>
              <w:t>ă</w:t>
            </w:r>
            <w:r w:rsidR="009370BA" w:rsidRPr="008D0F75">
              <w:rPr>
                <w:rFonts w:ascii="Times New Roman" w:hAnsi="Times New Roman"/>
                <w:sz w:val="24"/>
                <w:szCs w:val="24"/>
              </w:rPr>
              <w:t xml:space="preserve"> de Guvern și </w:t>
            </w:r>
            <w:r w:rsidR="005E01F7" w:rsidRPr="008D0F75">
              <w:rPr>
                <w:rFonts w:ascii="Times New Roman" w:hAnsi="Times New Roman"/>
                <w:sz w:val="24"/>
                <w:szCs w:val="24"/>
              </w:rPr>
              <w:t>va avea un</w:t>
            </w:r>
            <w:r w:rsidR="009370BA" w:rsidRPr="008D0F75">
              <w:rPr>
                <w:rFonts w:ascii="Times New Roman" w:hAnsi="Times New Roman"/>
                <w:sz w:val="24"/>
                <w:szCs w:val="24"/>
              </w:rPr>
              <w:t xml:space="preserve"> caracter obligatoriu, iar schema voluntară </w:t>
            </w:r>
            <w:r w:rsidR="003D7676" w:rsidRPr="008D0F75">
              <w:rPr>
                <w:rFonts w:ascii="Times New Roman" w:hAnsi="Times New Roman"/>
                <w:sz w:val="24"/>
                <w:szCs w:val="24"/>
              </w:rPr>
              <w:t xml:space="preserve">poate fi </w:t>
            </w:r>
            <w:r w:rsidR="009370BA" w:rsidRPr="008D0F75">
              <w:rPr>
                <w:rFonts w:ascii="Times New Roman" w:hAnsi="Times New Roman"/>
                <w:sz w:val="24"/>
                <w:szCs w:val="24"/>
              </w:rPr>
              <w:t>institui</w:t>
            </w:r>
            <w:r w:rsidR="003D7676" w:rsidRPr="008D0F75">
              <w:rPr>
                <w:rFonts w:ascii="Times New Roman" w:hAnsi="Times New Roman"/>
                <w:sz w:val="24"/>
                <w:szCs w:val="24"/>
              </w:rPr>
              <w:t>tă</w:t>
            </w:r>
            <w:r w:rsidR="009370BA" w:rsidRPr="008D0F75">
              <w:rPr>
                <w:rFonts w:ascii="Times New Roman" w:hAnsi="Times New Roman"/>
                <w:sz w:val="24"/>
                <w:szCs w:val="24"/>
              </w:rPr>
              <w:t xml:space="preserve"> de către sectorul privat. Odată cu recunoașterea de către Comisia Europeană a schemelor voluntare sau naționale, acestea sunt tratate în mod uniform, având același statut juridic și aceeași valabilitate. Întrucât Guvernul recunoaște </w:t>
            </w:r>
            <w:r w:rsidR="009370BA" w:rsidRPr="008D0F75">
              <w:rPr>
                <w:rFonts w:ascii="Times New Roman" w:hAnsi="Times New Roman"/>
                <w:sz w:val="24"/>
                <w:szCs w:val="24"/>
              </w:rPr>
              <w:lastRenderedPageBreak/>
              <w:t>schemele Uniunii Europene în temeiul prevederilor de la p</w:t>
            </w:r>
            <w:r w:rsidR="000C545B" w:rsidRPr="008D0F75">
              <w:rPr>
                <w:rFonts w:ascii="Times New Roman" w:hAnsi="Times New Roman"/>
                <w:sz w:val="24"/>
                <w:szCs w:val="24"/>
              </w:rPr>
              <w:t>ct.</w:t>
            </w:r>
            <w:r w:rsidR="009370BA" w:rsidRPr="008D0F75">
              <w:rPr>
                <w:rFonts w:ascii="Times New Roman" w:hAnsi="Times New Roman"/>
                <w:sz w:val="24"/>
                <w:szCs w:val="24"/>
              </w:rPr>
              <w:t xml:space="preserve"> 2 al proiectului hotărârii, instituirea unei scheme naționale nu este</w:t>
            </w:r>
            <w:r w:rsidR="000C545B" w:rsidRPr="008D0F75">
              <w:rPr>
                <w:rFonts w:ascii="Times New Roman" w:hAnsi="Times New Roman"/>
                <w:sz w:val="24"/>
                <w:szCs w:val="24"/>
              </w:rPr>
              <w:t xml:space="preserve"> relevantă</w:t>
            </w:r>
            <w:r w:rsidR="009370BA" w:rsidRPr="008D0F75">
              <w:rPr>
                <w:rFonts w:ascii="Times New Roman" w:hAnsi="Times New Roman"/>
                <w:sz w:val="24"/>
                <w:szCs w:val="24"/>
              </w:rPr>
              <w:t>.</w:t>
            </w:r>
          </w:p>
          <w:p w14:paraId="436A56C1" w14:textId="3546F660" w:rsidR="004D28BD" w:rsidRPr="008D0F75" w:rsidRDefault="00634553" w:rsidP="003342E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(v)</w:t>
            </w:r>
            <w:r w:rsidR="003342E1" w:rsidRPr="008D0F75">
              <w:rPr>
                <w:rFonts w:ascii="Times New Roman" w:hAnsi="Times New Roman"/>
                <w:b/>
                <w:bCs/>
                <w:sz w:val="24"/>
                <w:szCs w:val="24"/>
              </w:rPr>
              <w:t xml:space="preserve"> </w:t>
            </w:r>
            <w:r w:rsidR="00FF5B36" w:rsidRPr="008D0F75">
              <w:rPr>
                <w:rFonts w:ascii="Times New Roman" w:hAnsi="Times New Roman"/>
                <w:sz w:val="24"/>
                <w:szCs w:val="24"/>
              </w:rPr>
              <w:t xml:space="preserve">Întregul flux de informații aferent criteriilor de durabilitate </w:t>
            </w:r>
            <w:r w:rsidR="000D139C" w:rsidRPr="008D0F75">
              <w:rPr>
                <w:rFonts w:ascii="Times New Roman" w:hAnsi="Times New Roman"/>
                <w:sz w:val="24"/>
                <w:szCs w:val="24"/>
              </w:rPr>
              <w:t xml:space="preserve">și emisiilor de gaze cu efect de seră </w:t>
            </w:r>
            <w:r w:rsidR="0026460F" w:rsidRPr="008D0F75">
              <w:rPr>
                <w:rFonts w:ascii="Times New Roman" w:hAnsi="Times New Roman"/>
                <w:sz w:val="24"/>
                <w:szCs w:val="24"/>
              </w:rPr>
              <w:t xml:space="preserve">va fi gestionat </w:t>
            </w:r>
            <w:r w:rsidR="00FF5B36" w:rsidRPr="008D0F75">
              <w:rPr>
                <w:rFonts w:ascii="Times New Roman" w:hAnsi="Times New Roman"/>
                <w:sz w:val="24"/>
                <w:szCs w:val="24"/>
              </w:rPr>
              <w:t>de către IP CNED prin intermediul Registrului de biocarburanți (</w:t>
            </w:r>
            <w:r w:rsidR="002D4678" w:rsidRPr="008D0F75">
              <w:rPr>
                <w:rFonts w:ascii="Times New Roman" w:hAnsi="Times New Roman"/>
                <w:sz w:val="24"/>
                <w:szCs w:val="24"/>
              </w:rPr>
              <w:t xml:space="preserve">va fi o </w:t>
            </w:r>
            <w:r w:rsidR="00FF5B36" w:rsidRPr="008D0F75">
              <w:rPr>
                <w:rFonts w:ascii="Times New Roman" w:hAnsi="Times New Roman"/>
                <w:sz w:val="24"/>
                <w:szCs w:val="24"/>
              </w:rPr>
              <w:t>platformă digitală). Toate părțile implicate în proces vor avea acces la Registrul de biocarburanți, în limita responsabilităților ce le revin, pentru a asigura optimizarea tuturor proceselor aferente.</w:t>
            </w:r>
          </w:p>
          <w:p w14:paraId="445E52EB" w14:textId="77777777" w:rsidR="00513108" w:rsidRPr="008D0F75" w:rsidRDefault="00513108" w:rsidP="003342E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C1176FD" w14:textId="144D5B49" w:rsidR="00513108" w:rsidRPr="008D0F75" w:rsidRDefault="008A4C86" w:rsidP="00513108">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 xml:space="preserve">2) </w:t>
            </w:r>
            <w:r w:rsidR="00E52E1B" w:rsidRPr="008D0F75">
              <w:rPr>
                <w:rFonts w:ascii="Times New Roman" w:hAnsi="Times New Roman"/>
                <w:b/>
                <w:bCs/>
                <w:sz w:val="24"/>
                <w:szCs w:val="24"/>
              </w:rPr>
              <w:t>Clarificăr</w:t>
            </w:r>
            <w:r w:rsidR="002A68F3" w:rsidRPr="008D0F75">
              <w:rPr>
                <w:rFonts w:ascii="Times New Roman" w:hAnsi="Times New Roman"/>
                <w:b/>
                <w:bCs/>
                <w:sz w:val="24"/>
                <w:szCs w:val="24"/>
              </w:rPr>
              <w:t>e</w:t>
            </w:r>
            <w:r w:rsidR="00E52E1B" w:rsidRPr="008D0F75">
              <w:rPr>
                <w:rFonts w:ascii="Times New Roman" w:hAnsi="Times New Roman"/>
                <w:b/>
                <w:bCs/>
                <w:sz w:val="24"/>
                <w:szCs w:val="24"/>
              </w:rPr>
              <w:t xml:space="preserve"> la propunerea privind noțiunile de la pct. 2</w:t>
            </w:r>
            <w:r w:rsidR="00274B75" w:rsidRPr="008D0F75">
              <w:rPr>
                <w:rFonts w:ascii="Times New Roman" w:hAnsi="Times New Roman"/>
                <w:b/>
                <w:bCs/>
                <w:sz w:val="24"/>
                <w:szCs w:val="24"/>
              </w:rPr>
              <w:t xml:space="preserve"> din proie</w:t>
            </w:r>
            <w:r w:rsidR="002A68F3" w:rsidRPr="008D0F75">
              <w:rPr>
                <w:rFonts w:ascii="Times New Roman" w:hAnsi="Times New Roman"/>
                <w:b/>
                <w:bCs/>
                <w:sz w:val="24"/>
                <w:szCs w:val="24"/>
              </w:rPr>
              <w:t>c</w:t>
            </w:r>
            <w:r w:rsidR="00274B75" w:rsidRPr="008D0F75">
              <w:rPr>
                <w:rFonts w:ascii="Times New Roman" w:hAnsi="Times New Roman"/>
                <w:b/>
                <w:bCs/>
                <w:sz w:val="24"/>
                <w:szCs w:val="24"/>
              </w:rPr>
              <w:t>tul Regulamentului</w:t>
            </w:r>
          </w:p>
          <w:p w14:paraId="1E4756AB" w14:textId="1CB9EE74" w:rsidR="00513108" w:rsidRPr="008D0F75" w:rsidRDefault="00024C31" w:rsidP="003342E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Noțiunea de „schemă voluntară” este al</w:t>
            </w:r>
            <w:r w:rsidR="001372EC" w:rsidRPr="008D0F75">
              <w:rPr>
                <w:rFonts w:ascii="Times New Roman" w:hAnsi="Times New Roman"/>
                <w:sz w:val="24"/>
                <w:szCs w:val="24"/>
              </w:rPr>
              <w:t>i</w:t>
            </w:r>
            <w:r w:rsidRPr="008D0F75">
              <w:rPr>
                <w:rFonts w:ascii="Times New Roman" w:hAnsi="Times New Roman"/>
                <w:sz w:val="24"/>
                <w:szCs w:val="24"/>
              </w:rPr>
              <w:t>niată cu prevederile Legii nr. 10/2016.</w:t>
            </w:r>
          </w:p>
        </w:tc>
      </w:tr>
      <w:tr w:rsidR="002435A1" w:rsidRPr="008D0F75" w14:paraId="34B5AC58" w14:textId="77777777" w:rsidTr="00BF0155">
        <w:tc>
          <w:tcPr>
            <w:tcW w:w="2405" w:type="dxa"/>
            <w:tcMar>
              <w:top w:w="0" w:type="dxa"/>
              <w:left w:w="108" w:type="dxa"/>
              <w:bottom w:w="0" w:type="dxa"/>
              <w:right w:w="108" w:type="dxa"/>
            </w:tcMar>
          </w:tcPr>
          <w:p w14:paraId="020309EF" w14:textId="77777777" w:rsidR="002435A1" w:rsidRPr="008D0F75" w:rsidRDefault="00B54934"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IP Centrul Național pentru Energie Durabilă</w:t>
            </w:r>
          </w:p>
          <w:p w14:paraId="37A248CC" w14:textId="77777777" w:rsidR="00B54934" w:rsidRPr="008D0F75" w:rsidRDefault="00B54934"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E66CAC2" w14:textId="670AE0E0" w:rsidR="00B54934" w:rsidRPr="008D0F75" w:rsidRDefault="00B54934" w:rsidP="00B54934">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15-1443 din 12.05.2026</w:t>
            </w:r>
          </w:p>
        </w:tc>
        <w:tc>
          <w:tcPr>
            <w:tcW w:w="815" w:type="dxa"/>
            <w:tcMar>
              <w:top w:w="0" w:type="dxa"/>
              <w:left w:w="108" w:type="dxa"/>
              <w:bottom w:w="0" w:type="dxa"/>
              <w:right w:w="108" w:type="dxa"/>
            </w:tcMar>
          </w:tcPr>
          <w:p w14:paraId="387D3D02" w14:textId="60D05CFE" w:rsidR="002435A1" w:rsidRPr="008D0F75" w:rsidRDefault="00DF26D2"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21.</w:t>
            </w:r>
          </w:p>
        </w:tc>
        <w:tc>
          <w:tcPr>
            <w:tcW w:w="7123" w:type="dxa"/>
            <w:tcMar>
              <w:top w:w="0" w:type="dxa"/>
              <w:left w:w="108" w:type="dxa"/>
              <w:bottom w:w="0" w:type="dxa"/>
              <w:right w:w="108" w:type="dxa"/>
            </w:tcMar>
          </w:tcPr>
          <w:p w14:paraId="75FE09B0"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prezenta, IP Centrul Național pentru Energie Durabilă (IP CNED), în contextul demersului Nr. 04-728 din 24 martie 2026 privind avizarea/consultarea proiectul de hotărâre privind aprobarea Regulamentului cu privire la normele de verificare a biocarburanților, biolichidelor și combustibililor din biomasă, precum și recunoașterea schemelor voluntare și modificarea unor acte normative (număr unic 277/MEn/2026), vă comunică următoarele propuneri la proiectul de hotărâre expediat spre avizare:</w:t>
            </w:r>
          </w:p>
          <w:p w14:paraId="21F2FD77" w14:textId="77777777" w:rsidR="008A70CD" w:rsidRPr="008D0F75" w:rsidRDefault="008A70CD"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DC68FF0"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Includerea pct. 8. care va avea următorul cuprins: „8. Hotărârea Guvernului nr. 6/2026 cu privire la aprobarea Regulamentului privind procedura de calificare și înregistrare a instalatorilor de cazane, furnale sau sobe pe bază de biomasă, de sisteme fotovoltaice și termice solare, de sisteme geotermale de mică adâncime și pompe de căldură (Monitorul Oficial al Republicii Moldova, 2026, nr. 51-54 art. 22), se modifică după cum urmează:</w:t>
            </w:r>
          </w:p>
          <w:p w14:paraId="06D2E3C0" w14:textId="77777777" w:rsidR="008A70CD" w:rsidRPr="008D0F75" w:rsidRDefault="008A70CD"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58CAC5A"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8.1. se adaugă pct. 9. în Hotărârea de Guvern privind aprobarea Regulamentului privind procedura de calificare și înregistrare a instalatorilor de cazane, furnale sau sobe pe bază de biomasă, de sisteme fotovoltaice și termice solare, de sisteme geotermale de mică adâncime și pompe de căldură după cum urmează:</w:t>
            </w:r>
          </w:p>
          <w:p w14:paraId="70BCBB14"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„9. Prevederile subpct. 14.4. din Regulamentul nominalizat la pct. 1 se aplică exclusiv în cazul în care procedura de obținere a autorizației de electrician autorizat meționat la subpct. 14.4 include evaluarea părții teoretice, precum și a competențelor esențiale aferente categoriei solicitate, stabilite în anexa la Regulamentul sus-numit.”</w:t>
            </w:r>
          </w:p>
          <w:p w14:paraId="1AB494C8" w14:textId="77777777" w:rsidR="008A70CD" w:rsidRPr="008D0F75" w:rsidRDefault="008A70CD"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361EBEC"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8.2. În Regulamentul privind procedura de calificare și înregistrare a instalatorilor de cazane, furnale sau sobe pe bază de biomasă, de sisteme fotovoltaice și termice solare, de sisteme geotermale de mică adâncime și pompe de căldură:</w:t>
            </w:r>
          </w:p>
          <w:p w14:paraId="2EA487BD"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8.2.1. condițiile de calificare se completează cu punctul 14.4. ce va avea următorul conținut:</w:t>
            </w:r>
          </w:p>
          <w:p w14:paraId="0961B873" w14:textId="77777777" w:rsidR="002435A1"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„14.4. dacă este electrician autorizat și deține autorizație valabilă emisă de către Agenția Națională pentru Reglementare în Energetică în conformitate cu Regulamentul cu privire la autorizația de electrician autorizat aprobat prin Hotărârea ANRE nr. 413/2021.”</w:t>
            </w:r>
          </w:p>
          <w:p w14:paraId="718E59F4"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8.2.2. se modifică pct. 21.3. care va avea următorul cuprins:</w:t>
            </w:r>
          </w:p>
          <w:p w14:paraId="7D1DE9A9" w14:textId="77777777"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„21.3. copia actului de studii pentru categoria solicitată, copia certificatului de atestare în conformitate cu subpct. 14.3. sau copia autorizației de electrician autorizat în conformitate cu subpct. 14.4.”</w:t>
            </w:r>
          </w:p>
          <w:p w14:paraId="4D099E0A" w14:textId="77777777" w:rsidR="008A70CD" w:rsidRPr="008D0F75" w:rsidRDefault="008A70CD"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79A48F9" w14:textId="01F271EF" w:rsidR="00B81ED2" w:rsidRPr="008D0F75" w:rsidRDefault="00B81ED2" w:rsidP="00B81ED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Totodată, în contextul modificării propuse pentru 3.1.5. pct. 6 ce va avea următorul cuprins: „6. În vederea reducerii la minimum a riscului ca loturile unice să fie revendicate mai mult de o singură dată, organul central de specialitate al administrației publice în domeniul energeticii, cu suportul Instituției Publice Centrul Național pentru Energie Durabilă (în continuare – IP CNED), și Secretariatul Comunității Energetice consolidează cooperarea dintre schemele naționale și factorii voluntari de verificare stabiliți în temeiul secțiunii a 2-a din capitolul III, inclusiv, dacă este cazul, schimbul de date. În cazul în care IP CNED va suspecta că s-a comis o fraudă sau va depista o astfel de fraudă, organul central de specialitate al administrației publice în domeniul energeticii informează, după caz, Secretariatul Comunității Energetice.” Se propune, în vederea prezentării complete a instituțiilor responsabile, modificarea Figurii 1 din Nota de fundamentare, cu includerea la secțiunea de raportare către Secretariatul Comunității Energetice a rolului Ministerului Energiei de comun cu IP CNED în Schema responsabilităților instituționale propuse în cadrul sistemului propus de verificare a criteriilor de durabilitate și de reducere a emisiilor de gaze cu efect de seră.</w:t>
            </w:r>
          </w:p>
        </w:tc>
        <w:tc>
          <w:tcPr>
            <w:tcW w:w="3681" w:type="dxa"/>
            <w:tcMar>
              <w:top w:w="0" w:type="dxa"/>
              <w:left w:w="108" w:type="dxa"/>
              <w:bottom w:w="0" w:type="dxa"/>
              <w:right w:w="108" w:type="dxa"/>
            </w:tcMar>
          </w:tcPr>
          <w:p w14:paraId="34EE4ABB" w14:textId="4068E4E6" w:rsidR="002435A1" w:rsidRPr="008D0F75" w:rsidRDefault="009426B5"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w:t>
            </w:r>
            <w:r w:rsidR="004148D4" w:rsidRPr="008D0F75">
              <w:rPr>
                <w:rFonts w:ascii="Times New Roman" w:hAnsi="Times New Roman"/>
                <w:b/>
                <w:bCs/>
                <w:sz w:val="24"/>
                <w:szCs w:val="24"/>
              </w:rPr>
              <w:t>.</w:t>
            </w:r>
          </w:p>
        </w:tc>
      </w:tr>
      <w:tr w:rsidR="0007165D" w:rsidRPr="008D0F75" w14:paraId="2465B733" w14:textId="77777777" w:rsidTr="00BF0155">
        <w:tc>
          <w:tcPr>
            <w:tcW w:w="2405" w:type="dxa"/>
            <w:tcMar>
              <w:top w:w="0" w:type="dxa"/>
              <w:left w:w="108" w:type="dxa"/>
              <w:bottom w:w="0" w:type="dxa"/>
              <w:right w:w="108" w:type="dxa"/>
            </w:tcMar>
          </w:tcPr>
          <w:p w14:paraId="3CE252EE" w14:textId="07897662" w:rsidR="0007165D" w:rsidRPr="008D0F75" w:rsidRDefault="0007165D"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Centrul Naţional pentru Protecția Datelor cu Caracter Personal</w:t>
            </w:r>
          </w:p>
        </w:tc>
        <w:tc>
          <w:tcPr>
            <w:tcW w:w="815" w:type="dxa"/>
            <w:tcMar>
              <w:top w:w="0" w:type="dxa"/>
              <w:left w:w="108" w:type="dxa"/>
              <w:bottom w:w="0" w:type="dxa"/>
              <w:right w:w="108" w:type="dxa"/>
            </w:tcMar>
          </w:tcPr>
          <w:p w14:paraId="2E8A194B" w14:textId="77777777" w:rsidR="0007165D" w:rsidRPr="008D0F75" w:rsidRDefault="0007165D" w:rsidP="0007165D">
            <w:pPr>
              <w:ind w:firstLine="0"/>
              <w:jc w:val="center"/>
              <w:rPr>
                <w:rFonts w:ascii="Times New Roman" w:hAnsi="Times New Roman"/>
                <w:sz w:val="24"/>
                <w:szCs w:val="24"/>
              </w:rPr>
            </w:pPr>
            <w:r w:rsidRPr="008D0F75">
              <w:rPr>
                <w:rFonts w:ascii="Times New Roman" w:hAnsi="Times New Roman"/>
                <w:sz w:val="24"/>
                <w:szCs w:val="24"/>
              </w:rPr>
              <w:t>22.</w:t>
            </w:r>
          </w:p>
          <w:p w14:paraId="51943B1E" w14:textId="77777777" w:rsidR="0007165D" w:rsidRPr="008D0F75" w:rsidRDefault="0007165D" w:rsidP="00363C6D">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Mar>
              <w:top w:w="0" w:type="dxa"/>
              <w:left w:w="108" w:type="dxa"/>
              <w:bottom w:w="0" w:type="dxa"/>
              <w:right w:w="108" w:type="dxa"/>
            </w:tcMar>
          </w:tcPr>
          <w:p w14:paraId="089BD9E3"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Clauza de armonizare a proiectului național, se va expune în următoarea redacție: </w:t>
            </w:r>
          </w:p>
          <w:p w14:paraId="5E029209"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Prezenta Hotărâre:</w:t>
            </w:r>
          </w:p>
          <w:p w14:paraId="23A9426E"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parțial (transpune: art. 2 (46) și (47), art. 30 (5), (7), (9) și (10), art. 31 (1) - (4) și (6) și anexa VIII ) Directiva (UE) 2018/2001 a Parlamentului European și a Consiliului din 11 decembrie 2018 privind promovarea utilizării energiei din surse regenerabile (reformare), publicat în Jurnalul Oficial al Uniunii Europene L 328 din 21 decembrie 2018, CELEX: 32018L2001, așa cum a fost modificată ultima dată prin Directiva (UE) 2024/1711 a Parlamentului European și a Consiliului din 13 iunie 2024;</w:t>
            </w:r>
          </w:p>
          <w:p w14:paraId="2F6643AA"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transpune parțial (transpune: art. 1, art. 3 și Anexa) Regulamentul delegat (UE) 2023/1185 al Comisiei din 10 februarie 2023 de completare </w:t>
            </w:r>
            <w:r w:rsidRPr="008D0F75">
              <w:rPr>
                <w:rFonts w:ascii="Times New Roman" w:hAnsi="Times New Roman"/>
                <w:sz w:val="24"/>
                <w:szCs w:val="24"/>
              </w:rPr>
              <w:lastRenderedPageBreak/>
              <w:t>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p>
          <w:p w14:paraId="013E9219"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 CELEX: 32022R2448;</w:t>
            </w:r>
          </w:p>
          <w:p w14:paraId="58778B8B"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Decizia Comisiei din 10 iunie 2010 privind orientările pentru calcularea stocurilor de carbon din sol în sensul anexei V la Directiva 2009/28/CE, (2010/335/UE) publicat în Jurnalul Oficial al Uniunii Europene, seria L 151 din 17 iunie 2010, CELEX: 32010D0335;</w:t>
            </w:r>
          </w:p>
          <w:p w14:paraId="7D3131C1"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 punere în aplicare (UE) 2022/996 al Comisiei din 14 iunie 2022 privind normele de verificare a criteriilor de durabilitate și de reducere a emisiilor de gaze cu efect de seră și a criteriilor privind riscurile reduse din perspectiva schimbării indirecte a destinației terenurilor, publicat în Jurnalul Oficial al Uniunii Europene, seria L 168 din 27 iunie 2022, CELEX: 32022R0996, așa cum a fost modificat ultima dată prin Regulamentul de punere în aplicare (UE) 2025/196 al Comisiei din 3 februarie 2025;</w:t>
            </w:r>
          </w:p>
          <w:p w14:paraId="634EB1BF"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transpune Regulamentul delegat (UE) 2023/1640 al Comisiei din 5 iunie 2023 privind metodologia de stabilire a ponderii biocombustibililor și a biogazului pentru transporturi rezultând din prelucrarea biomasei împreună cu combustibili fosili în cadrul unui proces comun, publicat în </w:t>
            </w:r>
            <w:r w:rsidRPr="008D0F75">
              <w:rPr>
                <w:rFonts w:ascii="Times New Roman" w:hAnsi="Times New Roman"/>
                <w:sz w:val="24"/>
                <w:szCs w:val="24"/>
              </w:rPr>
              <w:lastRenderedPageBreak/>
              <w:t>Jurnalul Oficial al Uniunii Europene, seria L 205 din 18 august 2023, CELEX: 32023R1640;</w:t>
            </w:r>
          </w:p>
          <w:p w14:paraId="5D05D74F"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(UE) nr. 1307/2014 al Comisiei din 8 decembrie 2014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 publicat în Jurnalul Oficial al Uniunii Europene, seria L 351 din 9 decembrie 2014 CELEX: 32014R1307;</w:t>
            </w:r>
          </w:p>
          <w:p w14:paraId="4421D342"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Directiva delegată (UE) 2024/1405 a Comisiei din 14 martie 2024 de modificare a anexei IX la Directiva (UE) 2018/2001 a Parlamentului European și a Consiliului în ceea ce privește adăugarea de materii prime pentru producția de biocombustibili și biogaz, publicat în Jurnalul Oficial al Uniunii Europene, seria L 2024/1405 din 17 mai 2024, CELEX: 32024L1405.”</w:t>
            </w:r>
          </w:p>
          <w:p w14:paraId="60B2517B"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De la pct. 3.1.1 se va exclude clauza de armonizare</w:t>
            </w:r>
          </w:p>
          <w:p w14:paraId="33ECD8F7"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Anexa 1 la HG 53/2025 Regulamentul cu privire la criteriile de durabilitate și de reducere a emisiilor de gaze cu efect de seră pentru biocarburanți, biolichide și combustibili din biomasă se va expune:</w:t>
            </w:r>
          </w:p>
          <w:p w14:paraId="204C4A2F"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,,Prezentul Regulament:</w:t>
            </w:r>
          </w:p>
          <w:p w14:paraId="29C6A75F"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parțial (transpune: art. 2, art. 25 - 30 (1) - (7), (9) și (10))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450FA720"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transpune Regulamentul delegat (UE) 2019/807 al Comisiei din 13 martie 2019 de completare a Directivei (UE) 2018/2001 a Parlamentului European și a Consiliului în ceea ce privește stabilirea materiilor prime care prezintă riscuri ridicate din perspectiva schimbării indirecte a </w:t>
            </w:r>
            <w:r w:rsidRPr="008D0F75">
              <w:rPr>
                <w:rFonts w:ascii="Times New Roman" w:hAnsi="Times New Roman"/>
                <w:sz w:val="24"/>
                <w:szCs w:val="24"/>
              </w:rPr>
              <w:lastRenderedPageBreak/>
              <w:t>destinației terenurilor, în cazul cărora se observă o expansiune semnificativă a suprafeței de producție în detrimentul terenurilor care stochează cantități ridicate de carbon și certificarea biocombustibililor, a biolichidelor și a combustibililor din biomasă care prezintă riscuri reduse din perspectiva schimbării indirecte a destinației terenurilor, publicat în Jurnalul Oficial al Uniunii Europene L 133 din 21 mai 2019, CELEX: 32019R0807).”</w:t>
            </w:r>
          </w:p>
          <w:p w14:paraId="048B58A3"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pct. 3.2.31.1 Anexa nr.3 la Regulamentul cu privire la criteriile de durabilitate şi de reducere a emisiilor de gaze cu efect de seră pentru biocarburanţi, biolichide şi combustibili din biomasă se va exclude clauza de armonizare;</w:t>
            </w:r>
          </w:p>
          <w:p w14:paraId="70D408CE"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Anexa nr. 2 la Hotărârea Guvernului nr. 53/2025:</w:t>
            </w:r>
          </w:p>
          <w:p w14:paraId="1162AB65"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,,Prezenta Metodologie transpune parțial (transpune: art. 31 (1) - (4) și (6)) din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1155EC2E"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Anexa nr. 3 la Hotărârea Guvernului nr. 53/2025:</w:t>
            </w:r>
          </w:p>
          <w:p w14:paraId="285253D0"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,,Prezenta Metodologie transpune parțial (transpune: art. 1 și Anexa) Regulamentul delegat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 CELEX: 32023R1185.”</w:t>
            </w:r>
          </w:p>
          <w:p w14:paraId="796627C1"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Anexa nr. 4 la Hotărârea Guvernului nr. 53/2025:</w:t>
            </w:r>
          </w:p>
          <w:p w14:paraId="5F10051B"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,,Prezentele Orientări transpun 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 CELEX: 32022R2448”</w:t>
            </w:r>
          </w:p>
          <w:p w14:paraId="04A0CF87"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Anexa nr. 5 la Hotărârea Guvernului nr. 53/2025:</w:t>
            </w:r>
          </w:p>
          <w:p w14:paraId="2846250B"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,,Prezentele Orientări transpun Decizia Comisiei din 10 iunie 2010 privind orientările pentru calcularea stocurilor de carbon din sol în sensul Anexei V la Directiva 2009/28/CE, publicată în Jurnalul Oficial al Uniunii Europene, seria L 151 din 17 iunie 2010, CELEX:32010D0335”</w:t>
            </w:r>
          </w:p>
          <w:p w14:paraId="2607D6E9"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pct. 4.1.1 în Hotărârea Guvernului nr. 74/2025 se va exclude clauza de armonizare.</w:t>
            </w:r>
          </w:p>
          <w:p w14:paraId="15CC802A"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Regulamentul privind calculul consumului de energie din surse regenerabile aprobat prin Hotărârea Guvernului nr.74/2025:</w:t>
            </w:r>
          </w:p>
          <w:p w14:paraId="615D84BA"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„Prezentul Regulament:</w:t>
            </w:r>
          </w:p>
          <w:p w14:paraId="5BB9B99F"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parțial (transpune: art. 2 (2), (13), (25), (26), (28), (29), (35), (37), (39), (40), (43), (44), art. 7, art. 10, art. 12, art. 13, art. 25-27, Anexa II, Anexa III, Anexa VII și Anexa IX)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7F12F1BC"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transpune Regulamentul delegat (UE) 2023/1184 al Comisiei din 10 februarie 2023 de completare a Directivei (UE) 2018/2001 a Parlamentului European și a Consiliului prin instituirea unei metodologii a Uniunii de stabilire a unor norme detaliate pentru producția de combustibili lichizi și gazoși de origine nebiologică obținuți din surse regenerabile și utilizați în transporturi, publicat în Jurnalul Oficial al Uniunii Europene, seria L 157 din 20 iunie 2023 (CELEX: </w:t>
            </w:r>
            <w:r w:rsidRPr="008D0F75">
              <w:rPr>
                <w:rFonts w:ascii="Times New Roman" w:hAnsi="Times New Roman"/>
                <w:sz w:val="24"/>
                <w:szCs w:val="24"/>
              </w:rPr>
              <w:lastRenderedPageBreak/>
              <w:t>32023R1184), așa cum a fost modificat ultima dată prin Regulamentul delegat (UE) 2024/1408 al Comisiei din 14 martie 2024.”</w:t>
            </w:r>
          </w:p>
          <w:p w14:paraId="14D0A57F"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Proiectul de hotărâre a Guvernului privind aprobarea Regulamentului cu privire la normele de verificare a biocarburanților, biolichidelor și combustibililor din biomasă, precum și recunoașterea schemelor voluntare și modificarea unor acte normative:</w:t>
            </w:r>
          </w:p>
          <w:p w14:paraId="2369B7B4"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,,Prezentul Regulament:</w:t>
            </w:r>
          </w:p>
          <w:p w14:paraId="29B94192"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 punere în aplicare (UE) 2022/996 al Comisiei din 14 iunie 2022 privind normele de verificare a criteriilor de durabilitate și de reducere a emisiilor de gaze cu efect de seră și a criteriilor privind riscurile reduse din perspectiva schimbării indirecte a destinației terenurilor, publicat în Jurnalul Oficial al Uniunii Europene, seria L 168 din 27 iunie 2022, CELEX: 32022R0996;</w:t>
            </w:r>
          </w:p>
          <w:p w14:paraId="431534F6"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delegat (UE) 2023/1640 al Comisiei din 5 iunie 2023 privind metodologia de stabilire a ponderii biocombustibililor și a biogazului pentru transporturi rezultând din prelucrarea biomasei împreună cu combustibili fosili în cadrul unui proces comun, publicat în Jurnalul Oficial al Uniunii Europene, seria L 205 din 18 august 2023, CELEX: 32023R1640;</w:t>
            </w:r>
          </w:p>
          <w:p w14:paraId="1F9DA0AE" w14:textId="77777777"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transpune Regulamentul (UE) nr. 1307/2014 al Comisiei din 8 decembrie 2014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 publicat în Jurnalul Oficial al Uniunii Europene, seria L 351 din 9 decembrie 2014, CELEX: 32014R1307;</w:t>
            </w:r>
          </w:p>
          <w:p w14:paraId="3EACD2C1" w14:textId="7D29E87B" w:rsidR="0007165D" w:rsidRPr="008D0F75" w:rsidRDefault="0007165D" w:rsidP="0007165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transpune parțial (transpune Anexa VIII)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w:t>
            </w:r>
            <w:r w:rsidRPr="008D0F75">
              <w:rPr>
                <w:rFonts w:ascii="Times New Roman" w:hAnsi="Times New Roman"/>
                <w:sz w:val="24"/>
                <w:szCs w:val="24"/>
              </w:rPr>
              <w:lastRenderedPageBreak/>
              <w:t>ultima oară prin Directiva (UE) 2024/1711 a Parlamentului European și a Consiliului din 13 iunie 2024”</w:t>
            </w:r>
          </w:p>
        </w:tc>
        <w:tc>
          <w:tcPr>
            <w:tcW w:w="3681" w:type="dxa"/>
            <w:tcMar>
              <w:top w:w="0" w:type="dxa"/>
              <w:left w:w="108" w:type="dxa"/>
              <w:bottom w:w="0" w:type="dxa"/>
              <w:right w:w="108" w:type="dxa"/>
            </w:tcMar>
          </w:tcPr>
          <w:p w14:paraId="16CB9872" w14:textId="77777777" w:rsidR="0007165D" w:rsidRPr="008D0F75" w:rsidRDefault="0007165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w:t>
            </w:r>
          </w:p>
          <w:p w14:paraId="7F722919" w14:textId="77777777" w:rsidR="0007165D" w:rsidRPr="008D0F75" w:rsidRDefault="0007165D" w:rsidP="00363C6D">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071DFC53" w14:textId="615D4165" w:rsidR="0007165D" w:rsidRPr="008D0F75" w:rsidRDefault="00A859F0" w:rsidP="00363C6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fr-FR"/>
              </w:rPr>
            </w:pPr>
            <w:r w:rsidRPr="008D0F75">
              <w:rPr>
                <w:rFonts w:ascii="Times New Roman" w:hAnsi="Times New Roman"/>
                <w:sz w:val="24"/>
                <w:szCs w:val="24"/>
                <w:lang w:val="fr-FR"/>
              </w:rPr>
              <w:t>Propunerile au fost înaintate în cadrul procesului de expertizare.</w:t>
            </w:r>
          </w:p>
        </w:tc>
      </w:tr>
      <w:tr w:rsidR="00A859F0" w:rsidRPr="008D0F75" w14:paraId="0D9BBA90" w14:textId="77777777" w:rsidTr="00BF0155">
        <w:tc>
          <w:tcPr>
            <w:tcW w:w="2405" w:type="dxa"/>
            <w:tcMar>
              <w:top w:w="0" w:type="dxa"/>
              <w:left w:w="108" w:type="dxa"/>
              <w:bottom w:w="0" w:type="dxa"/>
              <w:right w:w="108" w:type="dxa"/>
            </w:tcMar>
          </w:tcPr>
          <w:p w14:paraId="74265A29"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IP Centrul Național pentru Energie Durabilă</w:t>
            </w:r>
          </w:p>
          <w:p w14:paraId="7E5DC78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9CD0263" w14:textId="6EBBC6BA"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i/>
                <w:iCs/>
                <w:sz w:val="24"/>
                <w:szCs w:val="24"/>
              </w:rPr>
              <w:t>Nr. 15-1629 din 04.06.2026</w:t>
            </w:r>
          </w:p>
        </w:tc>
        <w:tc>
          <w:tcPr>
            <w:tcW w:w="815" w:type="dxa"/>
            <w:tcMar>
              <w:top w:w="0" w:type="dxa"/>
              <w:left w:w="108" w:type="dxa"/>
              <w:bottom w:w="0" w:type="dxa"/>
              <w:right w:w="108" w:type="dxa"/>
            </w:tcMar>
          </w:tcPr>
          <w:p w14:paraId="34C3BB31"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23.</w:t>
            </w:r>
          </w:p>
          <w:p w14:paraId="78E16EF9"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p>
        </w:tc>
        <w:tc>
          <w:tcPr>
            <w:tcW w:w="7123" w:type="dxa"/>
            <w:tcMar>
              <w:top w:w="0" w:type="dxa"/>
              <w:left w:w="108" w:type="dxa"/>
              <w:bottom w:w="0" w:type="dxa"/>
              <w:right w:w="108" w:type="dxa"/>
            </w:tcMar>
          </w:tcPr>
          <w:p w14:paraId="53F116C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prezenta, IP Centrul Național pentru Energie Durabilă (IP CNED), în contextul demersului Nr. 04-1344 din 26 mai 2026 privind expertizarea proiectului de hotărâre privind aprobarea Regulamentului cu privire la normele de verificare a biocarburanților, biolichidelor și combustibililor din biomasă, precum și recunoașterea schemelor voluntare și modificarea unor acte normative (număr unic 277/MEn/2026), în contextul necesității de a introduce unele corectări în modalitatea de tranziție pentru instalatorii de sisteme SER deja înregistrați în Registrul instalatorilor de sisteme SER (categoria B1), vine cu propunerea de modificare a punctului 6 din Hotărârea Guvernului nr. 6/2026 pentru aprobarea Regulamentului cu privire la procedura de calificare și înregistrare a instalatorilor de cazane, furnale sau sobe pe bază de biomasă, de sisteme fotovoltaice și termice solare, de sisteme geotermale de mică adâncime și pompe de căldură, care se propune a avea următorul cuprins:</w:t>
            </w:r>
          </w:p>
          <w:p w14:paraId="7B6B2C95" w14:textId="63029652"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„6. Instalatorii de sisteme SER înregistrați în Registrul instalatorilor de sisteme SER pentru categoria B1 până la data de 22 iulie 2026 inclusiv, vor prezenta informațiile prevăzute la subpct. 21.4 și subpct. 33.3 din Regulamentul nominalizat la pct. 1, în termen de până la 15 zile calendaristice de la data intrării în vigoare a prezentei hotărâri.” </w:t>
            </w:r>
          </w:p>
        </w:tc>
        <w:tc>
          <w:tcPr>
            <w:tcW w:w="3681" w:type="dxa"/>
            <w:tcMar>
              <w:top w:w="0" w:type="dxa"/>
              <w:left w:w="108" w:type="dxa"/>
              <w:bottom w:w="0" w:type="dxa"/>
              <w:right w:w="108" w:type="dxa"/>
            </w:tcMar>
          </w:tcPr>
          <w:p w14:paraId="599A4025" w14:textId="754DA812"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t xml:space="preserve">Se acceptă. </w:t>
            </w:r>
          </w:p>
        </w:tc>
      </w:tr>
      <w:tr w:rsidR="00A859F0" w:rsidRPr="008D0F75" w14:paraId="23D07738" w14:textId="77777777" w:rsidTr="00BF0155">
        <w:tc>
          <w:tcPr>
            <w:tcW w:w="2405" w:type="dxa"/>
            <w:tcMar>
              <w:top w:w="0" w:type="dxa"/>
              <w:left w:w="108" w:type="dxa"/>
              <w:bottom w:w="0" w:type="dxa"/>
              <w:right w:w="108" w:type="dxa"/>
            </w:tcMar>
          </w:tcPr>
          <w:p w14:paraId="6D67B776" w14:textId="77777777" w:rsidR="00A859F0" w:rsidRPr="008D0F75" w:rsidRDefault="00BE3795"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Agenția de Mediu</w:t>
            </w:r>
          </w:p>
          <w:p w14:paraId="0385340E" w14:textId="77777777" w:rsidR="001F16D2" w:rsidRPr="008D0F75" w:rsidRDefault="001F16D2"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437122B" w14:textId="6F652360" w:rsidR="001F16D2" w:rsidRPr="008D0F75" w:rsidRDefault="008D0F75" w:rsidP="00A859F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Email din 13 iulie 2026, transmis pe adresa Direcției surse de energie regenerabilă și mobilitate verde.</w:t>
            </w:r>
          </w:p>
        </w:tc>
        <w:tc>
          <w:tcPr>
            <w:tcW w:w="815" w:type="dxa"/>
            <w:tcMar>
              <w:top w:w="0" w:type="dxa"/>
              <w:left w:w="108" w:type="dxa"/>
              <w:bottom w:w="0" w:type="dxa"/>
              <w:right w:w="108" w:type="dxa"/>
            </w:tcMar>
          </w:tcPr>
          <w:p w14:paraId="3FC0B803" w14:textId="50FE4964" w:rsidR="00A859F0" w:rsidRPr="008D0F75" w:rsidRDefault="00FF23DD" w:rsidP="00A859F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Pr>
                <w:rFonts w:ascii="Times New Roman" w:hAnsi="Times New Roman"/>
                <w:sz w:val="24"/>
                <w:szCs w:val="24"/>
              </w:rPr>
              <w:t>24.</w:t>
            </w:r>
          </w:p>
        </w:tc>
        <w:tc>
          <w:tcPr>
            <w:tcW w:w="7123" w:type="dxa"/>
            <w:tcMar>
              <w:top w:w="0" w:type="dxa"/>
              <w:left w:w="108" w:type="dxa"/>
              <w:bottom w:w="0" w:type="dxa"/>
              <w:right w:w="108" w:type="dxa"/>
            </w:tcMar>
          </w:tcPr>
          <w:p w14:paraId="7D9D82FE" w14:textId="77777777" w:rsidR="00C70CA1" w:rsidRPr="00C70CA1" w:rsidRDefault="00C70CA1" w:rsidP="00C70CA1">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MD"/>
              </w:rPr>
            </w:pPr>
            <w:r w:rsidRPr="00C70CA1">
              <w:rPr>
                <w:rFonts w:ascii="Times New Roman" w:hAnsi="Times New Roman"/>
                <w:b/>
                <w:bCs/>
                <w:sz w:val="24"/>
                <w:szCs w:val="24"/>
                <w:lang w:val="ro-MD"/>
              </w:rPr>
              <w:t>AVIZ</w:t>
            </w:r>
          </w:p>
          <w:p w14:paraId="3B5D7925" w14:textId="1EB756EB" w:rsidR="00C70CA1" w:rsidRPr="00C70CA1" w:rsidRDefault="00C70CA1" w:rsidP="00C70CA1">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MD"/>
              </w:rPr>
            </w:pPr>
            <w:r w:rsidRPr="00C70CA1">
              <w:rPr>
                <w:rFonts w:ascii="Times New Roman" w:hAnsi="Times New Roman"/>
                <w:b/>
                <w:bCs/>
                <w:sz w:val="24"/>
                <w:szCs w:val="24"/>
                <w:lang w:val="ro-MD"/>
              </w:rPr>
              <w:t>la proiectul de hotărâre a Guvernului pentru modificarea Hotărârii Guvernului nr. 53/2025</w:t>
            </w:r>
          </w:p>
          <w:p w14:paraId="7D878FEB" w14:textId="7EA281E0"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I. Temeiul și obiectul avizului</w:t>
            </w:r>
          </w:p>
          <w:p w14:paraId="54A91990"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În temeiul Legii nr. 100/2017 cu privire la actele normative și al Regulamentului de organizare și funcționare a Agenției de Mediu (aprobat prin HG nr. 549/2018), examinând proiectul transmis spre avizare, Agenția de Mediu comunică următoarele observații și propuneri.</w:t>
            </w:r>
          </w:p>
          <w:p w14:paraId="7646986E"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Agenția de Mediu susține obiectivul proiectului — transpunerea acquis-ului Uniunii Europene în materie de durabilitate a biocarburanților — și formulează prezentul aviz în scop constructiv, cu propuneri concrete de </w:t>
            </w:r>
            <w:r w:rsidRPr="0004558B">
              <w:rPr>
                <w:rFonts w:ascii="Times New Roman" w:hAnsi="Times New Roman"/>
                <w:sz w:val="24"/>
                <w:szCs w:val="24"/>
                <w:lang w:val="ro-MD"/>
              </w:rPr>
              <w:lastRenderedPageBreak/>
              <w:t>reformulare, pentru asigurarea conformității proiectului cu legea abilitată și cu delimitarea legală a competențelor instituționale.</w:t>
            </w:r>
          </w:p>
          <w:p w14:paraId="0D529C1D"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II. Observații de ordin general</w:t>
            </w:r>
          </w:p>
          <w:p w14:paraId="353BCA9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1.</w:t>
            </w:r>
            <w:r w:rsidRPr="0004558B">
              <w:rPr>
                <w:rFonts w:ascii="Times New Roman" w:hAnsi="Times New Roman"/>
                <w:sz w:val="24"/>
                <w:szCs w:val="24"/>
                <w:lang w:val="ro-MD"/>
              </w:rPr>
              <w:tab/>
              <w:t>Potrivit principiului ierarhiei juridice a actelor normative, consacrat de Legea nr. 100/2017, hotărârea de Guvern pune în aplicare legea și nu îi poate depăși limitele, nici nu poate institui în sarcina unei autorități atribuții pe care legea nu i le conferă sau pe care legea le atribuie expres altei autorități.</w:t>
            </w:r>
          </w:p>
          <w:p w14:paraId="51D7FCB0"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2.</w:t>
            </w:r>
            <w:r w:rsidRPr="0004558B">
              <w:rPr>
                <w:rFonts w:ascii="Times New Roman" w:hAnsi="Times New Roman"/>
                <w:sz w:val="24"/>
                <w:szCs w:val="24"/>
                <w:lang w:val="ro-MD"/>
              </w:rPr>
              <w:tab/>
              <w:t>Potrivit art. 26² alin. (4) lit. a) și alin. (5) din 2 Legea nr. 10/2016, producătorii prezintă în adresa Agenției de Mediu informațiile privind respectarea criteriilor de durabilitate și de reducere a emisiilor de GES, datele relevante aferente și, în formă standardizată, informațiile privind măsurile de protecție a solului, apei și aerului. Prin urmare, rolul conferit de lege Agenției este exclusiv acela de destinatar și deținător al informației de durabilitate și de mediu. Legea nu atribuie Agenției funcții de verificare a veridicității documentelor, de supraveghere a organismelor de certificare, de constatare a neconformităților ori de impunere de obligații operatorilor.</w:t>
            </w:r>
          </w:p>
          <w:p w14:paraId="6605D31D"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3.</w:t>
            </w:r>
            <w:r w:rsidRPr="0004558B">
              <w:rPr>
                <w:rFonts w:ascii="Times New Roman" w:hAnsi="Times New Roman"/>
                <w:sz w:val="24"/>
                <w:szCs w:val="24"/>
                <w:lang w:val="ro-MD"/>
              </w:rPr>
              <w:tab/>
              <w:t xml:space="preserve">Legea nr. 10/2016 plasează funcțiile de verificare, evidență și sancționare în afara Agenției de Mediu: </w:t>
            </w:r>
          </w:p>
          <w:p w14:paraId="0880DDF3"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w:t>
            </w:r>
            <w:r w:rsidRPr="0004558B">
              <w:rPr>
                <w:rFonts w:ascii="Times New Roman" w:hAnsi="Times New Roman"/>
                <w:sz w:val="24"/>
                <w:szCs w:val="24"/>
                <w:lang w:val="ro-MD"/>
              </w:rPr>
              <w:tab/>
              <w:t xml:space="preserve">verificarea exactității se realizează prin evaluare anuală independentă — audit de terță parte (art. 26² alin. (4) lit. b)); </w:t>
            </w:r>
          </w:p>
          <w:p w14:paraId="52CF61A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w:t>
            </w:r>
            <w:r w:rsidRPr="0004558B">
              <w:rPr>
                <w:rFonts w:ascii="Times New Roman" w:hAnsi="Times New Roman"/>
                <w:sz w:val="24"/>
                <w:szCs w:val="24"/>
                <w:lang w:val="ro-MD"/>
              </w:rPr>
              <w:tab/>
              <w:t xml:space="preserve">Registrul producătorilor de biocarburanți, monitorizarea importatorilor/producătorilor și sancționarea revin ANRE (art. 14 și art. 8 alin. (7)); </w:t>
            </w:r>
          </w:p>
          <w:p w14:paraId="78E25493"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w:t>
            </w:r>
            <w:r w:rsidRPr="0004558B">
              <w:rPr>
                <w:rFonts w:ascii="Times New Roman" w:hAnsi="Times New Roman"/>
                <w:sz w:val="24"/>
                <w:szCs w:val="24"/>
                <w:lang w:val="ro-MD"/>
              </w:rPr>
              <w:tab/>
              <w:t xml:space="preserve">elaborarea Regulamentului privind criteriile de durabilitate — care conține procedura de verificare — și monitorizarea aplicării acesteia revin organului central pentru resurse naturale și mediu, la nivel de minister (art. 12 lit. a) și b)); - recunoașterea schemelor voluntare revine Guvernului, la propunerea comună a ministerului energiei și a ministerului mediului (art. 10 lit. d¹)); </w:t>
            </w:r>
          </w:p>
          <w:p w14:paraId="1DD396D9"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lastRenderedPageBreak/>
              <w:t>-</w:t>
            </w:r>
            <w:r w:rsidRPr="0004558B">
              <w:rPr>
                <w:rFonts w:ascii="Times New Roman" w:hAnsi="Times New Roman"/>
                <w:sz w:val="24"/>
                <w:szCs w:val="24"/>
                <w:lang w:val="ro-MD"/>
              </w:rPr>
              <w:tab/>
              <w:t>acreditarea se realizează de organismul național de acreditare (MOLDAC) și de organismele de evaluare a conformității (art. 13 alin. (2)).</w:t>
            </w:r>
          </w:p>
          <w:p w14:paraId="594EB7A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4.</w:t>
            </w:r>
            <w:r w:rsidRPr="0004558B">
              <w:rPr>
                <w:rFonts w:ascii="Times New Roman" w:hAnsi="Times New Roman"/>
                <w:sz w:val="24"/>
                <w:szCs w:val="24"/>
                <w:lang w:val="ro-MD"/>
              </w:rPr>
              <w:tab/>
              <w:t>Potrivit HG nr. 549/2018, Agenția de Mediu este autoritate de implementare, monitorizare, autorizare și informare, fără funcție de control de stat. Controlul, supravegherea de stat și constatarea neconformităților revin, prin HG nr. 548/2018, Inspectoratului pentru Protecția Mediului. Această delimitare a fost confirmată recent de Guvern în sistemul MRVA (Regulamentul privind verificatorii emisiilor de GES, 2026): Agenția de Mediu asigură implementarea, iar Inspectoratul pentru Protecția Mediului monitorizează respectarea.</w:t>
            </w:r>
          </w:p>
          <w:p w14:paraId="3BE8840B"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5.</w:t>
            </w:r>
            <w:r w:rsidRPr="0004558B">
              <w:rPr>
                <w:rFonts w:ascii="Times New Roman" w:hAnsi="Times New Roman"/>
                <w:sz w:val="24"/>
                <w:szCs w:val="24"/>
                <w:lang w:val="ro-MD"/>
              </w:rPr>
              <w:tab/>
              <w:t>Regulamentul de punere în aplicare (UE) 2022/996 lasă desemnarea autorității competente la latitudinea statului. În România, autoritatea competentă pentru durabilitatea biocarburanților este Ministerul Energiei, care centralizează datele, publică lista organismelor de verificare de terță parte și transmite agregat Comisiei Europene; autoritatea de mediu nu are rol operațional.</w:t>
            </w:r>
          </w:p>
          <w:p w14:paraId="621E75EE"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6.</w:t>
            </w:r>
            <w:r w:rsidRPr="0004558B">
              <w:rPr>
                <w:rFonts w:ascii="Times New Roman" w:hAnsi="Times New Roman"/>
                <w:sz w:val="24"/>
                <w:szCs w:val="24"/>
                <w:lang w:val="ro-MD"/>
              </w:rPr>
              <w:tab/>
              <w:t>Proiectul pune în sarcina Agenției de Mediu un ansamblu de atribuții operaționale de verificare, supraveghere și control care depășesc temeiul din art. 26² al Legii nr. 10/2016 și excedează mandatul Agenției stabilit prin HG nr. 549/2018, unele fiind atribuite de lege altor autorități (ANRE, ministerul, organismul de acreditare). Se solicită reamplasarea acestor atribuții, conform propunerilor de la secțiunea III. Rămâne la Agenția de Mediu, cu temei în lege, primirea și deținerea informațiilor de durabilitate și a datelor de mediu, precum și furnizarea datelor de referință de mediu.</w:t>
            </w:r>
          </w:p>
          <w:p w14:paraId="459F26CB"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III. Observații și propuneri pe puncte</w:t>
            </w:r>
          </w:p>
          <w:p w14:paraId="05A012D7"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Anexa nr. 1</w:t>
            </w:r>
          </w:p>
          <w:p w14:paraId="68FF7475"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35 — verificarea veridicității documentelor de confirmare </w:t>
            </w:r>
          </w:p>
          <w:p w14:paraId="2B2388BE"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Textul din proiect: „Agenția de Mediu verifică veridicitatea documentelor de confirmare prezentate de operatorul economic.” </w:t>
            </w:r>
          </w:p>
          <w:p w14:paraId="0D41AB81"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Obiecție: Fără temei în Legea nr. 10/2016. Art. 26² alin. (7) atribuie recunoașterea schemelor „autorităților competente”, iar art. 26² alin. (4) </w:t>
            </w:r>
            <w:r w:rsidRPr="0004558B">
              <w:rPr>
                <w:rFonts w:ascii="Times New Roman" w:hAnsi="Times New Roman"/>
                <w:sz w:val="24"/>
                <w:szCs w:val="24"/>
                <w:lang w:val="ro-MD"/>
              </w:rPr>
              <w:lastRenderedPageBreak/>
              <w:t xml:space="preserve">lit. b) prevede că exactitatea se confirmă prin evaluare independentă (audit), nu prin verificare de către Agenție. </w:t>
            </w:r>
          </w:p>
          <w:p w14:paraId="2B5D3C7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Propunere: „Organul central de specialitate al administrației publice în domeniul energeticii, prin intermediul IP CNED, verifică veridicitatea documentelor de confirmare prezentate de operatorul economic.” Argument: Modelul României (Ministerul Energiei — autoritate competentă); Regulamentul (UE) 2022/996.</w:t>
            </w:r>
          </w:p>
          <w:p w14:paraId="32E5A1CF"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35² — supravegherea organismelor de certificare </w:t>
            </w:r>
          </w:p>
          <w:p w14:paraId="2E7D505A"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Textul din proiect: „Agenția de Mediu supraveghează funcționarea organismelor de certificare… În cazul în care Agenția de Mediu constată probleme de neconformitate, aceasta informează schema voluntară în termen de 5 zile.” </w:t>
            </w:r>
          </w:p>
          <w:p w14:paraId="1880517B"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Obiecție: Supravegherea organismelor de certificare nu este atribuită Agenției prin Legea nr. 10/2016; este funcție de autoritate competentă (art. 17 din Reg. (UE) 2022/996). Constatarea neconformităților are natură de control de stat, ce revine IPM (HG nr. 548/2018). </w:t>
            </w:r>
          </w:p>
          <w:p w14:paraId="0DC2ABC9"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Propunere: înlocuirea sintagmei „Agenția de Mediu” cu „organul central de specialitate al administrației publice în domeniul energeticii”; acreditarea organismelor — de competența MOLDAC. Argument: În Germania, autoritatea competentă (BLE) supraveghează organismele de certificare și dispune inspecții; precedentul intern MRVA (2026).</w:t>
            </w:r>
          </w:p>
          <w:p w14:paraId="0044F82B"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35³ — intermedierea către Secretariatul Comunității Energetice </w:t>
            </w:r>
          </w:p>
          <w:p w14:paraId="70F13B4C"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Textul din proiect: „Operatorul economic poate solicita, prin intermediul Agenției de Mediu, examinarea de către Secretariatul Comunității Energetice…” </w:t>
            </w:r>
          </w:p>
          <w:p w14:paraId="717CBCDB"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Obiecție: Interfața cu Secretariatul aparține sectorului energetic; nu este atribuție a Agenției în Legea nr. 10/2016. </w:t>
            </w:r>
          </w:p>
          <w:p w14:paraId="59661B83"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Propunere: „…prin intermediul organului central de specialitate al administrației publice în domeniul energeticii…”. </w:t>
            </w:r>
          </w:p>
          <w:p w14:paraId="3D3A577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Argument: Coerent cu pct. 35.1, care rutează deja notificările prin acest organ; în România, autoritatea competentă poate solicita Comisiei examinarea unei surse (OUG 80/2018, art. 12 alin. (9)).</w:t>
            </w:r>
          </w:p>
          <w:p w14:paraId="023A5922"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41 — întocmirea și transmiterea informațiilor agregate </w:t>
            </w:r>
          </w:p>
          <w:p w14:paraId="137A2C3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lastRenderedPageBreak/>
              <w:t xml:space="preserve">Textul din proiect: „Agenția de Mediu întocmește informații privind criteriile de durabilitate… și le transmite, prin intermediul organul… energeticii, Secretariatului…, în formă agregată.” </w:t>
            </w:r>
          </w:p>
          <w:p w14:paraId="50FF230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Obiecție: Transmiterea agregată către Secretariat este funcție a autorității competente; Agenția deține datele (art. 26² alin. (5)), dar nu este organul de raportare externă. </w:t>
            </w:r>
          </w:p>
          <w:p w14:paraId="66EFCDB5"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Propunere: „Organul central de specialitate al administrației publice în domeniul energeticii întocmește și transmite Secretariatului Comunității Energetice, în formă agregată, informațiile privind criteriile de durabilitate. Agenția de Mediu îi furnizează datele de mediu pe care le deține în temeiul art. 26² din Legea nr. 10/2016.” </w:t>
            </w:r>
          </w:p>
          <w:p w14:paraId="18B396DC"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Argument: În România, autoritatea competentă (Ministerul Energiei) transmite agregat Comisiei (OUG 80/2018, art. 12 alin. (7)); se păstrează rolul legal al Agenției de deținător de date.</w:t>
            </w:r>
          </w:p>
          <w:p w14:paraId="3CAF444C"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Anexa nr. 4 (Orientări privind verificarea)</w:t>
            </w:r>
          </w:p>
          <w:p w14:paraId="2ADBF14D"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37 — solicitarea de informații auditate (recoltare, nivel național) </w:t>
            </w:r>
          </w:p>
          <w:p w14:paraId="52C4DAB5"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Textul din proiect: „Agenția de mediu solicită operatorilor economici să furnizeze informații auditate care să stabilească respectarea criteriilor de recoltare…” â</w:t>
            </w:r>
          </w:p>
          <w:p w14:paraId="65073362"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Obiecție: Impunerea de obligații operatorilor este funcție de autoritate competentă; nu este atribuită Agenției prin Legea nr. 10/2016. (Se corectează și scrierea „Agenția de mediu”.) </w:t>
            </w:r>
          </w:p>
          <w:p w14:paraId="604B2A70"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Propunere: înlocuirea „Agenția de mediu” cu „organul central de specialitate al administrației publice în domeniul energeticii”. </w:t>
            </w:r>
          </w:p>
          <w:p w14:paraId="3EA803D9"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Argument: Reg. (UE) 2022/996; modelul României.</w:t>
            </w:r>
          </w:p>
          <w:p w14:paraId="4EA86AA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37, subpct. 3.4.2 — furnizarea datelor de mediu specifice sitului (se păstrează la Agenție) </w:t>
            </w:r>
          </w:p>
          <w:p w14:paraId="2E108C2B"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Textul din proiect: „…Agenția de Mediu întreprinde măsurile necesare pentru a furniza date privind caracteristicile de mediu specifice sitului.” </w:t>
            </w:r>
          </w:p>
          <w:p w14:paraId="4BDE1EFE"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Poziție: Se păstrează la Agenția de Mediu — funcție cu temei în art. 26² alin. (5) din Legea nr. 10/2016 și în mandatul Agenției (deține inventarul GES-LULUCF — HG nr. 1277/2018). Propunere de precizare: „Agenția de Mediu, în cooperare cu Agenția „Moldsilva” și cu Agenția Relații </w:t>
            </w:r>
            <w:r w:rsidRPr="0004558B">
              <w:rPr>
                <w:rFonts w:ascii="Times New Roman" w:hAnsi="Times New Roman"/>
                <w:sz w:val="24"/>
                <w:szCs w:val="24"/>
                <w:lang w:val="ro-MD"/>
              </w:rPr>
              <w:lastRenderedPageBreak/>
              <w:t xml:space="preserve">Funciare și Cadastru, pune la dispoziția operatorilor economici datele de mediu de referință specifice sitului, în limita datelor pe care le deține.” </w:t>
            </w:r>
          </w:p>
          <w:p w14:paraId="2357DA2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Argument: Formularea „întreprinde măsurile necesare” se delimitează ca obiect, pentru a fi executabilă.</w:t>
            </w:r>
          </w:p>
          <w:p w14:paraId="7C58E8E0"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39 (Anexa 4) — baza de date publică (se păstrează la Agenție, condiționat) </w:t>
            </w:r>
          </w:p>
          <w:p w14:paraId="79EAC9FD"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Textul din proiect: „…Agenția de Mediu întreprinde măsurile necesare pentru instituirea unei baze de date publice cu informații actualizate…” </w:t>
            </w:r>
          </w:p>
          <w:p w14:paraId="3F53EF6A"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Poziție: Componenta de date de mediu ține de mandatul Agenției; obligația trebuie delimitată și condiționată de finanțare. </w:t>
            </w:r>
          </w:p>
          <w:p w14:paraId="12147CC5"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Propunere: „Agenția de Mediu, în cooperare cu Agenția „Moldsilva” și cu Agenția Relații Funciare și Cadastru, facilitează accesul operatorilor economici la datele de referință de mediu, spațiale și la inventarele publice pe care le deține. Instituirea unei baze de date dedicate se realizează în funcție de evaluarea impactului bugetar.”</w:t>
            </w:r>
          </w:p>
          <w:p w14:paraId="37033B14"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41 (Anexa 4) — solicitarea de informații (recoltare, zona de aprovizionare) </w:t>
            </w:r>
          </w:p>
          <w:p w14:paraId="11FE39DF"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Obiecție și propunere: idem pct. 37 — înlocuirea „Agenția de Mediu” cu „organul central… energeticii”.</w:t>
            </w:r>
          </w:p>
          <w:p w14:paraId="60FEDE0D"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42 (Anexa 4) — criteriile LULUCF la nivel național </w:t>
            </w:r>
          </w:p>
          <w:p w14:paraId="2C9981D9"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Textul din proiect: „Agenția de Mediu impune operatorilor economici să furnizeze informații auditate care să confirme conformitatea cu criteriile LULUCF…” </w:t>
            </w:r>
          </w:p>
          <w:p w14:paraId="1817359B"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Obiecție: Impunerea de obligații operatorilor = autoritate competentă; datele LULUCF de referință provin din inventarul administrat de Agenție. </w:t>
            </w:r>
          </w:p>
          <w:p w14:paraId="4D7031A2"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Propunere: „Organul central de specialitate al administrației publice în domeniul energeticii impune operatorilor economici să furnizeze informații auditate… Agenția de Mediu pune la dispoziție datele LULUCF de referință pe care le deține.”</w:t>
            </w:r>
          </w:p>
          <w:p w14:paraId="642CE1C6"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43 (Anexa 4) — furnizarea informațiilor LULUCF actualizate (se păstrează la Agenție) </w:t>
            </w:r>
          </w:p>
          <w:p w14:paraId="28DE658A"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lastRenderedPageBreak/>
              <w:t>Poziție: Se menține la Agenția de Mediu — furnizarea de date LULUCF de referință ține de mandat (inventarul GES-LULUCF, HG nr. 1277/2018). Se recomandă precizarea termenului de răspuns.</w:t>
            </w:r>
          </w:p>
          <w:p w14:paraId="76EA153A"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44 (Anexa 4) — criteriile LULUCF la nivelul zonei de aprovizionare </w:t>
            </w:r>
          </w:p>
          <w:p w14:paraId="0D3D57D2"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Obiecție și propunere: idem pct. 42 — înlocuirea „Agenția de Mediu” cu „organul central… energeticii”; datele de referință rămân la Agenție.</w:t>
            </w:r>
          </w:p>
          <w:p w14:paraId="055ECF9C"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45 (Anexa 4) — asigurarea calității informațiilor și a auditului </w:t>
            </w:r>
          </w:p>
          <w:p w14:paraId="214F4F9E"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Textul din proiect: „Agenția de Mediu întreprinde măsurile necesare pentru a se asigura că operatorii economici: [informații fiabile; bilanț masic; audit de terță parte; transparență; audituri periodice].” </w:t>
            </w:r>
          </w:p>
          <w:p w14:paraId="7AAE1FDC"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Obiecție: Asigurarea conformității este funcție de autoritate competentă; art. 26² alin. (4) lit. b) prevede că auditul este realizat de o evaluare independentă. </w:t>
            </w:r>
          </w:p>
          <w:p w14:paraId="0509355C"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Propunere: „Organul central de specialitate al administrației publice în domeniul energeticii întreprinde măsurile necesare pentru a se asigura că operatorii economici […]. Auditul de terță parte se efectuează de organisme de certificare acreditate de MOLDAC în sensul Regulamentului (CE) nr. 765/2008.” </w:t>
            </w:r>
          </w:p>
          <w:p w14:paraId="4D50B668"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Argument: Art. 11 din Reg. (UE) 2022/996; precedentul MRVA (verificatori independenți acreditați).</w:t>
            </w:r>
          </w:p>
          <w:p w14:paraId="2C727F29"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Pct. 46 (Anexa 4) — verificarea exactității și protecția împotriva fraudei </w:t>
            </w:r>
          </w:p>
          <w:p w14:paraId="3F851765"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Obiecție și propunere: idem pct. 45 — înlocuirea „Agenția de Mediu” cu „organul central… energeticii”, auditul rămânând de competența organismelor acreditate.</w:t>
            </w:r>
          </w:p>
          <w:p w14:paraId="6FDF4CD0" w14:textId="77777777" w:rsidR="0004558B" w:rsidRP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IV. Concluzie</w:t>
            </w:r>
          </w:p>
          <w:p w14:paraId="1ADBFDDB" w14:textId="7999B9C9" w:rsidR="0004558B" w:rsidRDefault="0004558B" w:rsidP="0004558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4558B">
              <w:rPr>
                <w:rFonts w:ascii="Times New Roman" w:hAnsi="Times New Roman"/>
                <w:sz w:val="24"/>
                <w:szCs w:val="24"/>
                <w:lang w:val="ro-MD"/>
              </w:rPr>
              <w:t xml:space="preserve">Agenția de Mediu avizează proiectul cu obiecții și propuneri, condiționat de operarea reformulărilor de la secțiunea III. În esență: se păstrează la Agenția de Mediu funcțiile cu temei în art. 26² din Legea nr. 10/2016 (primirea și deținerea informațiilor de durabilitate și a datelor de mediu, furnizarea datelor de referință de mediu și LULUCF), iar funcțiile de verificare, supraveghere și control se reamplasează la organul central în domeniul energeticii (autoritate competentă), la MOLDAC (acreditare) și la Inspectoratul pentru Protecția Mediului (control). Se recomandă </w:t>
            </w:r>
            <w:r w:rsidRPr="0004558B">
              <w:rPr>
                <w:rFonts w:ascii="Times New Roman" w:hAnsi="Times New Roman"/>
                <w:sz w:val="24"/>
                <w:szCs w:val="24"/>
                <w:lang w:val="ro-MD"/>
              </w:rPr>
              <w:lastRenderedPageBreak/>
              <w:t>totodată desemnarea expresă, în Legea nr. 10/2016, a autorității competente, după modelul României.</w:t>
            </w:r>
          </w:p>
          <w:p w14:paraId="62283F20"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MD"/>
              </w:rPr>
            </w:pPr>
            <w:r w:rsidRPr="000C45BE">
              <w:rPr>
                <w:rFonts w:ascii="Times New Roman" w:hAnsi="Times New Roman"/>
                <w:b/>
                <w:bCs/>
                <w:sz w:val="24"/>
                <w:szCs w:val="24"/>
                <w:lang w:val="ro-MD"/>
              </w:rPr>
              <w:t>AVIZ</w:t>
            </w:r>
          </w:p>
          <w:p w14:paraId="59B47CCC" w14:textId="1E7BDA8E" w:rsidR="000C45BE" w:rsidRPr="000C45BE" w:rsidRDefault="000C45BE" w:rsidP="00C70CA1">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MD"/>
              </w:rPr>
            </w:pPr>
            <w:r w:rsidRPr="000C45BE">
              <w:rPr>
                <w:rFonts w:ascii="Times New Roman" w:hAnsi="Times New Roman"/>
                <w:b/>
                <w:bCs/>
                <w:sz w:val="24"/>
                <w:szCs w:val="24"/>
                <w:lang w:val="ro-MD"/>
              </w:rPr>
              <w:t>la proiectul de hotărâre a Guvernului pentru aprobarea Regulamentului cu privire la normele de verificare a biocarburanților, biolichidelor și combustibililor din biomasă și recunoașterea schemelor voluntare</w:t>
            </w:r>
          </w:p>
          <w:p w14:paraId="7C2475FF"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I. Temeiul și obiectul avizului</w:t>
            </w:r>
          </w:p>
          <w:p w14:paraId="1DCFBA50"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În temeiul Legii nr. 100/2017 cu privire la actele normative și al Regulamentului de organizare și funcționare a Agenției de Mediu (aprobat prin HG nr. 549/2018), examinând proiectul transmis spre avizare, Agenția de Mediu comunică următoarele observații și propuneri, formulate în scop constructiv.</w:t>
            </w:r>
          </w:p>
          <w:p w14:paraId="452B6082"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II. Observații de ordin general</w:t>
            </w:r>
          </w:p>
          <w:p w14:paraId="2C224613"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Observațiile de principiu formulate la avizul aferent proiectului de modificare a HG nr. 53/2025 se aplică integral și prezentului proiect, în special: </w:t>
            </w:r>
          </w:p>
          <w:p w14:paraId="39E7217E"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w:t>
            </w:r>
            <w:r w:rsidRPr="000C45BE">
              <w:rPr>
                <w:rFonts w:ascii="Times New Roman" w:hAnsi="Times New Roman"/>
                <w:sz w:val="24"/>
                <w:szCs w:val="24"/>
                <w:lang w:val="ro-MD"/>
              </w:rPr>
              <w:tab/>
              <w:t xml:space="preserve">rolul Agenției de Mediu se limitează, potrivit art. 26² alin. (4) – (5) din Legea nr. 10/2016, la primirea și deținerea informațiilor de durabilitate și a datelor de mediu; legea nu atribuie Agenției funcții de verificare, supraveghere sau control; </w:t>
            </w:r>
          </w:p>
          <w:p w14:paraId="72FCA966"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w:t>
            </w:r>
            <w:r w:rsidRPr="000C45BE">
              <w:rPr>
                <w:rFonts w:ascii="Times New Roman" w:hAnsi="Times New Roman"/>
                <w:sz w:val="24"/>
                <w:szCs w:val="24"/>
                <w:lang w:val="ro-MD"/>
              </w:rPr>
              <w:tab/>
              <w:t xml:space="preserve">funcțiile operaționale sunt atribuite de lege altor autorități: ANRE (registru, monitorizare, sancțiuni — art. 14, art. 8 alin. (7)), ministerul (monitorizarea procedurii de verificare — art. 12), organismul național de acreditare/MOLDAC (art. 13 alin. (2)); </w:t>
            </w:r>
          </w:p>
          <w:p w14:paraId="61FBAAF5"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w:t>
            </w:r>
            <w:r w:rsidRPr="000C45BE">
              <w:rPr>
                <w:rFonts w:ascii="Times New Roman" w:hAnsi="Times New Roman"/>
                <w:sz w:val="24"/>
                <w:szCs w:val="24"/>
                <w:lang w:val="ro-MD"/>
              </w:rPr>
              <w:tab/>
              <w:t xml:space="preserve">controlul de stat revine Inspectoratului pentru Protecția Mediului (HG nr. 548/2018), model confirmat de Guvern prin sistemul MRVA (2026); </w:t>
            </w:r>
          </w:p>
          <w:p w14:paraId="0EDA716B"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w:t>
            </w:r>
            <w:r w:rsidRPr="000C45BE">
              <w:rPr>
                <w:rFonts w:ascii="Times New Roman" w:hAnsi="Times New Roman"/>
                <w:sz w:val="24"/>
                <w:szCs w:val="24"/>
                <w:lang w:val="ro-MD"/>
              </w:rPr>
              <w:tab/>
              <w:t>modelul european (România — Ministerul Energiei ca autoritate competentă; Regulamentul (UE) 2022/996).</w:t>
            </w:r>
          </w:p>
          <w:p w14:paraId="6D3DC560"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Observație suplimentară — dublă reglementare. Dispozițiile Regulamentului privind criteriile de recoltare și LULUCF care nominalizează Agenția de Mediu (pct. 41, 44, 45, 47 și 48) reiau aceleași </w:t>
            </w:r>
            <w:r w:rsidRPr="000C45BE">
              <w:rPr>
                <w:rFonts w:ascii="Times New Roman" w:hAnsi="Times New Roman"/>
                <w:sz w:val="24"/>
                <w:szCs w:val="24"/>
                <w:lang w:val="ro-MD"/>
              </w:rPr>
              <w:lastRenderedPageBreak/>
              <w:t xml:space="preserve">atribuții ca și Anexa nr. 4 la HG nr. 53/2025 (pct. 37, 41–46). Se solicită eliminarea suprapunerii — reglementarea o singură dată — și aplicarea, în ambele acte, a acelorași reformulări: </w:t>
            </w:r>
          </w:p>
          <w:p w14:paraId="75C9D3DB"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w:t>
            </w:r>
            <w:r w:rsidRPr="000C45BE">
              <w:rPr>
                <w:rFonts w:ascii="Times New Roman" w:hAnsi="Times New Roman"/>
                <w:sz w:val="24"/>
                <w:szCs w:val="24"/>
                <w:lang w:val="ro-MD"/>
              </w:rPr>
              <w:tab/>
              <w:t>se reamplasează la organul central în domeniul energeticii pct. 44, 47 și 48 (impunerea de obligații operatorilor și asigurarea conformității), rămânând la Agenția de Mediu pct. 41 și 45 (furnizarea datelor de referință de mediu și LULUCF). A se vedea avizul aferent proiectului de modificare a HG nr. 53/2025.</w:t>
            </w:r>
          </w:p>
          <w:p w14:paraId="5AD16C9F"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III. Observații și propuneri pe puncte</w:t>
            </w:r>
          </w:p>
          <w:p w14:paraId="2F40F78A"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A. Modificările la HG nr. 53/2025 — direcție corectă, de extins</w:t>
            </w:r>
          </w:p>
          <w:p w14:paraId="6A65328F"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Pct. 15 și 16 — substituirea „Agenția de Mediu” → „autoritatea competentă relevantă”</w:t>
            </w:r>
          </w:p>
          <w:p w14:paraId="47519873"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Textul din proiect: la subpct. 20.1.3 și 20.2.3, „Agenția de Mediu” se substituie cu „autoritatea competentă relevantă”.</w:t>
            </w:r>
          </w:p>
          <w:p w14:paraId="20526153"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Poziție: Agenția de Mediu susține această modificare, care confirmă că nominalizarea Agenției nu este o cerință de transpunere.</w:t>
            </w:r>
          </w:p>
          <w:p w14:paraId="136C7610"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Propunere: extinderea aceleiași soluții la toate punctele care nominalizează Agenția și desemnarea, în Legea nr. 10/2016, a autorității competente în persoana Ministerului Energiei, pentru claritate și securitate juridică. </w:t>
            </w:r>
          </w:p>
          <w:p w14:paraId="42F9ED2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Argument: Regulamentul (UE) 2022/996 și Directiva (UE) 2018/2001 utilizează noțiunea de „autoritate competentă”, lăsând desemnarea la latitudinea statului.</w:t>
            </w:r>
          </w:p>
          <w:p w14:paraId="090C9504"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Notă: Punctele proiectului care inserează în Anexa nr. 1 la HG nr. 53/2025 dispozițiile pct. 35, 35², 35³ și 37 sunt tratate în avizul aferent proiectului de modificare a HG nr. 53/2025, ale cărui propuneri se aplică identic.</w:t>
            </w:r>
          </w:p>
          <w:p w14:paraId="42BD80B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B. Regulamentul de verificare — secțiunile de supraveghere</w:t>
            </w:r>
          </w:p>
          <w:p w14:paraId="7B0094AB"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55 — accesul la calculele emisiilor de GES </w:t>
            </w:r>
          </w:p>
          <w:p w14:paraId="6054654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Textul din proiect: „…schemele voluntare asigură acces la calculele efective ale emisiilor de GES… pentru Secretariatul Comunității Energetice, Agenția de Mediu și IP CNED.” </w:t>
            </w:r>
          </w:p>
          <w:p w14:paraId="20BEF425"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lastRenderedPageBreak/>
              <w:t>Obiecție: Accesul la datele de verificare revine autorității competente și operatorului registrului, nu Agenției de Mediu (rolul căreia, potrivit art. 26², este de destinatar al datelor de mediu, nu de verificator).</w:t>
            </w:r>
          </w:p>
          <w:p w14:paraId="58A8F99F"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Propunere: „…pentru Secretariatul Comunității Energetice, organul central de specialitate al administrației publice în domeniul energeticii și IP CNED.”</w:t>
            </w:r>
          </w:p>
          <w:p w14:paraId="657D1BDB"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61, 62 și 65 — determinarea pășunilor cu biodiversitate ridicată (se păstrează la Agenție) </w:t>
            </w:r>
          </w:p>
          <w:p w14:paraId="0BA28B43"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Textul din proiect: informații puse la dispoziție „de Agenția de Mediu”; teren „identificat ca fiind foarte bogat în biodiversitate de către Agenția de Mediu”; „permisiunea primită din partea Agenției de Mediu”. </w:t>
            </w:r>
          </w:p>
          <w:p w14:paraId="75C52FA0"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Poziție: Se păstrează la Agenția de Mediu — conservarea biodiversității și managementul ariilor naturale protejate țin de mandatul Agenției (HG nr. 549/2018). </w:t>
            </w:r>
          </w:p>
          <w:p w14:paraId="28C1065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Propunere de precizare: „Identificarea și, după caz, eliberarea permisiunii se realizează conform procedurii și regimului ariilor naturale protejate/biodiversității, prin actul administrativ prevăzut de legislația de mediu.” Argument: Se cere definirea procedurii și a tipului de act pentru „permisiune”, pentru ca obligația să fie executabilă.</w:t>
            </w:r>
          </w:p>
          <w:p w14:paraId="101DCD5E"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Titlul Secțiunii a 8-a și pct. 67 — supravegherea și accesul la sedii </w:t>
            </w:r>
          </w:p>
          <w:p w14:paraId="625C4FB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Textul din proiect: „Supravegherea de către Agenția de Mediu și IP CNED”; schemele impun cooperarea cu „IP CNED, Agenția de Mediu și Secretariatul…“, inclusiv „accesul la sediile operatorilor economici”. </w:t>
            </w:r>
          </w:p>
          <w:p w14:paraId="0A6BCF2B"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Obiecție: Supravegherea organismelor de certificare este funcție de autoritate competentă; accesul la sedii și controlul de stat revin, prin HG nr. 548/2018, Inspectoratului pentru Protecția Mediului. </w:t>
            </w:r>
          </w:p>
          <w:p w14:paraId="64F75F5D"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Propunere: titlu: „Supravegherea de către organul central de specialitate al administrației publice în domeniul energeticii și IP CNED”; iar accesul la sedii: „…inclusiv acordarea accesului la sediile operatorilor economici, la solicitarea Inspectoratului pentru Protecția Mediului.” Argument: Precedentul MRVA (2026) — Agenția implementează, Inspectoratul controlează.</w:t>
            </w:r>
          </w:p>
          <w:p w14:paraId="01125C37"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67 subpct. 1 — informații pentru supravegherea organismelor </w:t>
            </w:r>
          </w:p>
          <w:p w14:paraId="38684CE6"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lastRenderedPageBreak/>
              <w:t>Obiecție și propunere: înlocuirea „Agenției de Mediu” cu „organului central de specialitate al administrației publice în domeniul energeticii” — supravegherea organismelor = autoritate competentă (art. 17 din Reg. (UE) 2022/996).</w:t>
            </w:r>
          </w:p>
          <w:p w14:paraId="145ADFC3"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68 — procedura de înregistrare pentru supraveghere </w:t>
            </w:r>
          </w:p>
          <w:p w14:paraId="7D46F05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Textul din proiect: „…Agenția de Mediu stabilește procedura care permite organismelor de certificare… să se înregistreze pentru supraveghere…” </w:t>
            </w:r>
          </w:p>
          <w:p w14:paraId="2580064A"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Obiecție: Instituirea procedurilor de înregistrare pentru supraveghere revine statului prin autoritatea competentă (art. 17 alin. (2) din Reg. (UE) 2022/996); nu este atribuție a Agenției în Legea nr. 10/2016. </w:t>
            </w:r>
          </w:p>
          <w:p w14:paraId="3B7E0AF1"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Propunere: înlocuirea „Agenția de Mediu” cu „organul central de specialitate al administrației publice în domeniul energeticii”.</w:t>
            </w:r>
          </w:p>
          <w:p w14:paraId="6D769305"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69 — schimbul de informații și cadrul comun de supraveghere </w:t>
            </w:r>
          </w:p>
          <w:p w14:paraId="78F30DFD"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Obiecție și propunere: înlocuirea „Agenția de Mediu” cu „organul central… energeticii” — schimbul de informații privind supravegherea revine autorității competente (art. 17 alin. (3) din Reg. (UE) 2022/996).</w:t>
            </w:r>
          </w:p>
          <w:p w14:paraId="1F6CA7C3"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71 — cadre de cooperare cu țări terțe </w:t>
            </w:r>
          </w:p>
          <w:p w14:paraId="266C9944"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Textul din proiect: „Agenția de Mediu stabilește, după caz, cadre de cooperare cu țările terțe pentru supravegherea organismelor de certificare…” </w:t>
            </w:r>
          </w:p>
          <w:p w14:paraId="2F408CBD"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Obiecție: Cooperarea externă cu țări terțe excedează rolul unei autorități executive de mediu și are natură de nivel ministerial. </w:t>
            </w:r>
          </w:p>
          <w:p w14:paraId="5A63E9A1"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Propunere: înlocuirea „Agenția de Mediu” cu „organul central de specialitate al administrației publice în domeniul energeticii”. </w:t>
            </w:r>
          </w:p>
          <w:p w14:paraId="46069D74"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Argument: În Germania, lista țărilor terțe cu drept de inspecție este gestionată de autoritatea competentă (BLE), sub minister.</w:t>
            </w:r>
          </w:p>
          <w:p w14:paraId="06D34E6D"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72 — constatarea nerespectării de către organismele de certificare </w:t>
            </w:r>
          </w:p>
          <w:p w14:paraId="7374528F"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Textul din proiect: „În cazul în care Agenția de Mediu constată nerespectarea prevederilor… de către un anumit organism de certificare [din UE/țară terță] acesta comunică…” Obiecție: Constatarea neconformității organismelor de certificare este parte a supravegherii exercitate de autoritatea competentă, în coordonare cu organismul de </w:t>
            </w:r>
            <w:r w:rsidRPr="000C45BE">
              <w:rPr>
                <w:rFonts w:ascii="Times New Roman" w:hAnsi="Times New Roman"/>
                <w:sz w:val="24"/>
                <w:szCs w:val="24"/>
                <w:lang w:val="ro-MD"/>
              </w:rPr>
              <w:lastRenderedPageBreak/>
              <w:t xml:space="preserve">acreditare (MOLDAC) și, la nivel intern, cu Inspectoratul pentru Protecția Mediului. </w:t>
            </w:r>
          </w:p>
          <w:p w14:paraId="5090232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Propunere: înlocuirea „Agenția de Mediu” cu „organul central de specialitate al administrației publice în domeniul energeticii”. </w:t>
            </w:r>
          </w:p>
          <w:p w14:paraId="44A22620"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Argument: În Germania, autoritatea competentă (BLE) a dispus inspecții soldate cu retragerea unui certificat.</w:t>
            </w:r>
          </w:p>
          <w:p w14:paraId="1B9D7CFC"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Pct. 79 subpct. 9 — verificarea bilanțului masic pentru producția locală </w:t>
            </w:r>
          </w:p>
          <w:p w14:paraId="03D07D7B"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Textul din proiect: „Pentru biocarburanți și biolichide produși sau amestecați local, Agenția de Mediu verifică veridicitatea acestor informații…” </w:t>
            </w:r>
          </w:p>
          <w:p w14:paraId="706A986B"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Obiecție: Verificarea datelor de bilanț masic revine autorității competente/operatorului registrului, nu Agenției de Mediu. </w:t>
            </w:r>
          </w:p>
          <w:p w14:paraId="44663EAD"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 xml:space="preserve">Propunere: „…organul central de specialitate al administrației publice în domeniul energeticii, prin intermediul IP CNED, verifică veridicitatea acestor informații…”. </w:t>
            </w:r>
          </w:p>
          <w:p w14:paraId="217F4BCA"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Argument: Coerență internă — subpct. 8 al aceluiași pct. 79 atribuie deja o funcție conexă (retragerea din bilanțul masic) Agenției Naționale pentru Reglementare în Energetică; verificarea aferentă ține de sectorul energetic.</w:t>
            </w:r>
          </w:p>
          <w:p w14:paraId="2B8B4F2A" w14:textId="77777777" w:rsidR="000C45BE" w:rsidRPr="000C45BE"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IV. Concluzie</w:t>
            </w:r>
          </w:p>
          <w:p w14:paraId="5F60345D" w14:textId="23DA5EF3" w:rsidR="0004558B" w:rsidRPr="0004558B" w:rsidRDefault="000C45BE" w:rsidP="000C45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C45BE">
              <w:rPr>
                <w:rFonts w:ascii="Times New Roman" w:hAnsi="Times New Roman"/>
                <w:sz w:val="24"/>
                <w:szCs w:val="24"/>
                <w:lang w:val="ro-MD"/>
              </w:rPr>
              <w:t>Agenția de Mediu avizează proiectul cu obiecții și propuneri, condiționat de operarea reformulărilor de la secțiunea III și de eliminarea dublei reglementări față de Anexa nr. 4 la HG nr. 53/2025. Se păstrează la Agenția de Mediu determinările de biodiversitate (pct. 61, 62, 65) și rolul de deținător al datelor de mediu (temei — art. 26² din Legea nr. 10/2016); funcțiile de supraveghere, verificare și control se reamplasează la organul central în domeniul energeticii (autoritate competentă), la MOLDAC (acreditare) și la Inspectoratul pentru Protecția Mediului (control). Se reiterează recomandarea desemnării exprese, în Legea nr. 10/2016, a autorității competente, după modelul României.</w:t>
            </w:r>
          </w:p>
        </w:tc>
        <w:tc>
          <w:tcPr>
            <w:tcW w:w="3681" w:type="dxa"/>
            <w:tcMar>
              <w:top w:w="0" w:type="dxa"/>
              <w:left w:w="108" w:type="dxa"/>
              <w:bottom w:w="0" w:type="dxa"/>
              <w:right w:w="108" w:type="dxa"/>
            </w:tcMar>
          </w:tcPr>
          <w:p w14:paraId="7DB6B146" w14:textId="55C074D5" w:rsidR="004112BE" w:rsidRPr="008D0F75" w:rsidRDefault="004112BE" w:rsidP="004112BE">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Parțial se acceptă.</w:t>
            </w:r>
          </w:p>
          <w:p w14:paraId="64BBB4E7" w14:textId="77777777" w:rsidR="004112BE" w:rsidRPr="008D0F75" w:rsidRDefault="004112BE" w:rsidP="004112BE">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p w14:paraId="190D5036" w14:textId="77777777" w:rsidR="00A859F0" w:rsidRPr="008D0F75" w:rsidRDefault="004112BE" w:rsidP="004112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fr-FR"/>
              </w:rPr>
            </w:pPr>
            <w:r w:rsidRPr="008D0F75">
              <w:rPr>
                <w:rFonts w:ascii="Times New Roman" w:hAnsi="Times New Roman"/>
                <w:sz w:val="24"/>
                <w:szCs w:val="24"/>
                <w:lang w:val="fr-FR"/>
              </w:rPr>
              <w:t>Propunerile au fost înaintate în cadrul procesului de expertizare.</w:t>
            </w:r>
          </w:p>
          <w:p w14:paraId="7C76DAB3" w14:textId="77777777" w:rsidR="00F92939" w:rsidRPr="008D0F75" w:rsidRDefault="00F92939" w:rsidP="004112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fr-FR"/>
              </w:rPr>
            </w:pPr>
          </w:p>
          <w:p w14:paraId="08C5B57F" w14:textId="5743538E" w:rsidR="004112BE" w:rsidRPr="008D0F75" w:rsidRDefault="009C55E3" w:rsidP="004112B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fr-FR"/>
              </w:rPr>
            </w:pPr>
            <w:r>
              <w:rPr>
                <w:rFonts w:ascii="Times New Roman" w:hAnsi="Times New Roman"/>
                <w:sz w:val="24"/>
                <w:szCs w:val="24"/>
                <w:lang w:val="fr-FR"/>
              </w:rPr>
              <w:t>Prevederile cu privire la r</w:t>
            </w:r>
            <w:r w:rsidR="00F92939" w:rsidRPr="008D0F75">
              <w:rPr>
                <w:rFonts w:ascii="Times New Roman" w:hAnsi="Times New Roman"/>
                <w:sz w:val="24"/>
                <w:szCs w:val="24"/>
                <w:lang w:val="fr-FR"/>
              </w:rPr>
              <w:t>esponsabilita</w:t>
            </w:r>
            <w:r>
              <w:rPr>
                <w:rFonts w:ascii="Times New Roman" w:hAnsi="Times New Roman"/>
                <w:sz w:val="24"/>
                <w:szCs w:val="24"/>
                <w:lang w:val="fr-FR"/>
              </w:rPr>
              <w:t>ț</w:t>
            </w:r>
            <w:r w:rsidR="00F92939" w:rsidRPr="008D0F75">
              <w:rPr>
                <w:rFonts w:ascii="Times New Roman" w:hAnsi="Times New Roman"/>
                <w:sz w:val="24"/>
                <w:szCs w:val="24"/>
                <w:lang w:val="fr-FR"/>
              </w:rPr>
              <w:t>ile Agen</w:t>
            </w:r>
            <w:r w:rsidR="00EC56DD">
              <w:rPr>
                <w:rFonts w:ascii="Times New Roman" w:hAnsi="Times New Roman"/>
                <w:sz w:val="24"/>
                <w:szCs w:val="24"/>
              </w:rPr>
              <w:t>ț</w:t>
            </w:r>
            <w:r w:rsidR="00F92939" w:rsidRPr="008D0F75">
              <w:rPr>
                <w:rFonts w:ascii="Times New Roman" w:hAnsi="Times New Roman"/>
                <w:sz w:val="24"/>
                <w:szCs w:val="24"/>
                <w:lang w:val="fr-FR"/>
              </w:rPr>
              <w:t xml:space="preserve">iei de Mediu au fost </w:t>
            </w:r>
            <w:r w:rsidR="00504401" w:rsidRPr="008D0F75">
              <w:rPr>
                <w:rFonts w:ascii="Times New Roman" w:hAnsi="Times New Roman"/>
                <w:sz w:val="24"/>
                <w:szCs w:val="24"/>
                <w:lang w:val="fr-FR"/>
              </w:rPr>
              <w:t>modificate.</w:t>
            </w:r>
          </w:p>
        </w:tc>
      </w:tr>
      <w:tr w:rsidR="00A859F0" w:rsidRPr="008D0F75" w14:paraId="289EF268" w14:textId="77777777" w:rsidTr="00BF0155">
        <w:tc>
          <w:tcPr>
            <w:tcW w:w="14024" w:type="dxa"/>
            <w:gridSpan w:val="4"/>
            <w:tcMar>
              <w:top w:w="0" w:type="dxa"/>
              <w:left w:w="108" w:type="dxa"/>
              <w:bottom w:w="0" w:type="dxa"/>
              <w:right w:w="108" w:type="dxa"/>
            </w:tcMar>
          </w:tcPr>
          <w:p w14:paraId="61F25475"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eastAsia="Times New Roman" w:hAnsi="Times New Roman"/>
                <w:sz w:val="24"/>
                <w:szCs w:val="24"/>
              </w:rPr>
              <w:lastRenderedPageBreak/>
              <w:t>Expertizare</w:t>
            </w:r>
          </w:p>
        </w:tc>
      </w:tr>
      <w:tr w:rsidR="00A859F0" w:rsidRPr="008D0F75" w14:paraId="5E7A42E1" w14:textId="77777777" w:rsidTr="00BF0155">
        <w:tc>
          <w:tcPr>
            <w:tcW w:w="2405" w:type="dxa"/>
            <w:tcMar>
              <w:top w:w="0" w:type="dxa"/>
              <w:left w:w="108" w:type="dxa"/>
              <w:bottom w:w="0" w:type="dxa"/>
              <w:right w:w="108" w:type="dxa"/>
            </w:tcMar>
          </w:tcPr>
          <w:p w14:paraId="7E2EAC6F" w14:textId="26AEEDB8" w:rsidR="00A859F0" w:rsidRPr="008D0F75" w:rsidRDefault="00A859F0" w:rsidP="00A859F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r w:rsidRPr="008D0F75">
              <w:rPr>
                <w:rFonts w:ascii="Times New Roman" w:hAnsi="Times New Roman"/>
                <w:sz w:val="24"/>
                <w:szCs w:val="24"/>
              </w:rPr>
              <w:t xml:space="preserve">Centrul Național Anticorupție </w:t>
            </w:r>
          </w:p>
          <w:p w14:paraId="4EDF0B6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rPr>
            </w:pPr>
          </w:p>
          <w:p w14:paraId="562EF58F" w14:textId="6F1C4794" w:rsidR="00A859F0" w:rsidRPr="008D0F75" w:rsidRDefault="00A859F0" w:rsidP="00A859F0">
            <w:pPr>
              <w:pBdr>
                <w:top w:val="none" w:sz="4" w:space="0" w:color="000000"/>
                <w:left w:val="none" w:sz="4" w:space="0" w:color="000000"/>
                <w:bottom w:val="none" w:sz="4" w:space="0" w:color="000000"/>
                <w:right w:val="none" w:sz="4" w:space="0" w:color="000000"/>
              </w:pBdr>
              <w:ind w:firstLine="0"/>
              <w:jc w:val="left"/>
              <w:rPr>
                <w:rFonts w:ascii="Times New Roman" w:hAnsi="Times New Roman"/>
                <w:i/>
                <w:iCs/>
                <w:sz w:val="24"/>
                <w:szCs w:val="24"/>
              </w:rPr>
            </w:pPr>
            <w:r w:rsidRPr="008D0F75">
              <w:rPr>
                <w:rFonts w:ascii="Times New Roman" w:hAnsi="Times New Roman"/>
                <w:i/>
                <w:iCs/>
                <w:sz w:val="24"/>
                <w:szCs w:val="24"/>
              </w:rPr>
              <w:t>Nr. EHG26/11564 din 11.06.2026</w:t>
            </w:r>
          </w:p>
        </w:tc>
        <w:tc>
          <w:tcPr>
            <w:tcW w:w="815" w:type="dxa"/>
            <w:tcMar>
              <w:top w:w="0" w:type="dxa"/>
              <w:left w:w="108" w:type="dxa"/>
              <w:bottom w:w="0" w:type="dxa"/>
              <w:right w:w="108" w:type="dxa"/>
            </w:tcMar>
          </w:tcPr>
          <w:p w14:paraId="628F4710" w14:textId="61AB44D7" w:rsidR="00A859F0" w:rsidRPr="008D0F75" w:rsidRDefault="00A859F0" w:rsidP="00A859F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lastRenderedPageBreak/>
              <w:t>2</w:t>
            </w:r>
            <w:r w:rsidR="00FF23DD">
              <w:rPr>
                <w:rFonts w:ascii="Times New Roman" w:hAnsi="Times New Roman"/>
                <w:sz w:val="24"/>
                <w:szCs w:val="24"/>
              </w:rPr>
              <w:t>5</w:t>
            </w:r>
            <w:r w:rsidRPr="008D0F75">
              <w:rPr>
                <w:rFonts w:ascii="Times New Roman" w:hAnsi="Times New Roman"/>
                <w:sz w:val="24"/>
                <w:szCs w:val="24"/>
              </w:rPr>
              <w:t>.</w:t>
            </w:r>
          </w:p>
        </w:tc>
        <w:tc>
          <w:tcPr>
            <w:tcW w:w="7123" w:type="dxa"/>
            <w:tcMar>
              <w:top w:w="0" w:type="dxa"/>
              <w:left w:w="108" w:type="dxa"/>
              <w:bottom w:w="0" w:type="dxa"/>
              <w:right w:w="108" w:type="dxa"/>
            </w:tcMar>
          </w:tcPr>
          <w:p w14:paraId="62551E0D" w14:textId="03BE345A"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III. Concluzia expertizei</w:t>
            </w:r>
          </w:p>
          <w:p w14:paraId="14A1B6DF" w14:textId="71519885"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xml:space="preserve">În nota de fundamentare se menționează că: „Elaborarea proiectului hotărârii Guvernului privind aprobarea Regulamentului cu privire la normele de verificare a biocarburanților, biolichidelor și combustibililor din biomasă, precum și recunoașterea schemelor voluntare și modificarea unor acte normative are la bază necesitatea creării unui cadru normativ armonizat pentru verificarea conformității biocarburanților, biolichidelor și combustibililor din biomasă cu criteriile de durabilitate. </w:t>
            </w:r>
          </w:p>
          <w:p w14:paraId="44563BF6" w14:textId="3E5A3425"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Această intervenție este esențială pentru a asigura că biocarburanților, biolichidelor și combustibililor din biomasă contabilizați în îndeplinirea țintelor SER-T contribuie efectiv la reducerea emisiilor de gaze</w:t>
            </w:r>
          </w:p>
          <w:p w14:paraId="789A2E75"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cu efect de seră”.</w:t>
            </w:r>
          </w:p>
          <w:p w14:paraId="04DFFA16" w14:textId="35B0EE20"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Proiectul reglementează în mod indirect activitatea entităților publice și a agenților publici, care vor fi responsabili, conform cadrului legal aplicabil acestora și cu competențele atribuite, de implementare a normelor din conținutul proiectului.</w:t>
            </w:r>
          </w:p>
          <w:p w14:paraId="06FBE5D6" w14:textId="44052302"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Proiectul promovează interesul public manifestat prin transpunerea actelor comunitare în domeniul reglementat de normele proiectului.</w:t>
            </w:r>
          </w:p>
          <w:p w14:paraId="2DA62208" w14:textId="08ACF6D2"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final, menționăm că în redacția propusă, proiectul nu conține factori și riscuri de corupție.</w:t>
            </w:r>
          </w:p>
        </w:tc>
        <w:tc>
          <w:tcPr>
            <w:tcW w:w="3681" w:type="dxa"/>
            <w:tcMar>
              <w:top w:w="0" w:type="dxa"/>
              <w:left w:w="108" w:type="dxa"/>
              <w:bottom w:w="0" w:type="dxa"/>
              <w:right w:w="108" w:type="dxa"/>
            </w:tcMar>
          </w:tcPr>
          <w:p w14:paraId="597451FD" w14:textId="70C6829D"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ia act.</w:t>
            </w:r>
          </w:p>
        </w:tc>
      </w:tr>
      <w:tr w:rsidR="00A859F0" w:rsidRPr="008D0F75" w14:paraId="316244D8" w14:textId="77777777" w:rsidTr="00BF0155">
        <w:tc>
          <w:tcPr>
            <w:tcW w:w="2405" w:type="dxa"/>
            <w:tcMar>
              <w:top w:w="0" w:type="dxa"/>
              <w:left w:w="108" w:type="dxa"/>
              <w:bottom w:w="0" w:type="dxa"/>
              <w:right w:w="108" w:type="dxa"/>
            </w:tcMar>
          </w:tcPr>
          <w:p w14:paraId="2BFD3601"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Ministerul Justiției</w:t>
            </w:r>
          </w:p>
          <w:p w14:paraId="54C7BEF5"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3735630" w14:textId="1F3EE883"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rPr>
            </w:pPr>
            <w:r w:rsidRPr="008D0F75">
              <w:rPr>
                <w:rFonts w:ascii="Times New Roman" w:hAnsi="Times New Roman"/>
                <w:i/>
                <w:iCs/>
                <w:sz w:val="24"/>
                <w:szCs w:val="24"/>
              </w:rPr>
              <w:t>Nr. 11.06.2026 nr. 04/2-6445</w:t>
            </w:r>
          </w:p>
        </w:tc>
        <w:tc>
          <w:tcPr>
            <w:tcW w:w="815" w:type="dxa"/>
            <w:tcMar>
              <w:top w:w="0" w:type="dxa"/>
              <w:left w:w="108" w:type="dxa"/>
              <w:bottom w:w="0" w:type="dxa"/>
              <w:right w:w="108" w:type="dxa"/>
            </w:tcMar>
          </w:tcPr>
          <w:p w14:paraId="5ABE503E" w14:textId="0C743088" w:rsidR="00A859F0" w:rsidRPr="008D0F75" w:rsidRDefault="00A859F0" w:rsidP="00A859F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rPr>
            </w:pPr>
            <w:r w:rsidRPr="008D0F75">
              <w:rPr>
                <w:rFonts w:ascii="Times New Roman" w:hAnsi="Times New Roman"/>
                <w:sz w:val="24"/>
                <w:szCs w:val="24"/>
              </w:rPr>
              <w:t>2</w:t>
            </w:r>
            <w:r w:rsidR="00FF23DD">
              <w:rPr>
                <w:rFonts w:ascii="Times New Roman" w:hAnsi="Times New Roman"/>
                <w:sz w:val="24"/>
                <w:szCs w:val="24"/>
              </w:rPr>
              <w:t>6</w:t>
            </w:r>
            <w:r w:rsidRPr="008D0F75">
              <w:rPr>
                <w:rFonts w:ascii="Times New Roman" w:hAnsi="Times New Roman"/>
                <w:sz w:val="24"/>
                <w:szCs w:val="24"/>
              </w:rPr>
              <w:t>.</w:t>
            </w:r>
          </w:p>
        </w:tc>
        <w:tc>
          <w:tcPr>
            <w:tcW w:w="7123" w:type="dxa"/>
            <w:tcMar>
              <w:top w:w="0" w:type="dxa"/>
              <w:left w:w="108" w:type="dxa"/>
              <w:bottom w:w="0" w:type="dxa"/>
              <w:right w:w="108" w:type="dxa"/>
            </w:tcMar>
          </w:tcPr>
          <w:p w14:paraId="0027833F"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Urmare examinării proiectului de hotărâre a Guvernului privind aprobarea Regulamentului cu privire la normele de verificare a biocarburanților, biolichidelor și combustibililor din biomasă, precum și recunoașterea schemelor voluntare și modificarea unor acte normative (număr unic 277/MEn/2026), comunicăm următoarele.</w:t>
            </w:r>
          </w:p>
          <w:p w14:paraId="06E2C07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Sub aspectul intenţiei de reglementare, potrivit notei de fundamentare, proiectul creează cadrul normativ armonizat pentru verificarea conformității biocarburanților, biolichidelor și combustibililor din biomasă cu criteriile de durabilitate. Această intervenție este esențială pentru a se asigura că biocarburanții, biolichidele și combustibilii din biomasă contabilizați în îndeplinirea țintelor SER-T contribuie efectiv la reducerea emisiilor de gaze cu efect de seră. Totodată, proiectul transpune integral Regulamentul de punere în aplicare (UE) 2022/996 al </w:t>
            </w:r>
            <w:r w:rsidRPr="008D0F75">
              <w:rPr>
                <w:rFonts w:ascii="Times New Roman" w:hAnsi="Times New Roman"/>
                <w:sz w:val="24"/>
                <w:szCs w:val="24"/>
              </w:rPr>
              <w:lastRenderedPageBreak/>
              <w:t>Comisiei din 14 iunie 2022 privind normele de verificare a criteriilor de durabilitate și de reducere a emisiilor de gaze cu efect de seră și a criteriilor privind riscurile reduse din perspectiva schimbării indirecte a destinației terenurilor.</w:t>
            </w:r>
          </w:p>
          <w:p w14:paraId="43FE27A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context, raţionamentele expuse de iniţiator în notă reflectă motivul elaborării proiectului actului normativ.</w:t>
            </w:r>
          </w:p>
          <w:p w14:paraId="084480D7"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Totodată, în vederea îmbunătățirii calității proiectului se expun următoarele observații și propuneri.</w:t>
            </w:r>
          </w:p>
          <w:p w14:paraId="470F655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pct. 3 (Hotărârea Guvernului nr. 53/2025):</w:t>
            </w:r>
          </w:p>
          <w:p w14:paraId="34B06F89"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sbp. 3.1, textul „în Hotărârea Guvernului nr. 53/2025:” se va substitui cu textul „în hotărâre:”.</w:t>
            </w:r>
          </w:p>
          <w:p w14:paraId="6FB3B0EF"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sbp. 3.1.1, expresia „se include” nu este consacrată în limbajul normativ, prin urmare, se va substitui cu cuvintele „se completează cu”.</w:t>
            </w:r>
          </w:p>
          <w:p w14:paraId="5B97BCA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sbp. 3.2.1, textul „clauza de armonizare se modifică după cum urmează:” se va substitui cu textul „clauza de armonizare va avea următorul cuprins:”. Observația dată este valabilă și pentru sbp. 3.2.31.1 și 3.3.1.</w:t>
            </w:r>
          </w:p>
          <w:p w14:paraId="672E42C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sbp. 3.2.3 – 3.2.3.4, se va face referire la abrogarea subpunctelor (2.3, 2.5, 2.14, 2.15), dar nu a noțiunilor.</w:t>
            </w:r>
          </w:p>
          <w:p w14:paraId="07362B0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sbp. 3.2.4, în redacția propusă a pct. 3, textul „în conformitate Regulamentului privind calculul consumului de energie din surse regenerabile aprobat prin Hotărârea Guvernului nr. 74/2025 cu privire la aprobarea Regulamentului privind calculul consumului de energie din surse regenerabile (în continuare – HG 74/2025)” se va substitui cu textul „în conformitate cu Regulamentul privind calculul consumului de energie din surse regenerabile, aprobat prin Hotărârea Guvernului nr. 74/2025”. Totodată, semnalăm că este lipsită de logică propunerea de a utiliza în continuarea textului referința la „HG 74/2025”, în măsura în care se face trimitere la regulament și nu la hotărâre în general. Observația dată se referă la toate situațiile similare din proiect.</w:t>
            </w:r>
          </w:p>
          <w:p w14:paraId="0960C5A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sbp. 3.2.6, în redacția propusă a pct. 5, după textul „anexa nr. 3” cuvintele „la prezentul Regulament” se vor exclude. Se va reține că potrivit art. 55 alin. (4) din Legea nr. 100/2017 cu privire la actele </w:t>
            </w:r>
            <w:r w:rsidRPr="008D0F75">
              <w:rPr>
                <w:rFonts w:ascii="Times New Roman" w:hAnsi="Times New Roman"/>
                <w:sz w:val="24"/>
                <w:szCs w:val="24"/>
              </w:rPr>
              <w:lastRenderedPageBreak/>
              <w:t>normative în cazul în care se face trimitere la o normă juridică care este stabilită în același act normativ, pentru evitarea reproducerii acesteia, se face trimitere la elementul structural sau constitutiv respectiv, fără a se indica că elementul respectiv face parte din același act normativ. Observația dată este valabilă pentru toate situațiile similare din proiect. Amendamentul propus la sbp. 3.2.8 se va indica anterior modificărilor elementelor structurale, deoarece vizează tot textul Regulamentului. Sbp. 3.2.7, 3.2.9 și 3.2.10 care se referă la modificarea pct. 6, 7 și 8, urmează a fi unificate într-un singur subpunct, iar dispoziția de modificare se va expune în următorul mod: „punctele 6 - 8 vor avea următorul cuprins:”, urmate de redarea acestora. Observația dată este valabilă pentru toate situațiile similare din proiect. La sbp. 3.2.12, semnalăm că sbp. 10.1 – 10.3 sunt parte componentă a pct. 10 și nu este necesară abrogarea separată a acestora, dar expunerea în redacție nouă a pct. 10. La sbp. 3.2.16 și 3.2.19 se va revedea expresia „legislație subnațională” nefiind consacrată în legislație, or, prevederea anterioară viza legislație secundară, adică actele normative emise în temeiul legilor. La sbp. 3.2.24, textul „pct. 32, 33 și 34 se abrogă” se va substitui cu textul „pct. 32 – 34 se abrogă”, or, în situația în care se enumeră mai mult de două elemente structurale consecutive, acestea se expun cu utilizarea cratimei. La sbp. 3.2.25, textul „în conformitate cu pct. 2 la Hotărârea de Guvern privind aprobarea Regulamentului cu privire la normele de verificare a biocarburanților, biolichidelor și combustibililor din biomasă, precum și recunoașterea schemelor voluntare și modificarea unor acte normative” este inutil și se va exclude. Adițional, prevederile de la sbp. 35.1 și 35.2 se vor indica la puncte separate, deoarece nu reprezintă diviziuni a pct. 35 (valabil și pentru sbp. 351.1 și 351.2).</w:t>
            </w:r>
          </w:p>
          <w:p w14:paraId="449555E3"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sbp. 3.2.26, dispoziția propriu-zisă de modificare se va expune după cum urmează: „se completează cu punctele 351 – 353 cu următorul cuprins:”, urmate de redarea acestora. Atenționăm că nu este necesar de a menționa despre completarea după pct. 35, deoarece numerotarea elementelor structurale, inclusiv cu indici numerici, se efectuează în ordine consecutivă (observație valabilă și pentru sbp. 3.2.29, 3.2.31.8, </w:t>
            </w:r>
            <w:r w:rsidRPr="008D0F75">
              <w:rPr>
                <w:rFonts w:ascii="Times New Roman" w:hAnsi="Times New Roman"/>
                <w:sz w:val="24"/>
                <w:szCs w:val="24"/>
              </w:rPr>
              <w:lastRenderedPageBreak/>
              <w:t>3.2.31.10, 3.3.3). În redacția propusă a pct. 351, formularea „pentru a demonstra respectarea pct. 35 din HG 74/2025” este eronată, or, în Hotărârea Guvernului nr. 74/2025 nu se regăsește punctul respectiv. La sbp. 3.2.30, în dispoziție, cuvântul „anexa” se va substitui cu cuvântul „anexele”. La sbp. 3.2.31.1 – 3.2.31.10, cu referire la anexa nr. 3, considerăm oportună expunerea acesteia în redacție nouă, în măsura în care se modifică esențial tot textul anexei. La sbp. 3.3, după denumirea Metodologiei, textul „aprobată prin anexa nr. 2” este expus greșit și se va exclude, deoarece Metodologia este aprobată prin Hotărârea Guvernului, dar nu prin anexă. La sbp. 3.3.1 cuvintele „se modifică după cum urmează” se vor substitui cu cuvintele „va avea următorul cuprins”. La sbp. 3.3.6, în dispoziție, cuvântul „sintagma” se va substitui cu cuvântul „textul”. Cu titlu de observație generală, la formularea amendamentelor se va ține cont că, cuvântul „sintagma” se utilizează cu referire la un grup de două sau mai multe cuvinte între care există raporturi de subordonare; cuvântul „textul” se folosește pentru individualizarea unor cuvinte și cifre, cuvinte și semne de punctuație, cifre și semne de punctuație, iar în celelalte cazuri, pentru formularea dispozițiilor de modificare, se utilizează termenii „cuvântul”/„cuvintele”, după caz, termenii „cifra”/„cifrele”. Sbp. 3.4 și 3.5, se vor comasa, iar dispoziția propriu-zisă se va expune după cum urmează: „se completează cu anexele nr. 4 și nr. 5 cu următorul cuprins:”, urmate de redarea acestora. La pct. 4 și 7, referitoare la modificările propuse pentru Hotărârea Guvernului nr. 74/2025 și Hotărârea Guvernului nr. 6/2026, se aplică corespunzător observațiile expuse pentru pct. 3 (Hotărârea Guvernului nr. 53/2025). Pct. 5 și 6, care includ prevederi referitoare la exercitarea controlului asupra executării prezentei hotărâri, precum și norme privind intrarea în vigoare a acesteia, urmează a fi plasate la finele proiectului, după pct. 7.</w:t>
            </w:r>
          </w:p>
          <w:p w14:paraId="2586D643"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Totodată, textul „cu excepția prevederilor de la pct. 30-32 din Regulamentul prevăzut la pct. 1 care se vor pune în aplicare începând cu data de 1 ianuarie 2027” este expus eronat și se va substitui cu textul „cu excepția prevederilor de la pct. 30-32 din Regulamentul cu privire la </w:t>
            </w:r>
            <w:r w:rsidRPr="008D0F75">
              <w:rPr>
                <w:rFonts w:ascii="Times New Roman" w:hAnsi="Times New Roman"/>
                <w:sz w:val="24"/>
                <w:szCs w:val="24"/>
              </w:rPr>
              <w:lastRenderedPageBreak/>
              <w:t>normele de verificare a biocarburanților, biolichidelor și combustibililor din biomasă, aprobat prin pct. 1, care vor intra în vigoare la data de 1 ianuarie 2027”. La Regulamentul cu privire la normele de verificare a biocarburanților, biolichidelor și combustibililor din biomasă): Întru corectitudinea redactării, parafa de aprobare se va indica în modul următor:</w:t>
            </w:r>
          </w:p>
          <w:p w14:paraId="40D68F99"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jc w:val="right"/>
              <w:rPr>
                <w:rFonts w:ascii="Times New Roman" w:hAnsi="Times New Roman"/>
                <w:sz w:val="24"/>
                <w:szCs w:val="24"/>
              </w:rPr>
            </w:pPr>
            <w:r w:rsidRPr="008D0F75">
              <w:rPr>
                <w:rFonts w:ascii="Times New Roman" w:hAnsi="Times New Roman"/>
                <w:sz w:val="24"/>
                <w:szCs w:val="24"/>
              </w:rPr>
              <w:t>„Aprobat</w:t>
            </w:r>
          </w:p>
          <w:p w14:paraId="024FB07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jc w:val="right"/>
              <w:rPr>
                <w:rFonts w:ascii="Times New Roman" w:hAnsi="Times New Roman"/>
                <w:sz w:val="24"/>
                <w:szCs w:val="24"/>
              </w:rPr>
            </w:pPr>
            <w:r w:rsidRPr="008D0F75">
              <w:rPr>
                <w:rFonts w:ascii="Times New Roman" w:hAnsi="Times New Roman"/>
                <w:sz w:val="24"/>
                <w:szCs w:val="24"/>
              </w:rPr>
              <w:t>prin Hotărârea Guvernului nr. ____/2026”.</w:t>
            </w:r>
          </w:p>
          <w:p w14:paraId="613C7B7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sbp. 1.1. și 1.2, textele „(în continuare – HG 53/2025)” și „(în continuare – HG 74/2025” se vor substitui cu textele „(în continuare – Hotărârea Guvernului nr. 53/2025)” și „(în continuare – Hotărârea Guvernului nr. 74/2025)”. Observația dată este valabilă cu referire la tot textul Regulamentului. Pct. 3 prevede constituirea grupului de lucru, însă norma propusă nu stabilește natura juridică, atribuțiile, modul de constituire, funcționare și competențele grupului de lucru. Potrivit principiului securității raporturilor juridice și exigențelor tehnicii legislative prevăzute de Legea nr. 100/2017 cu privire la actele normative, actul normativ trebuie să reglementeze expres competențele și atribuțiile entităților implicate. Totodată, sintagma: „în funcție de domeniul de aplicare al schemei voluntare” este formulată vag și nu permite identificarea situațiilor concrete în care grupul de lucru urmează a fi constituit. Textul „IP CNED asigură gestionarea fluxul de informație destinate grupul de lucru” conține erori gramaticale și urmează a fi redactat după cum urmează: „IP CNED asigură gestionarea fluxului de informații destinat grupului de lucru, în sensul prezentului regulament.” La pct. 4: Sintagmele „în limita posibilităților disponibile” și „o gamă largă de reprezentanți” au caracter apreciativ și nu respectă cerințele de previzibilitate și claritate ale normei juridice, or, în conformitate cu art. 54 din Legea nr. 100/2017, textul normativ trebuie să fie formulat clar, precis și fără echivoc. Astfel, se recomandă reformularea normei prin indicarea expresă a criteriilor de reprezentare și participare. Norma propusă: „Deciziile se iau numai în cazul în care se întrunește cvorumul majorității părților interesate” poate genera interpretări divergente, </w:t>
            </w:r>
            <w:r w:rsidRPr="008D0F75">
              <w:rPr>
                <w:rFonts w:ascii="Times New Roman" w:hAnsi="Times New Roman"/>
                <w:sz w:val="24"/>
                <w:szCs w:val="24"/>
              </w:rPr>
              <w:lastRenderedPageBreak/>
              <w:t>deoarece nu este clar care este numărul total al părților interesate, cine stabilește calitatea de parte interesată, ce reprezintă „majoritatea părților interesate”. Deci, se recomandă reglementarea expresă a modului de calcul al cvorumului și a procedurii de adoptare a deciziilor.</w:t>
            </w:r>
          </w:p>
          <w:p w14:paraId="120A256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pct. 5, sintagma „sistem de control și echilibru” reprezintă o noțiune doctrinară și nu una normativă. Pentru asigurarea aplicării uniforme a normei, se recomandă definirea mecanismelor concrete de prevenire și gestionare a conflictelor de interese. La pct. 7, sintagma „cel mai înalt nivel posibil de independență” are caracter subiectiv și nu poate constitui criteriu juridic verificabil. În conformitate cu principiul certitudinii juridice, normele trebuie să conțină criterii măsurabile și verificabile, deci, se recomandă reformularea prin indicarea unor garanții concrete de independență. La pct. 12, prevederea: „schemele voluntare impun organismelor de certificare să prezinte toate rapoartele de audit” poate genera sarcini administrative excesive și probleme privind confidențialitatea informațiilor comerciale. Astfel, se recomandă evaluarea proporționalității obligației și stabilirea garanțiilor privind protecția informațiilor sensibile. La pct. 15, sintagma „toate documentele aferente” este prea largă și poate genera interpretări diferite. Prin urmare, considerăm oportună delimitarea categoriilor de documente ce pot fi solicitate și stabilirea garanțiilor privind protecția informațiilor confidențiale. La pct. 17, norma propusă: „Documentația se păstrează pentru o perioadă de cel puțin 5 ani sau pentru o perioadă mai lungă în cazul în care grupul de lucru solicită acest lucru”, conferă grupului de lucru competența de a extinde termenul de păstrare a documentelor fără stabilirea unor criterii obiective, limite maxime sau proceduri aferente. Or, asemenea formulare poate genera incertitudine juridică și aplicare discreționară. În context, se recomandă stabilirea expresă a situațiilor care justifică prelungirea termenului, indicarea duratei maxime de păstrare, precum și reglementarea procedurii de adoptare a unei asemenea decizii. La pct. 24, norma stabilește că „Examinatorul tehnic este responsabil de validarea rezultatelor auditurilor de supraveghere.”. Semnalăm că noțiunea de „examinator tehnic” nu este definită în proiect. </w:t>
            </w:r>
            <w:r w:rsidRPr="008D0F75">
              <w:rPr>
                <w:rFonts w:ascii="Times New Roman" w:hAnsi="Times New Roman"/>
                <w:sz w:val="24"/>
                <w:szCs w:val="24"/>
              </w:rPr>
              <w:lastRenderedPageBreak/>
              <w:t>Se recomandă introducerea unei definiții sau indicarea expresă a cerințelor de calificare și a atribuțiilor acestei persoane. La sbp. 28.2, sintagma „sistem de păstrare în condiții siguranță” este formulată impropriu din punct de vedere gramatical și se va substitui cu sintagma „sistem de păstrare în condiții de siguranță”. La sbp. 28.3, norma prevede: „sau pentru o perioadă mai lungă în cazul în care acest lucru este solicitat de grupul de lucru”, însă nu sunt stabilite temeiurile solicitării, durata maximă și forma deciziei. Astfel, dispoziția conferă grupului de lucru o marjă discreționară excesivă.</w:t>
            </w:r>
          </w:p>
          <w:p w14:paraId="2D61670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pct. 30, în textul „Organismul de certificare utilizează alte resurse pentru activitățile de verificare numai din partea organismelor acreditate”, noțiunea „alte resurse” este una imprecisă și nu permite identificarea clară a persoanelor sau entităților la care se referă norma. Acest fapt contravine art. 54 alin. (1) lit. a) din Legea nr. 100/2017, potrivit căruia normele trebuie formulate într-un limbaj clar, precis și lipsit de ambiguitate. La pct. 32, se prevede că „grupul de lucru evaluează, în coordonare cu Centrul Național de Acreditare”. Totuși, proiectul nu stabilește natura juridică a coordonării competențelor fiecărei instituții, caracterul obligatoriu sau consultativ al opiniei Centrului Național de Acreditare, iar în consecință, norma poate genera dificultăți de aplicare. Se recomandă delimitarea expresă a atribuțiilor grupului de lucru și ale Centrului Național de Acreditare. La sbp. 34.1, textul „cu excepția auditurilor privind criteriile prevăzute la subpct. 20.1 și 21.1 din anexa nr. 1 la HG 53/2025 calcul” conține o eroare de redactare, nu are sens juridic și creează dificultăți de interpretare. Astfel, cuvântul „calcul” urmează a fi exclus. La pct. 35, norma stabilește obligația organizării cursurilor de formare și a examenelor. Totodată, însă, nu sunt prevăzute cerințe minime privind programa de formare, modalitatea de evaluare și criteriile de promovare. Deci, sugerăm reglementarea elementelor esențiale ale procesului de formare și evaluare. La pct. 36, cuvântul „periodic” are caracter vag și nu este clară frecvența minimă a cursurilor de perfecționare. Considerăm oportună indicarea unui termen concret (de exemplu, anual sau o dată la doi ani). </w:t>
            </w:r>
            <w:r w:rsidRPr="008D0F75">
              <w:rPr>
                <w:rFonts w:ascii="Times New Roman" w:hAnsi="Times New Roman"/>
                <w:sz w:val="24"/>
                <w:szCs w:val="24"/>
              </w:rPr>
              <w:lastRenderedPageBreak/>
              <w:t>La pct. 42, nu este suficient de clară sintagma „majoritatea membrilor grupului”, întrucât nu rezultă dacă se are în vedere majoritatea simplă, majoritatea absolută sau un anumit prag procentual. La pct. 46, norma stabilește pragul de „cel puțin cinci tone pe lună”. Totodată, nu este justificată alegerea acestui prag și nici nu este indicată sursa normativă europeană din care este preluat. Deci, se recomandă verificarea fidelității transpunerii și, după caz, includerea justificării în nota de fundamentare. La pct. 49, se instituie „audit de supraveghere obligatoriu în termen de șase luni” și „audit suplimentar la trei luni”. Totodată, se recomandă precizarea momentului de la care curg termenele respective, deoarece nu este clar dacă aceste termene se calculează de la data emiterii certificatului, de la finalizarea auditului inițial sau de la data deciziei de certificare. La pct. 54, textul „operatorii economici care utilizează CO2 captat precizează modul în care CO2 înlocuit a fost generat anterior și să declare” conține o inadvertență gramaticală, or, verbele „precizează” și „să declare” nu sunt coordonate sintactic.</w:t>
            </w:r>
          </w:p>
          <w:p w14:paraId="3E1AE46F"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La pct. 55, cuvintele „prezentă declarații” se vor substitui cu cuvintele „prezintă declarații”. La pct. 62, sintagma „puse la dispoziție de Agenției de Mediu” se va substitui cu sintagma „puse la dispoziție de Agenția de Mediu”. La pct. 68, formularea „organismele de certificare se obligă” are caracter contractual și este improprie unui act normativ, deci, se recomandă substituirea cu formula „organismele de certificare au obligația”. La sbp. 68.3, sintagma „Registru de biocarburanți” se va substitui cu sintagma „Registrul de biocarburanți”. Observația dată este valabilă pentru tot textul proiectului. La pct. 70, cuvintele „în mai mult state membre” se vor substitui cu forma corectă: „în mai multe state membre”. La pct. 73, noțiunea „îndoieli justificate” are caracter larg și poate genera interpretări diferite. Se recomandă stabilirea unor criterii obiective care justifică inițierea investigației. La sbp. 75.7, textul „orice altă modificare ca poate afecta temeiul recunoașterii schemei” conține o eroare gramaticală. Se va substitui cu forma corectă: „orice altă modificare care poate afecta temeiul recunoașterii schemei”. La pct. 76: Sintagma „trebuie să fie documentate temeinic” are caracter evaluativ și </w:t>
            </w:r>
            <w:r w:rsidRPr="008D0F75">
              <w:rPr>
                <w:rFonts w:ascii="Times New Roman" w:hAnsi="Times New Roman"/>
                <w:sz w:val="24"/>
                <w:szCs w:val="24"/>
              </w:rPr>
              <w:lastRenderedPageBreak/>
              <w:t>nu stabilește criterii juridice verificabile. Se recomandă substituirea expresiei prin formulări obiective, de exemplu: „trebuie să fie documentate prin documente justificative verificabile”. Textul „alte informații care descriu materiile prime sau combustibilii, necesare în conformitate cu Hotărârea Guvernului nr. 53/2025” constituie o trimitere generică la întregul act normativ și nu permite identificarea exactă a cerințelor aplicabile. Se recomandă indicarea expresă a anexei sau a punctelor relevante din hotărârea respectivă. La pct. 80, utilizarea expresiei „schemele voluntare utilizează” este eronată, deoarece din punct de vedere juridic, normele nu sunt „utilizate”, ci „aplicate”, „respectate” sau „instituite”. La pct. 107, expresia „dincolo de scenariul de statu-quo” ar trebui uniformizată terminologic prin expresia recomandabilă „dincolo de scenariul de referință (status quo)”. La pct. 109, textul „Măsurile sunt eligibile pentru certificarea riscului scăzut de ILUC” necesită uniformizare terminologică. Deoarece în întregul capitol este utilizată expresia „risc redus de ILUC”, se recomandă păstrarea aceleiași terminologii „certificarea riscului redus de ILUC”.</w:t>
            </w:r>
          </w:p>
          <w:p w14:paraId="52194E70" w14:textId="5F7A741E"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La anexa nr. 12 semnalăm că aceasta nu are temei-cadru în textul Regulamentului astfel cum este prevăzut la art. 49 alin. (3) din Legea nr. 100/2017. Prin urmare, se va rectifica această omisiune. Conţinutul proiectului urmează a fi definitivat conform prevederilor art. 54 din Legea nr. 100/2017, potrivit căruia, textul punctelor trebuie să aibă un caracter dispozitiv, să prezinte norma instituită fără explicaţii sau justificări. Verbele utilizate în text se vor expune la timpul prezent, forma afirmativă, pentru a se accentua caracterul imperativ al dispoziţiei respective.</w:t>
            </w:r>
          </w:p>
        </w:tc>
        <w:tc>
          <w:tcPr>
            <w:tcW w:w="3681" w:type="dxa"/>
            <w:tcMar>
              <w:top w:w="0" w:type="dxa"/>
              <w:left w:w="108" w:type="dxa"/>
              <w:bottom w:w="0" w:type="dxa"/>
              <w:right w:w="108" w:type="dxa"/>
            </w:tcMar>
          </w:tcPr>
          <w:p w14:paraId="737D1823"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r w:rsidRPr="008D0F75">
              <w:rPr>
                <w:rFonts w:ascii="Times New Roman" w:hAnsi="Times New Roman"/>
                <w:b/>
                <w:bCs/>
                <w:sz w:val="24"/>
                <w:szCs w:val="24"/>
              </w:rPr>
              <w:lastRenderedPageBreak/>
              <w:t>Se acceptă parțial.</w:t>
            </w:r>
          </w:p>
          <w:p w14:paraId="11E0F5F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C77FCAA" w14:textId="257FDF4B"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Propunerile care nu au fost acceptate au fost clarificate și agreate cu Ministerul Justiției.</w:t>
            </w:r>
          </w:p>
          <w:p w14:paraId="7FB1883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2EE07C9"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1) Propunerea aferentă </w:t>
            </w:r>
            <w:r w:rsidRPr="008D0F75">
              <w:rPr>
                <w:rFonts w:ascii="Times New Roman" w:hAnsi="Times New Roman"/>
                <w:b/>
                <w:bCs/>
                <w:sz w:val="24"/>
                <w:szCs w:val="24"/>
              </w:rPr>
              <w:t>subpct. 3.2.6</w:t>
            </w:r>
            <w:r w:rsidRPr="008D0F75">
              <w:rPr>
                <w:rFonts w:ascii="Times New Roman" w:hAnsi="Times New Roman"/>
                <w:sz w:val="24"/>
                <w:szCs w:val="24"/>
              </w:rPr>
              <w:t xml:space="preserve"> privind excluderea cuvintelor „la prezentul Regulament”.</w:t>
            </w:r>
          </w:p>
          <w:p w14:paraId="7FAA926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1EA70B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referinței explicite „la prezentul Regulament" în cazul vizat, precum și în toate </w:t>
            </w:r>
            <w:r w:rsidRPr="008D0F75">
              <w:rPr>
                <w:rFonts w:ascii="Times New Roman" w:hAnsi="Times New Roman"/>
                <w:sz w:val="24"/>
                <w:szCs w:val="24"/>
              </w:rPr>
              <w:lastRenderedPageBreak/>
              <w:t xml:space="preserve">cazurile similare în textul proiectului. </w:t>
            </w:r>
          </w:p>
          <w:p w14:paraId="365FED8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3E28400" w14:textId="49F425EE"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Această precizare este necesară pentru evitarea ambiguității, întrucât proiectul conține atât o Anexă nr. 3 la Regulament, cât și o Anexă nr. 3 la HG propriu-zisă. În absența unei distincții clare, trimiterea generică la „Anexa nr. 3" ar putea genera confuzii în aplicarea actului normativ.</w:t>
            </w:r>
          </w:p>
          <w:p w14:paraId="475F10B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4C118E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2) Propunerea aferentă </w:t>
            </w:r>
            <w:r w:rsidRPr="008D0F75">
              <w:rPr>
                <w:rFonts w:ascii="Times New Roman" w:hAnsi="Times New Roman"/>
                <w:b/>
                <w:bCs/>
                <w:sz w:val="24"/>
                <w:szCs w:val="24"/>
              </w:rPr>
              <w:t>subpct. 3.2.16 și 3.2.19</w:t>
            </w:r>
            <w:r w:rsidRPr="008D0F75">
              <w:rPr>
                <w:rFonts w:ascii="Times New Roman" w:hAnsi="Times New Roman"/>
                <w:sz w:val="24"/>
                <w:szCs w:val="24"/>
              </w:rPr>
              <w:t xml:space="preserve"> privind revederea expresiei „legislație subnațională”.</w:t>
            </w:r>
          </w:p>
          <w:p w14:paraId="0A31C547"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04D2207" w14:textId="1D02A99E"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Se recomandă menținerea textului în redacția actuală.</w:t>
            </w:r>
          </w:p>
          <w:p w14:paraId="0F8CAB4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5EBFAA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acest sens, se explică faptul că țara de recoltare poate fi un stat membru al Uniunii Europene, pe al cărui teritoriu, pe lângă legislația națională, se aplică și legislație subnaționată — de nivel local sau regional. Prin urmare, trimiterea la cadrul normativ aplicabil trebuie să acopere toate nivelurile de reglementare în vigoare în statul respectiv, iar o formulare restrictivă ar limita nejustificat sfera de aplicare a prevederii. În consecință, </w:t>
            </w:r>
            <w:r w:rsidRPr="008D0F75">
              <w:rPr>
                <w:rFonts w:ascii="Times New Roman" w:hAnsi="Times New Roman"/>
                <w:sz w:val="24"/>
                <w:szCs w:val="24"/>
              </w:rPr>
              <w:lastRenderedPageBreak/>
              <w:t>redacția actuală este cea adecvată și nu necesită modificări.</w:t>
            </w:r>
          </w:p>
          <w:p w14:paraId="708D3F9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20C857D" w14:textId="7099EF9B"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3) Propunerea aferentă </w:t>
            </w:r>
            <w:r w:rsidRPr="008D0F75">
              <w:rPr>
                <w:rFonts w:ascii="Times New Roman" w:hAnsi="Times New Roman"/>
                <w:b/>
                <w:bCs/>
                <w:sz w:val="24"/>
                <w:szCs w:val="24"/>
              </w:rPr>
              <w:t>subpct.</w:t>
            </w:r>
            <w:r w:rsidRPr="008D0F75">
              <w:rPr>
                <w:rFonts w:ascii="Times New Roman" w:hAnsi="Times New Roman"/>
                <w:sz w:val="24"/>
                <w:szCs w:val="24"/>
              </w:rPr>
              <w:t xml:space="preserve"> </w:t>
            </w:r>
            <w:r w:rsidRPr="008D0F75">
              <w:rPr>
                <w:rFonts w:ascii="Times New Roman" w:hAnsi="Times New Roman"/>
                <w:b/>
                <w:bCs/>
                <w:sz w:val="24"/>
                <w:szCs w:val="24"/>
              </w:rPr>
              <w:t>35.1 și 35.2</w:t>
            </w:r>
            <w:r w:rsidRPr="008D0F75">
              <w:rPr>
                <w:rFonts w:ascii="Times New Roman" w:hAnsi="Times New Roman"/>
                <w:sz w:val="24"/>
                <w:szCs w:val="24"/>
              </w:rPr>
              <w:t xml:space="preserve"> privind indicarea separată  a punctelor (valabil și pentru </w:t>
            </w:r>
            <w:r w:rsidRPr="008D0F75">
              <w:rPr>
                <w:rFonts w:ascii="Times New Roman" w:hAnsi="Times New Roman"/>
                <w:b/>
                <w:bCs/>
                <w:sz w:val="24"/>
                <w:szCs w:val="24"/>
              </w:rPr>
              <w:t>subpct. 35</w:t>
            </w:r>
            <w:r w:rsidRPr="008D0F75">
              <w:rPr>
                <w:rFonts w:ascii="Times New Roman" w:hAnsi="Times New Roman"/>
                <w:b/>
                <w:bCs/>
                <w:sz w:val="24"/>
                <w:szCs w:val="24"/>
                <w:vertAlign w:val="superscript"/>
              </w:rPr>
              <w:t>1</w:t>
            </w:r>
            <w:r w:rsidRPr="008D0F75">
              <w:rPr>
                <w:rFonts w:ascii="Times New Roman" w:hAnsi="Times New Roman"/>
                <w:b/>
                <w:bCs/>
                <w:sz w:val="24"/>
                <w:szCs w:val="24"/>
              </w:rPr>
              <w:t>.1 și 35</w:t>
            </w:r>
            <w:r w:rsidRPr="008D0F75">
              <w:rPr>
                <w:rFonts w:ascii="Times New Roman" w:hAnsi="Times New Roman"/>
                <w:b/>
                <w:bCs/>
                <w:sz w:val="24"/>
                <w:szCs w:val="24"/>
                <w:vertAlign w:val="superscript"/>
              </w:rPr>
              <w:t>1</w:t>
            </w:r>
            <w:r w:rsidRPr="008D0F75">
              <w:rPr>
                <w:rFonts w:ascii="Times New Roman" w:hAnsi="Times New Roman"/>
                <w:b/>
                <w:bCs/>
                <w:sz w:val="24"/>
                <w:szCs w:val="24"/>
              </w:rPr>
              <w:t>.2</w:t>
            </w:r>
            <w:r w:rsidRPr="008D0F75">
              <w:rPr>
                <w:rFonts w:ascii="Times New Roman" w:hAnsi="Times New Roman"/>
                <w:sz w:val="24"/>
                <w:szCs w:val="24"/>
              </w:rPr>
              <w:t>).</w:t>
            </w:r>
          </w:p>
          <w:p w14:paraId="33F0B1E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668AE0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subpct. 35.1 și 35.2 în redacția actuală, acestea constituind o continuare logică și necesară a pct. 35.  </w:t>
            </w:r>
          </w:p>
          <w:p w14:paraId="78E7DD4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220341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subpct. 35.1 stabilește că, pe lângă schemele de certificare recunoscute de Guvern, pot fi instituite scheme și pe teritoriul RM, care, la rândul lor, urmează să fie recunoscute de UE. </w:t>
            </w:r>
          </w:p>
          <w:p w14:paraId="587A838F"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F15E9E0" w14:textId="77EF4A31"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 subpct. 35.2 precizează că verificarea efectuată de Agenția de Mediu include și evaluarea aspectelor de mediu aferente. </w:t>
            </w:r>
          </w:p>
          <w:p w14:paraId="36BA29E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6A7AC28" w14:textId="1EE6D372"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Excluderea acestor subpuncte ar afecta coerența și integralitatea reglementării, motiv pentru care se impune păstrarea lor în forma propusă.</w:t>
            </w:r>
          </w:p>
          <w:p w14:paraId="37718A1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92344D0" w14:textId="52EA5C65"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subpct. 35¹.1 și 35¹.2 în redacția actuală, acestea reprezentând norme de </w:t>
            </w:r>
            <w:r w:rsidRPr="008D0F75">
              <w:rPr>
                <w:rFonts w:ascii="Times New Roman" w:hAnsi="Times New Roman"/>
                <w:sz w:val="24"/>
                <w:szCs w:val="24"/>
              </w:rPr>
              <w:lastRenderedPageBreak/>
              <w:t xml:space="preserve">detaliere a condițiilor aferente schemei naționale prevăzute la pct. 35¹. </w:t>
            </w:r>
          </w:p>
          <w:p w14:paraId="2913973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0AA4502" w14:textId="6F9DB10F"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Subpct. 35¹.1 și 35¹.2 sunt indispensabile pentru asigurarea caracterului complet și operațional al reglementării, impunându-se păstrarea lor în forma propusă.</w:t>
            </w:r>
          </w:p>
          <w:p w14:paraId="60835E53"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1CB117F"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4) Propunerea aferentă </w:t>
            </w:r>
            <w:r w:rsidRPr="008D0F75">
              <w:rPr>
                <w:rFonts w:ascii="Times New Roman" w:hAnsi="Times New Roman"/>
                <w:b/>
                <w:bCs/>
                <w:sz w:val="24"/>
                <w:szCs w:val="24"/>
              </w:rPr>
              <w:t xml:space="preserve">pct. 12, </w:t>
            </w:r>
            <w:r w:rsidRPr="008D0F75">
              <w:rPr>
                <w:rFonts w:ascii="Times New Roman" w:hAnsi="Times New Roman"/>
                <w:sz w:val="24"/>
                <w:szCs w:val="24"/>
              </w:rPr>
              <w:t>privind</w:t>
            </w:r>
            <w:r w:rsidRPr="008D0F75">
              <w:rPr>
                <w:rFonts w:ascii="Times New Roman" w:hAnsi="Times New Roman"/>
                <w:b/>
                <w:bCs/>
                <w:sz w:val="24"/>
                <w:szCs w:val="24"/>
              </w:rPr>
              <w:t xml:space="preserve"> </w:t>
            </w:r>
            <w:r w:rsidRPr="008D0F75">
              <w:rPr>
                <w:rFonts w:ascii="Times New Roman" w:hAnsi="Times New Roman"/>
                <w:sz w:val="24"/>
                <w:szCs w:val="24"/>
              </w:rPr>
              <w:t>prevederea: „schemele voluntare impun organismelor de certificare să prezinte toate rapoartele de audit”.</w:t>
            </w:r>
          </w:p>
          <w:p w14:paraId="30D4A4E8"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497D01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textului în redacția propusă prin proiect. </w:t>
            </w:r>
          </w:p>
          <w:p w14:paraId="0F17E00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1FAFB5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acest sens, se menționează că conținutul obligatoriu al raportului de audit este reglementat în mod explicit la pct. 29:</w:t>
            </w:r>
          </w:p>
          <w:p w14:paraId="3488D6F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0AB17C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"Rapoartele de audit și sintezele rapoartelor de audit sau certificatele întocmite sau emise de un organism de certificare în cadrul unei scheme voluntare includ cel puțin elementele prevăzute în anexa nr. 2”</w:t>
            </w:r>
          </w:p>
          <w:p w14:paraId="3EBBC53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488E6D5"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Sintagma „toate rapoartele de audit” prevede că organismele de </w:t>
            </w:r>
            <w:r w:rsidRPr="008D0F75">
              <w:rPr>
                <w:rFonts w:ascii="Times New Roman" w:hAnsi="Times New Roman"/>
                <w:sz w:val="24"/>
                <w:szCs w:val="24"/>
              </w:rPr>
              <w:lastRenderedPageBreak/>
              <w:t>certificare trebuie să transmită setul complet de documentație de audit pe care îl elaborează în cadrul schemei voluntare — nu doar un rezumat, nu doar anumite rapoarte selectate și nu doar cele considerate cu risc ridicat.</w:t>
            </w:r>
          </w:p>
          <w:p w14:paraId="530C4C4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C30B79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Pe scurt, „toate rapoartele de audit” obligă organismele de certificare să furnizeze schemei voluntare fiecare document de audit pe care îl generează, pentru ca aceasta să poată monitoriza și valida independent integritatea activităților de certificare.</w:t>
            </w:r>
          </w:p>
          <w:p w14:paraId="3B2629EB"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8BBC8E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5) Propunerea aferentă </w:t>
            </w:r>
            <w:r w:rsidRPr="008D0F75">
              <w:rPr>
                <w:rFonts w:ascii="Times New Roman" w:hAnsi="Times New Roman"/>
                <w:b/>
                <w:bCs/>
                <w:sz w:val="24"/>
                <w:szCs w:val="24"/>
              </w:rPr>
              <w:t>pct. 15</w:t>
            </w:r>
            <w:r w:rsidRPr="008D0F75">
              <w:rPr>
                <w:rFonts w:ascii="Times New Roman" w:hAnsi="Times New Roman"/>
                <w:sz w:val="24"/>
                <w:szCs w:val="24"/>
              </w:rPr>
              <w:t>, privind sintagma „toate documentele aferente”.</w:t>
            </w:r>
          </w:p>
          <w:p w14:paraId="57C8F5A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E572461"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textului în redacția propusă prin proiect. </w:t>
            </w:r>
          </w:p>
          <w:p w14:paraId="001B8CA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BEFFDB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acest sens, se explică faptul că documentația aferentă unei plângeri poate varia în funcție de natura și complexitatea acesteia, putând include, după caz, o multitudine de categorii de documente, și anume: plângerea propriu-zisă, reprezentând depunerea inițială formulată de un operator economic, un organism de certificare sau un alt </w:t>
            </w:r>
            <w:r w:rsidRPr="008D0F75">
              <w:rPr>
                <w:rFonts w:ascii="Times New Roman" w:hAnsi="Times New Roman"/>
                <w:sz w:val="24"/>
                <w:szCs w:val="24"/>
              </w:rPr>
              <w:lastRenderedPageBreak/>
              <w:t xml:space="preserve">actor interesat; corespondența și comunicările aferente, precum e-mailuri, scrisori, note de ședință sau orice alt schimb de informații referitor la plângere; înregistrările interne ale schemei voluntare, care reflectă modul de evaluare a plângerii, investigațiile efectuate și deciziile adoptate; probele și materialele justificative, constând în documente, date sau rapoarte utilizate în procesul de evaluare; precum și documentația privind rezultatul procedurii, care cuprinde soluția adoptată, măsurile corective sau sancțiunile aplicate, inclusiv orice monitorizare ulterioară. </w:t>
            </w:r>
          </w:p>
          <w:p w14:paraId="00E4686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E1D30C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urmare, redacția propusă asigură flexibilitatea necesară pentru a acoperi diversitatea situațiilor practice, fără a limita nejustificat categoriile de documente aplicabile.</w:t>
            </w:r>
          </w:p>
          <w:p w14:paraId="2987FCF3"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B2280A8"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6) Propunerea aferentă </w:t>
            </w:r>
            <w:r w:rsidRPr="008D0F75">
              <w:rPr>
                <w:rFonts w:ascii="Times New Roman" w:hAnsi="Times New Roman"/>
                <w:b/>
                <w:bCs/>
                <w:sz w:val="24"/>
                <w:szCs w:val="24"/>
              </w:rPr>
              <w:t>pct.</w:t>
            </w:r>
            <w:r w:rsidRPr="008D0F75">
              <w:rPr>
                <w:rFonts w:ascii="Times New Roman" w:hAnsi="Times New Roman"/>
                <w:sz w:val="24"/>
                <w:szCs w:val="24"/>
              </w:rPr>
              <w:t xml:space="preserve"> </w:t>
            </w:r>
            <w:r w:rsidRPr="008D0F75">
              <w:rPr>
                <w:rFonts w:ascii="Times New Roman" w:hAnsi="Times New Roman"/>
                <w:b/>
                <w:bCs/>
                <w:sz w:val="24"/>
                <w:szCs w:val="24"/>
              </w:rPr>
              <w:t xml:space="preserve">24, </w:t>
            </w:r>
            <w:r w:rsidRPr="008D0F75">
              <w:rPr>
                <w:rFonts w:ascii="Times New Roman" w:hAnsi="Times New Roman"/>
                <w:sz w:val="24"/>
                <w:szCs w:val="24"/>
              </w:rPr>
              <w:t>privind</w:t>
            </w:r>
            <w:r w:rsidRPr="008D0F75">
              <w:rPr>
                <w:rFonts w:ascii="Times New Roman" w:hAnsi="Times New Roman"/>
                <w:b/>
                <w:bCs/>
                <w:sz w:val="24"/>
                <w:szCs w:val="24"/>
              </w:rPr>
              <w:t xml:space="preserve"> </w:t>
            </w:r>
            <w:r w:rsidRPr="008D0F75">
              <w:rPr>
                <w:rFonts w:ascii="Times New Roman" w:hAnsi="Times New Roman"/>
                <w:sz w:val="24"/>
                <w:szCs w:val="24"/>
              </w:rPr>
              <w:t>noțiunea de „examinator tehnic”.</w:t>
            </w:r>
          </w:p>
          <w:p w14:paraId="3983652F"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8728FB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textului în redacția propusă prin proiect. </w:t>
            </w:r>
          </w:p>
          <w:p w14:paraId="6DFF414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E982F08"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 xml:space="preserve">În acest sens, se clarifică faptul că sintagma vizată se referă la un rol desemnat în cadrul schemei voluntare, al cărui titular efectuează o verificare independentă a calității rezultatelor auditului. Examinatorul tehnic — denumit și revizor tehnic — reprezintă expertul intern al schemei, responsabil de validarea exactității și integrității rezultatelor auditurilor de supraveghere, anterior acceptării acestora ca definitive. </w:t>
            </w:r>
          </w:p>
          <w:p w14:paraId="136FF44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CC5EFB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urmare, prevederea în cauză are un conținut normativ precis și bine determinat, care nu necesită modificări.</w:t>
            </w:r>
          </w:p>
          <w:p w14:paraId="296DD95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20A6A74" w14:textId="019572DA"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7) Propunerea aferentă </w:t>
            </w:r>
            <w:r w:rsidRPr="008D0F75">
              <w:rPr>
                <w:rFonts w:ascii="Times New Roman" w:hAnsi="Times New Roman"/>
                <w:b/>
                <w:bCs/>
                <w:sz w:val="24"/>
                <w:szCs w:val="24"/>
              </w:rPr>
              <w:t xml:space="preserve">pct. 35, </w:t>
            </w:r>
            <w:r w:rsidRPr="008D0F75">
              <w:rPr>
                <w:rFonts w:ascii="Times New Roman" w:hAnsi="Times New Roman"/>
                <w:sz w:val="24"/>
                <w:szCs w:val="24"/>
              </w:rPr>
              <w:t>prinvind obligația organizării cursurilor de formare și a examenelor.</w:t>
            </w:r>
          </w:p>
          <w:p w14:paraId="577B072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D344CCB"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Se recomandă menținerea textului în redacția propusă prin proiect.</w:t>
            </w:r>
          </w:p>
          <w:p w14:paraId="1A72D00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1A4676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Elementele esențiale ale procesului de formare și evaluare sunt stabilite de schema voluntară proprie zisă, însă acestea trebuie să fie de natură a garanta competența tehnică și imparțialitatea auditorilor în </w:t>
            </w:r>
            <w:r w:rsidRPr="008D0F75">
              <w:rPr>
                <w:rFonts w:ascii="Times New Roman" w:hAnsi="Times New Roman"/>
                <w:sz w:val="24"/>
                <w:szCs w:val="24"/>
              </w:rPr>
              <w:lastRenderedPageBreak/>
              <w:t>conformitate prevederile Regulamentului.</w:t>
            </w:r>
          </w:p>
          <w:p w14:paraId="5B209F3B"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D89841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Cursurile tebuie concepute în funcție de domeniul de aplicare al schemei voluntare: Deoarece schemele diferă ca acoperire (unele pot certifica doar biocombustibili, altele pot include și biogaz sau combustibili din carbon reciclat), fiecare schemă voluntară își concepe programul de formare proporțional cu domeniul său de aplicare.</w:t>
            </w:r>
          </w:p>
          <w:p w14:paraId="6F9CF7D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3496839" w14:textId="73DBCCC3"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Pe scurt, baza pentru proiectarea cursurilor de formare o constituie domeniul de aplicare al activităților de certificare ale schemei voluntare — adică tipurile de combustibili, materiile prime, criteriile de durabilitate și cerințele tehnice pe care schema le acoperă.</w:t>
            </w:r>
          </w:p>
          <w:p w14:paraId="109111AE"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DC4D2C3" w14:textId="1544A544"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8) Propunerea aferentă </w:t>
            </w:r>
            <w:r w:rsidRPr="008D0F75">
              <w:rPr>
                <w:rFonts w:ascii="Times New Roman" w:hAnsi="Times New Roman"/>
                <w:b/>
                <w:bCs/>
                <w:sz w:val="24"/>
                <w:szCs w:val="24"/>
              </w:rPr>
              <w:t>pct. 36</w:t>
            </w:r>
            <w:r w:rsidRPr="008D0F75">
              <w:rPr>
                <w:rFonts w:ascii="Times New Roman" w:hAnsi="Times New Roman"/>
                <w:sz w:val="24"/>
                <w:szCs w:val="24"/>
              </w:rPr>
              <w:t>, privind cuvântul „periodic”.</w:t>
            </w:r>
          </w:p>
          <w:p w14:paraId="54BC4E5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7167A9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textului în redacția propusă prin proiect. </w:t>
            </w:r>
          </w:p>
          <w:p w14:paraId="68B5F8C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17BAA5E" w14:textId="2B6BFC2C"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acest sens, se clarifică faptul că prevederea vizată impune auditorilor obligația de a participa </w:t>
            </w:r>
            <w:r w:rsidRPr="008D0F75">
              <w:rPr>
                <w:rFonts w:ascii="Times New Roman" w:hAnsi="Times New Roman"/>
                <w:sz w:val="24"/>
                <w:szCs w:val="24"/>
              </w:rPr>
              <w:lastRenderedPageBreak/>
              <w:t>periodic la cursuri de reîmprospătare a cunoștințelor, fără a se limita la o singură sesiune inițială de formare anterioară începerii activității.</w:t>
            </w:r>
          </w:p>
          <w:p w14:paraId="00438EB3"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DEF8292"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Regulamentul evită în mod deliberat stabilirea unei periodicități fixe — precum intervale anuale sau lunare — întrucât se aplică unor scheme voluntare cu domenii de aplicare, niveluri de risc și contexte operaționale diferite. Această abordare este fundamentată pe următoarele considerente: în primul rând, flexibilitatea — unele scheme pot impune cursuri de reîmprospătare cu o frecvență mai ridicată, în funcție de complexitatea combustibililor, materiilor prime sau criteriilor de durabilitate certificate; în al doilea rând, proporționalitatea — frecvența formării trebuie să reflecte nivelul de risc și ritmul schimbărilor de ordin tehnic sau de reglementare; în al treilea rând, caracterul evolutiv al cadrului normativ — dat fiind că normele Uniunii Europene în domeniul energiei și durabilității sunt supuse actualizărilor periodice, absența unui interval rigid permite schemelor să adapteze programele </w:t>
            </w:r>
            <w:r w:rsidRPr="008D0F75">
              <w:rPr>
                <w:rFonts w:ascii="Times New Roman" w:hAnsi="Times New Roman"/>
                <w:sz w:val="24"/>
                <w:szCs w:val="24"/>
              </w:rPr>
              <w:lastRenderedPageBreak/>
              <w:t xml:space="preserve">de formare la noile evoluții legislative sau tehnice; în al patrulea rând, subsidiaritatea — este lăsat spațiu discreționar pentru ca schemele voluntare și autoritățile naționale competente să stabilească cerințe mai stricte sau mai specifice, acolo unde circumstanțele o impun. </w:t>
            </w:r>
          </w:p>
          <w:p w14:paraId="53B3A7E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7C1943B0" w14:textId="68710AAE"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Prin urmare, redacția propusă este adecvată și nu necesită modificări.</w:t>
            </w:r>
          </w:p>
          <w:p w14:paraId="1D70CAC9"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D31A1D1" w14:textId="0BF9B54C"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9) Propunerea aferentă </w:t>
            </w:r>
            <w:r w:rsidRPr="008D0F75">
              <w:rPr>
                <w:rFonts w:ascii="Times New Roman" w:hAnsi="Times New Roman"/>
                <w:b/>
                <w:bCs/>
                <w:sz w:val="24"/>
                <w:szCs w:val="24"/>
              </w:rPr>
              <w:t>pct. 46</w:t>
            </w:r>
            <w:r w:rsidRPr="008D0F75">
              <w:rPr>
                <w:rFonts w:ascii="Times New Roman" w:hAnsi="Times New Roman"/>
                <w:sz w:val="24"/>
                <w:szCs w:val="24"/>
              </w:rPr>
              <w:t>, privind pragul de „cel puțin cinci tone pe lună”.</w:t>
            </w:r>
          </w:p>
          <w:p w14:paraId="59324F58"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CF4F16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textului în redacția propusă prin proiect. </w:t>
            </w:r>
          </w:p>
          <w:p w14:paraId="1BDCCF3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10519B7"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În acest sens, se clarifică faptul că pragul de cinci sau mai multe tone pe lună din acea prevedere reprezintă, în esență, un declanșator bazat pe risc pentru impunerea auditurilor la fața locului în punctele de origine. Acest prag este prevăzut în mod expres la art. 13 alin. (4) din Regulamentul (UE) 2022/996, care constituie actul normativ al UE ce stă la baza transpunerii prezentului proiect. </w:t>
            </w:r>
          </w:p>
          <w:p w14:paraId="3BB83A9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5AC02FB" w14:textId="68C18F99"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De ce este utilizat acest prag:</w:t>
            </w:r>
          </w:p>
          <w:p w14:paraId="52FB138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527F7CF"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i/>
                <w:iCs/>
                <w:sz w:val="24"/>
                <w:szCs w:val="24"/>
              </w:rPr>
              <w:t>Materialitatea aprovizionării:</w:t>
            </w:r>
            <w:r w:rsidRPr="008D0F75">
              <w:rPr>
                <w:rFonts w:ascii="Times New Roman" w:hAnsi="Times New Roman"/>
                <w:sz w:val="24"/>
                <w:szCs w:val="24"/>
              </w:rPr>
              <w:t xml:space="preserve"> Un punct de origine care furnizează ≥5 tone/lună de deșeuri sau reziduuri este considerat o sursă semnificativă. Volumele mai mari au un impact mai mare asupra declarațiilor de durabilitate și asupra economiilor de emisii de GES, justificând verificări mai stricte.</w:t>
            </w:r>
          </w:p>
          <w:p w14:paraId="695A7FA9"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FE070D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i/>
                <w:iCs/>
                <w:sz w:val="24"/>
                <w:szCs w:val="24"/>
              </w:rPr>
              <w:t>Gestionarea riscului:</w:t>
            </w:r>
            <w:r w:rsidRPr="008D0F75">
              <w:rPr>
                <w:rFonts w:ascii="Times New Roman" w:hAnsi="Times New Roman"/>
                <w:sz w:val="24"/>
                <w:szCs w:val="24"/>
              </w:rPr>
              <w:t xml:space="preserve"> Regulamentul impune ca frecvența și intensitatea auditurilor să reflecte riscul. Cantitățile mai mari cresc riscul de raportare incorectă, fraudă sau încălcări ale criteriilor de durabilitate, astfel încât verificările la fața locului devin obligatorii.</w:t>
            </w:r>
          </w:p>
          <w:p w14:paraId="7055473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299C66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i/>
                <w:iCs/>
                <w:sz w:val="24"/>
                <w:szCs w:val="24"/>
              </w:rPr>
              <w:t>Proporționalitate:</w:t>
            </w:r>
            <w:r w:rsidRPr="008D0F75">
              <w:rPr>
                <w:rFonts w:ascii="Times New Roman" w:hAnsi="Times New Roman"/>
                <w:sz w:val="24"/>
                <w:szCs w:val="24"/>
              </w:rPr>
              <w:t xml:space="preserve"> Furnizorii mai mici (sub 5 tone/lună) nu sunt supuși automat auditurilor la fața locului, reducând sarcina administrativă. Regula echilibrează supravegherea cu pragmatismul.</w:t>
            </w:r>
          </w:p>
          <w:p w14:paraId="305DF4F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F8BE933"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i/>
                <w:iCs/>
                <w:sz w:val="24"/>
                <w:szCs w:val="24"/>
              </w:rPr>
              <w:t>Aliniere la Anexa IX din RED II:</w:t>
            </w:r>
            <w:r w:rsidRPr="008D0F75">
              <w:rPr>
                <w:rFonts w:ascii="Times New Roman" w:hAnsi="Times New Roman"/>
                <w:sz w:val="24"/>
                <w:szCs w:val="24"/>
              </w:rPr>
              <w:t xml:space="preserve"> Pragul este legat în mod specific de reziduurile și deșeurile enumerate în Anexa IX la Directiva (UE) 2018/2001, eligibile pentru obiectivele privind biocombustibilii </w:t>
            </w:r>
            <w:r w:rsidRPr="008D0F75">
              <w:rPr>
                <w:rFonts w:ascii="Times New Roman" w:hAnsi="Times New Roman"/>
                <w:sz w:val="24"/>
                <w:szCs w:val="24"/>
              </w:rPr>
              <w:lastRenderedPageBreak/>
              <w:t>avansați. Verificarea riguroasă a furnizorilor semnificativi protejează integritatea acestor obiective.</w:t>
            </w:r>
          </w:p>
          <w:p w14:paraId="557DFCD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2EAACA8"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Pe scurt, pragul de cinci tone este un reper pragmatic: identifică furnizorii suficient de mari pentru a prezenta un risc material de conformitate, justificând auditurile obligatorii la fața locului, evitând în același timp cerințe disproporționate pentru furnizorii foarte mici.</w:t>
            </w:r>
          </w:p>
          <w:p w14:paraId="4E28D33C"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7B4DF4B" w14:textId="574122D3"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10) Propunerea aferentă </w:t>
            </w:r>
            <w:r w:rsidRPr="008D0F75">
              <w:rPr>
                <w:rFonts w:ascii="Times New Roman" w:hAnsi="Times New Roman"/>
                <w:b/>
                <w:bCs/>
                <w:sz w:val="24"/>
                <w:szCs w:val="24"/>
              </w:rPr>
              <w:t>pct. 49</w:t>
            </w:r>
            <w:r w:rsidRPr="008D0F75">
              <w:rPr>
                <w:rFonts w:ascii="Times New Roman" w:hAnsi="Times New Roman"/>
                <w:sz w:val="24"/>
                <w:szCs w:val="24"/>
              </w:rPr>
              <w:t>, privind instituirea „audit de supraveghere obligatoriu în termen de șase luni” și „audit suplimentar la trei luni”.</w:t>
            </w:r>
          </w:p>
          <w:p w14:paraId="09A2C578"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5C270C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Se recomandă menținerea textului în redacția propusă prin proiect.</w:t>
            </w:r>
          </w:p>
          <w:p w14:paraId="5F6E22E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1F3E5EE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De exemplu, în cazul în care un operator deține o certificare din data de 1 ianuarie 2026 și efectuează un audit suplimentar la data de 1 aprilie 2026 exclusiv pentru ulei virgin, iar auditul obligatoriu general intervine la data de 1 iulie 2026. </w:t>
            </w:r>
          </w:p>
          <w:p w14:paraId="36CC5D80"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592BC234"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1 ianuarie 2026 - prima ceritficare</w:t>
            </w:r>
          </w:p>
          <w:p w14:paraId="7EC6226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1 aprilie 2026 - audit suplimentar doar pentru ulei virgin.</w:t>
            </w:r>
          </w:p>
          <w:p w14:paraId="1222974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lastRenderedPageBreak/>
              <w:t>1 iulie 2026 - audit obligatoriu pentru toate.</w:t>
            </w:r>
          </w:p>
          <w:p w14:paraId="5412016A"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38675B7E" w14:textId="30E853D8"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Astfel,  operatorii care comercializează ulei virgin vor fi supuși la două audituri (supl. + obligatoriu pentru toți), în timp ce ceilalți operatori vor fi supuși unui singur audit (obligatoriu pentru toți).</w:t>
            </w:r>
          </w:p>
          <w:p w14:paraId="091050AD"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0F01F7D5" w14:textId="15F8826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11) Propunerea aferentă </w:t>
            </w:r>
            <w:r w:rsidRPr="008D0F75">
              <w:rPr>
                <w:rFonts w:ascii="Times New Roman" w:hAnsi="Times New Roman"/>
                <w:b/>
                <w:bCs/>
                <w:sz w:val="24"/>
                <w:szCs w:val="24"/>
              </w:rPr>
              <w:t>pct. 76</w:t>
            </w:r>
            <w:r w:rsidRPr="008D0F75">
              <w:rPr>
                <w:rFonts w:ascii="Times New Roman" w:hAnsi="Times New Roman"/>
                <w:sz w:val="24"/>
                <w:szCs w:val="24"/>
              </w:rPr>
              <w:t>, privind textul „alte informații care descriu materiile prime sau combustibilii, necesare în conformitate cu Hotărârea Guvernului nr. 53/2025”.</w:t>
            </w:r>
          </w:p>
          <w:p w14:paraId="57C22C68"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43F19B27"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 xml:space="preserve">Se recomandă menținerea textului în redacția propusă prin proiect. </w:t>
            </w:r>
          </w:p>
          <w:p w14:paraId="26D9F2C6" w14:textId="77777777"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2FE2F874" w14:textId="34D6DE48" w:rsidR="00A859F0" w:rsidRPr="008D0F75" w:rsidRDefault="00A859F0" w:rsidP="00A859F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r w:rsidRPr="008D0F75">
              <w:rPr>
                <w:rFonts w:ascii="Times New Roman" w:hAnsi="Times New Roman"/>
                <w:sz w:val="24"/>
                <w:szCs w:val="24"/>
              </w:rPr>
              <w:t>În acest sens, se clarifică faptul că informația vizată nu face obiectul unui punct sau al unei anexe distincte în cadrul HG 53/2025 care reprezintă actul normativ ce transpune partea referitoare la criteriile de durabilitate din Directiva (UE) 2018/2001.</w:t>
            </w:r>
          </w:p>
        </w:tc>
      </w:tr>
    </w:tbl>
    <w:p w14:paraId="24D8FE0E" w14:textId="62DC9B6F" w:rsidR="00582470" w:rsidRPr="008D0F75" w:rsidRDefault="00582470" w:rsidP="00394A57">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center"/>
        <w:rPr>
          <w:sz w:val="24"/>
          <w:szCs w:val="24"/>
        </w:rPr>
      </w:pPr>
    </w:p>
    <w:sectPr w:rsidR="00582470" w:rsidRPr="008D0F75" w:rsidSect="00215260">
      <w:headerReference w:type="default" r:id="rId12"/>
      <w:headerReference w:type="first" r:id="rId13"/>
      <w:pgSz w:w="16840" w:h="11907" w:orient="landscape"/>
      <w:pgMar w:top="1985" w:right="1418"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C5C4EB" w14:textId="77777777" w:rsidR="002E498E" w:rsidRPr="00673BF0" w:rsidRDefault="002E498E">
      <w:r w:rsidRPr="00673BF0">
        <w:separator/>
      </w:r>
    </w:p>
  </w:endnote>
  <w:endnote w:type="continuationSeparator" w:id="0">
    <w:p w14:paraId="6DE61970" w14:textId="77777777" w:rsidR="002E498E" w:rsidRPr="00673BF0" w:rsidRDefault="002E498E">
      <w:r w:rsidRPr="00673B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 Benguiat_Bold">
    <w:altName w:val="Impact"/>
    <w:panose1 w:val="020B0604020202020204"/>
    <w:charset w:val="00"/>
    <w:family w:val="swiss"/>
    <w:pitch w:val="variable"/>
    <w:sig w:usb0="00000003" w:usb1="00000000" w:usb2="00000000" w:usb3="00000000" w:csb0="00000001" w:csb1="00000000"/>
  </w:font>
  <w:font w:name="$Caslon">
    <w:altName w:val="Vrinda"/>
    <w:panose1 w:val="020B0604020202020204"/>
    <w:charset w:val="00"/>
    <w:family w:val="swiss"/>
    <w:pitch w:val="default"/>
    <w:sig w:usb0="00000000"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F58E49" w14:textId="77777777" w:rsidR="002E498E" w:rsidRPr="00673BF0" w:rsidRDefault="002E498E">
      <w:r w:rsidRPr="00673BF0">
        <w:separator/>
      </w:r>
    </w:p>
  </w:footnote>
  <w:footnote w:type="continuationSeparator" w:id="0">
    <w:p w14:paraId="01591770" w14:textId="77777777" w:rsidR="002E498E" w:rsidRPr="00673BF0" w:rsidRDefault="002E498E">
      <w:r w:rsidRPr="00673B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F8427" w14:textId="77777777" w:rsidR="00D07A16" w:rsidRPr="00673BF0" w:rsidRDefault="00D07A16" w:rsidP="009D4C0F">
    <w:pPr>
      <w:pStyle w:val="Header"/>
      <w:ind w:firstLine="0"/>
      <w:jc w:val="center"/>
      <w:rPr>
        <w:sz w:val="28"/>
        <w:szCs w:val="28"/>
      </w:rPr>
    </w:pPr>
    <w:r w:rsidRPr="00673BF0">
      <w:rPr>
        <w:sz w:val="28"/>
        <w:szCs w:val="28"/>
      </w:rPr>
      <w:fldChar w:fldCharType="begin"/>
    </w:r>
    <w:r w:rsidRPr="00673BF0">
      <w:rPr>
        <w:sz w:val="28"/>
        <w:szCs w:val="28"/>
      </w:rPr>
      <w:instrText>PAGE   \* MERGEFORMAT</w:instrText>
    </w:r>
    <w:r w:rsidRPr="00673BF0">
      <w:rPr>
        <w:sz w:val="28"/>
        <w:szCs w:val="28"/>
      </w:rPr>
      <w:fldChar w:fldCharType="separate"/>
    </w:r>
    <w:r w:rsidR="0084434E" w:rsidRPr="00673BF0">
      <w:rPr>
        <w:sz w:val="28"/>
        <w:szCs w:val="28"/>
      </w:rPr>
      <w:t>8</w:t>
    </w:r>
    <w:r w:rsidRPr="00673BF0">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A24B1" w14:textId="77777777" w:rsidR="00D07A16" w:rsidRPr="00673BF0" w:rsidRDefault="00D07A16">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451CC"/>
    <w:multiLevelType w:val="hybridMultilevel"/>
    <w:tmpl w:val="73A26C3C"/>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4"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5"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7"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8"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9"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10"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1"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3"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8"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9"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0"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1"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3"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4"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5"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6"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7"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8"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9"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0"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1"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2"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3"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4"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E63C31"/>
    <w:multiLevelType w:val="hybridMultilevel"/>
    <w:tmpl w:val="DD98AB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7"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8"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9"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0"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1"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134174317">
    <w:abstractNumId w:val="33"/>
  </w:num>
  <w:num w:numId="2" w16cid:durableId="1732539799">
    <w:abstractNumId w:val="36"/>
  </w:num>
  <w:num w:numId="3" w16cid:durableId="1513033290">
    <w:abstractNumId w:val="15"/>
  </w:num>
  <w:num w:numId="4" w16cid:durableId="1345133189">
    <w:abstractNumId w:val="28"/>
  </w:num>
  <w:num w:numId="5" w16cid:durableId="569273637">
    <w:abstractNumId w:val="17"/>
  </w:num>
  <w:num w:numId="6" w16cid:durableId="667826974">
    <w:abstractNumId w:val="12"/>
  </w:num>
  <w:num w:numId="7" w16cid:durableId="121772672">
    <w:abstractNumId w:val="6"/>
  </w:num>
  <w:num w:numId="8" w16cid:durableId="1796944669">
    <w:abstractNumId w:val="7"/>
  </w:num>
  <w:num w:numId="9" w16cid:durableId="1130976463">
    <w:abstractNumId w:val="25"/>
  </w:num>
  <w:num w:numId="10" w16cid:durableId="1520776320">
    <w:abstractNumId w:val="4"/>
  </w:num>
  <w:num w:numId="11" w16cid:durableId="1941142213">
    <w:abstractNumId w:val="24"/>
  </w:num>
  <w:num w:numId="12" w16cid:durableId="1110247989">
    <w:abstractNumId w:val="3"/>
  </w:num>
  <w:num w:numId="13" w16cid:durableId="1000541525">
    <w:abstractNumId w:val="38"/>
  </w:num>
  <w:num w:numId="14" w16cid:durableId="1453475340">
    <w:abstractNumId w:val="18"/>
  </w:num>
  <w:num w:numId="15" w16cid:durableId="178083763">
    <w:abstractNumId w:val="19"/>
  </w:num>
  <w:num w:numId="16" w16cid:durableId="1971861296">
    <w:abstractNumId w:val="32"/>
  </w:num>
  <w:num w:numId="17" w16cid:durableId="1718163806">
    <w:abstractNumId w:val="29"/>
  </w:num>
  <w:num w:numId="18" w16cid:durableId="108279463">
    <w:abstractNumId w:val="23"/>
  </w:num>
  <w:num w:numId="19" w16cid:durableId="1436708972">
    <w:abstractNumId w:val="20"/>
  </w:num>
  <w:num w:numId="20" w16cid:durableId="934636014">
    <w:abstractNumId w:val="9"/>
  </w:num>
  <w:num w:numId="21" w16cid:durableId="1469587083">
    <w:abstractNumId w:val="31"/>
  </w:num>
  <w:num w:numId="22" w16cid:durableId="291062431">
    <w:abstractNumId w:val="5"/>
  </w:num>
  <w:num w:numId="23" w16cid:durableId="845902382">
    <w:abstractNumId w:val="14"/>
  </w:num>
  <w:num w:numId="24" w16cid:durableId="1458376249">
    <w:abstractNumId w:val="11"/>
  </w:num>
  <w:num w:numId="25" w16cid:durableId="1569146970">
    <w:abstractNumId w:val="21"/>
  </w:num>
  <w:num w:numId="26" w16cid:durableId="2087921197">
    <w:abstractNumId w:val="34"/>
  </w:num>
  <w:num w:numId="27" w16cid:durableId="262111176">
    <w:abstractNumId w:val="26"/>
  </w:num>
  <w:num w:numId="28" w16cid:durableId="373386549">
    <w:abstractNumId w:val="40"/>
    <w:lvlOverride w:ilvl="0">
      <w:startOverride w:val="1"/>
    </w:lvlOverride>
  </w:num>
  <w:num w:numId="29" w16cid:durableId="1361469376">
    <w:abstractNumId w:val="22"/>
  </w:num>
  <w:num w:numId="30" w16cid:durableId="2013020055">
    <w:abstractNumId w:val="8"/>
  </w:num>
  <w:num w:numId="31" w16cid:durableId="680860804">
    <w:abstractNumId w:val="39"/>
  </w:num>
  <w:num w:numId="32" w16cid:durableId="2007904481">
    <w:abstractNumId w:val="40"/>
  </w:num>
  <w:num w:numId="33" w16cid:durableId="1354840367">
    <w:abstractNumId w:val="13"/>
  </w:num>
  <w:num w:numId="34" w16cid:durableId="12726488">
    <w:abstractNumId w:val="42"/>
  </w:num>
  <w:num w:numId="35" w16cid:durableId="933245092">
    <w:abstractNumId w:val="41"/>
  </w:num>
  <w:num w:numId="36" w16cid:durableId="1799494202">
    <w:abstractNumId w:val="0"/>
  </w:num>
  <w:num w:numId="37" w16cid:durableId="1650287813">
    <w:abstractNumId w:val="10"/>
  </w:num>
  <w:num w:numId="38" w16cid:durableId="447555402">
    <w:abstractNumId w:val="30"/>
  </w:num>
  <w:num w:numId="39" w16cid:durableId="83310918">
    <w:abstractNumId w:val="16"/>
  </w:num>
  <w:num w:numId="40" w16cid:durableId="287862591">
    <w:abstractNumId w:val="37"/>
  </w:num>
  <w:num w:numId="41" w16cid:durableId="933706732">
    <w:abstractNumId w:val="27"/>
  </w:num>
  <w:num w:numId="42" w16cid:durableId="1765689170">
    <w:abstractNumId w:val="2"/>
  </w:num>
  <w:num w:numId="43" w16cid:durableId="1528564346">
    <w:abstractNumId w:val="43"/>
  </w:num>
  <w:num w:numId="44" w16cid:durableId="2053922773">
    <w:abstractNumId w:val="1"/>
  </w:num>
  <w:num w:numId="45" w16cid:durableId="1098983545">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4E79"/>
    <w:rsid w:val="00010D3D"/>
    <w:rsid w:val="0001297A"/>
    <w:rsid w:val="00013460"/>
    <w:rsid w:val="00013804"/>
    <w:rsid w:val="00013AC9"/>
    <w:rsid w:val="000144E3"/>
    <w:rsid w:val="00015DB9"/>
    <w:rsid w:val="000163C6"/>
    <w:rsid w:val="00016AF7"/>
    <w:rsid w:val="0001747F"/>
    <w:rsid w:val="00017570"/>
    <w:rsid w:val="000221EE"/>
    <w:rsid w:val="0002435C"/>
    <w:rsid w:val="00024C31"/>
    <w:rsid w:val="0003113D"/>
    <w:rsid w:val="00031480"/>
    <w:rsid w:val="00032B46"/>
    <w:rsid w:val="00035022"/>
    <w:rsid w:val="00037EFD"/>
    <w:rsid w:val="0004289C"/>
    <w:rsid w:val="0004322E"/>
    <w:rsid w:val="00043AC7"/>
    <w:rsid w:val="00043D25"/>
    <w:rsid w:val="00044D19"/>
    <w:rsid w:val="0004558B"/>
    <w:rsid w:val="00045E7E"/>
    <w:rsid w:val="00047FBD"/>
    <w:rsid w:val="00050AB5"/>
    <w:rsid w:val="00051F17"/>
    <w:rsid w:val="00052045"/>
    <w:rsid w:val="000528B8"/>
    <w:rsid w:val="00054100"/>
    <w:rsid w:val="00054810"/>
    <w:rsid w:val="00055758"/>
    <w:rsid w:val="00062531"/>
    <w:rsid w:val="000713DA"/>
    <w:rsid w:val="0007165D"/>
    <w:rsid w:val="00071EAA"/>
    <w:rsid w:val="0007236F"/>
    <w:rsid w:val="00073DB8"/>
    <w:rsid w:val="00075A5F"/>
    <w:rsid w:val="00076229"/>
    <w:rsid w:val="00076AD5"/>
    <w:rsid w:val="00081267"/>
    <w:rsid w:val="00084594"/>
    <w:rsid w:val="00085029"/>
    <w:rsid w:val="00085DD8"/>
    <w:rsid w:val="00090B7A"/>
    <w:rsid w:val="00093806"/>
    <w:rsid w:val="00097960"/>
    <w:rsid w:val="000A09F1"/>
    <w:rsid w:val="000A1827"/>
    <w:rsid w:val="000A6BA5"/>
    <w:rsid w:val="000B3D87"/>
    <w:rsid w:val="000B45FF"/>
    <w:rsid w:val="000B50EE"/>
    <w:rsid w:val="000B71C6"/>
    <w:rsid w:val="000C0386"/>
    <w:rsid w:val="000C041B"/>
    <w:rsid w:val="000C2AB4"/>
    <w:rsid w:val="000C45BE"/>
    <w:rsid w:val="000C545B"/>
    <w:rsid w:val="000C7C32"/>
    <w:rsid w:val="000D139C"/>
    <w:rsid w:val="000D34F1"/>
    <w:rsid w:val="000D4F59"/>
    <w:rsid w:val="000D5806"/>
    <w:rsid w:val="000D5C74"/>
    <w:rsid w:val="000D6D4C"/>
    <w:rsid w:val="000D6E7A"/>
    <w:rsid w:val="000D74F8"/>
    <w:rsid w:val="000E1D40"/>
    <w:rsid w:val="000E2800"/>
    <w:rsid w:val="000E40CA"/>
    <w:rsid w:val="000E51C4"/>
    <w:rsid w:val="000F17D0"/>
    <w:rsid w:val="000F497A"/>
    <w:rsid w:val="000F4FA5"/>
    <w:rsid w:val="000F7CA4"/>
    <w:rsid w:val="00102AD8"/>
    <w:rsid w:val="00104A95"/>
    <w:rsid w:val="00107E8E"/>
    <w:rsid w:val="00111145"/>
    <w:rsid w:val="00113956"/>
    <w:rsid w:val="00116035"/>
    <w:rsid w:val="0011677F"/>
    <w:rsid w:val="001211EA"/>
    <w:rsid w:val="00122931"/>
    <w:rsid w:val="00131B33"/>
    <w:rsid w:val="0013237F"/>
    <w:rsid w:val="00133E05"/>
    <w:rsid w:val="00136712"/>
    <w:rsid w:val="00136902"/>
    <w:rsid w:val="001372EC"/>
    <w:rsid w:val="00141898"/>
    <w:rsid w:val="00143389"/>
    <w:rsid w:val="00143CC4"/>
    <w:rsid w:val="00150383"/>
    <w:rsid w:val="0015146D"/>
    <w:rsid w:val="00157D40"/>
    <w:rsid w:val="001612BE"/>
    <w:rsid w:val="00161CE3"/>
    <w:rsid w:val="00162BE7"/>
    <w:rsid w:val="00164CE3"/>
    <w:rsid w:val="0016588F"/>
    <w:rsid w:val="00166C0D"/>
    <w:rsid w:val="0017006C"/>
    <w:rsid w:val="00170EB9"/>
    <w:rsid w:val="00173F45"/>
    <w:rsid w:val="00174E20"/>
    <w:rsid w:val="001770DD"/>
    <w:rsid w:val="00182B3C"/>
    <w:rsid w:val="00184334"/>
    <w:rsid w:val="00185AC8"/>
    <w:rsid w:val="0019076F"/>
    <w:rsid w:val="00191428"/>
    <w:rsid w:val="00193861"/>
    <w:rsid w:val="00193CFC"/>
    <w:rsid w:val="001A25C3"/>
    <w:rsid w:val="001A37C7"/>
    <w:rsid w:val="001A6038"/>
    <w:rsid w:val="001B0214"/>
    <w:rsid w:val="001B3A4D"/>
    <w:rsid w:val="001B3BE4"/>
    <w:rsid w:val="001B5818"/>
    <w:rsid w:val="001B5DD0"/>
    <w:rsid w:val="001B65D3"/>
    <w:rsid w:val="001B66A4"/>
    <w:rsid w:val="001B6E6E"/>
    <w:rsid w:val="001C3F21"/>
    <w:rsid w:val="001C46C1"/>
    <w:rsid w:val="001C4EEE"/>
    <w:rsid w:val="001D2FA2"/>
    <w:rsid w:val="001D7A68"/>
    <w:rsid w:val="001D7E23"/>
    <w:rsid w:val="001E012A"/>
    <w:rsid w:val="001E4497"/>
    <w:rsid w:val="001E7703"/>
    <w:rsid w:val="001F0524"/>
    <w:rsid w:val="001F0570"/>
    <w:rsid w:val="001F16D2"/>
    <w:rsid w:val="001F1849"/>
    <w:rsid w:val="001F2097"/>
    <w:rsid w:val="002000EB"/>
    <w:rsid w:val="00200223"/>
    <w:rsid w:val="00200516"/>
    <w:rsid w:val="00201652"/>
    <w:rsid w:val="00205100"/>
    <w:rsid w:val="00206E1C"/>
    <w:rsid w:val="0020794F"/>
    <w:rsid w:val="00207BE7"/>
    <w:rsid w:val="00207E70"/>
    <w:rsid w:val="002124DF"/>
    <w:rsid w:val="0021451B"/>
    <w:rsid w:val="00215260"/>
    <w:rsid w:val="002164C9"/>
    <w:rsid w:val="002170A5"/>
    <w:rsid w:val="00217227"/>
    <w:rsid w:val="00217B75"/>
    <w:rsid w:val="00222D93"/>
    <w:rsid w:val="0022496A"/>
    <w:rsid w:val="002300E1"/>
    <w:rsid w:val="00230761"/>
    <w:rsid w:val="00236E65"/>
    <w:rsid w:val="002372B8"/>
    <w:rsid w:val="00237BEE"/>
    <w:rsid w:val="00240AC0"/>
    <w:rsid w:val="002435A1"/>
    <w:rsid w:val="002453BD"/>
    <w:rsid w:val="0024627E"/>
    <w:rsid w:val="0024766D"/>
    <w:rsid w:val="0025180D"/>
    <w:rsid w:val="00257353"/>
    <w:rsid w:val="0026460F"/>
    <w:rsid w:val="00266465"/>
    <w:rsid w:val="002721D2"/>
    <w:rsid w:val="0027237E"/>
    <w:rsid w:val="0027425A"/>
    <w:rsid w:val="00274553"/>
    <w:rsid w:val="002745C7"/>
    <w:rsid w:val="00274B75"/>
    <w:rsid w:val="0028093A"/>
    <w:rsid w:val="002809BA"/>
    <w:rsid w:val="00280AEC"/>
    <w:rsid w:val="00281C80"/>
    <w:rsid w:val="002914AD"/>
    <w:rsid w:val="0029293C"/>
    <w:rsid w:val="00292CA4"/>
    <w:rsid w:val="002950E0"/>
    <w:rsid w:val="002954C4"/>
    <w:rsid w:val="00296A5A"/>
    <w:rsid w:val="00296E4B"/>
    <w:rsid w:val="002A01A1"/>
    <w:rsid w:val="002A2E7F"/>
    <w:rsid w:val="002A68F3"/>
    <w:rsid w:val="002B0145"/>
    <w:rsid w:val="002B07BD"/>
    <w:rsid w:val="002B1F19"/>
    <w:rsid w:val="002B4986"/>
    <w:rsid w:val="002B5444"/>
    <w:rsid w:val="002B547F"/>
    <w:rsid w:val="002C21E9"/>
    <w:rsid w:val="002C3C1D"/>
    <w:rsid w:val="002C48EC"/>
    <w:rsid w:val="002D01F5"/>
    <w:rsid w:val="002D09AD"/>
    <w:rsid w:val="002D1207"/>
    <w:rsid w:val="002D38C5"/>
    <w:rsid w:val="002D390E"/>
    <w:rsid w:val="002D39B1"/>
    <w:rsid w:val="002D4678"/>
    <w:rsid w:val="002D7747"/>
    <w:rsid w:val="002D7CBB"/>
    <w:rsid w:val="002E0AD3"/>
    <w:rsid w:val="002E418B"/>
    <w:rsid w:val="002E4217"/>
    <w:rsid w:val="002E498E"/>
    <w:rsid w:val="002E4A58"/>
    <w:rsid w:val="002E505B"/>
    <w:rsid w:val="002F2A1E"/>
    <w:rsid w:val="002F30F7"/>
    <w:rsid w:val="002F36F5"/>
    <w:rsid w:val="002F3DAA"/>
    <w:rsid w:val="002F5F1E"/>
    <w:rsid w:val="002F7055"/>
    <w:rsid w:val="002F7FB5"/>
    <w:rsid w:val="00301D7D"/>
    <w:rsid w:val="0031555D"/>
    <w:rsid w:val="00315655"/>
    <w:rsid w:val="00315B32"/>
    <w:rsid w:val="00315BDC"/>
    <w:rsid w:val="00320215"/>
    <w:rsid w:val="00324559"/>
    <w:rsid w:val="003247BE"/>
    <w:rsid w:val="003254B9"/>
    <w:rsid w:val="00325D8F"/>
    <w:rsid w:val="00327C88"/>
    <w:rsid w:val="00330426"/>
    <w:rsid w:val="00330845"/>
    <w:rsid w:val="0033099B"/>
    <w:rsid w:val="003342E1"/>
    <w:rsid w:val="00334C0F"/>
    <w:rsid w:val="003358FF"/>
    <w:rsid w:val="003371CD"/>
    <w:rsid w:val="0033757A"/>
    <w:rsid w:val="00342FD1"/>
    <w:rsid w:val="00344D18"/>
    <w:rsid w:val="00345F5B"/>
    <w:rsid w:val="00347B79"/>
    <w:rsid w:val="003503A9"/>
    <w:rsid w:val="003509A8"/>
    <w:rsid w:val="00353C3B"/>
    <w:rsid w:val="00354545"/>
    <w:rsid w:val="00355EAF"/>
    <w:rsid w:val="00360DC4"/>
    <w:rsid w:val="0036135C"/>
    <w:rsid w:val="00362D0C"/>
    <w:rsid w:val="0036376E"/>
    <w:rsid w:val="00363C6D"/>
    <w:rsid w:val="0036518F"/>
    <w:rsid w:val="003667EE"/>
    <w:rsid w:val="0036724F"/>
    <w:rsid w:val="0036768D"/>
    <w:rsid w:val="003733F6"/>
    <w:rsid w:val="00374362"/>
    <w:rsid w:val="0037598B"/>
    <w:rsid w:val="00377B12"/>
    <w:rsid w:val="00380147"/>
    <w:rsid w:val="00381C7D"/>
    <w:rsid w:val="003840D6"/>
    <w:rsid w:val="00385C9B"/>
    <w:rsid w:val="003872BA"/>
    <w:rsid w:val="00387D77"/>
    <w:rsid w:val="0039103A"/>
    <w:rsid w:val="003922EF"/>
    <w:rsid w:val="00392A68"/>
    <w:rsid w:val="00394A57"/>
    <w:rsid w:val="00396572"/>
    <w:rsid w:val="00397415"/>
    <w:rsid w:val="003A0ACB"/>
    <w:rsid w:val="003A2CB2"/>
    <w:rsid w:val="003A34F0"/>
    <w:rsid w:val="003A4D1C"/>
    <w:rsid w:val="003A5EF6"/>
    <w:rsid w:val="003B257A"/>
    <w:rsid w:val="003B7521"/>
    <w:rsid w:val="003C0065"/>
    <w:rsid w:val="003C0C4D"/>
    <w:rsid w:val="003C11CC"/>
    <w:rsid w:val="003C3DB4"/>
    <w:rsid w:val="003C3EB9"/>
    <w:rsid w:val="003C4F1E"/>
    <w:rsid w:val="003C70D5"/>
    <w:rsid w:val="003C7A2F"/>
    <w:rsid w:val="003D520B"/>
    <w:rsid w:val="003D5E8B"/>
    <w:rsid w:val="003D7676"/>
    <w:rsid w:val="003E3748"/>
    <w:rsid w:val="003E4AE9"/>
    <w:rsid w:val="003E4DA7"/>
    <w:rsid w:val="003F0BA5"/>
    <w:rsid w:val="003F0CD8"/>
    <w:rsid w:val="003F0D6F"/>
    <w:rsid w:val="003F1279"/>
    <w:rsid w:val="003F30AB"/>
    <w:rsid w:val="003F5652"/>
    <w:rsid w:val="00405019"/>
    <w:rsid w:val="00405BEF"/>
    <w:rsid w:val="00406BA9"/>
    <w:rsid w:val="00410C9A"/>
    <w:rsid w:val="004112BE"/>
    <w:rsid w:val="004148D4"/>
    <w:rsid w:val="00421AB5"/>
    <w:rsid w:val="0042381A"/>
    <w:rsid w:val="00424212"/>
    <w:rsid w:val="00424A69"/>
    <w:rsid w:val="00424CF9"/>
    <w:rsid w:val="0043208D"/>
    <w:rsid w:val="004333B4"/>
    <w:rsid w:val="00433635"/>
    <w:rsid w:val="00434203"/>
    <w:rsid w:val="0043484F"/>
    <w:rsid w:val="0044073C"/>
    <w:rsid w:val="0044161C"/>
    <w:rsid w:val="00442757"/>
    <w:rsid w:val="004431FB"/>
    <w:rsid w:val="00447D82"/>
    <w:rsid w:val="00451CEE"/>
    <w:rsid w:val="00452C3E"/>
    <w:rsid w:val="00452C6C"/>
    <w:rsid w:val="0045451B"/>
    <w:rsid w:val="0045592B"/>
    <w:rsid w:val="004634A3"/>
    <w:rsid w:val="00464294"/>
    <w:rsid w:val="004676CA"/>
    <w:rsid w:val="004713C8"/>
    <w:rsid w:val="00472076"/>
    <w:rsid w:val="004735CE"/>
    <w:rsid w:val="00474658"/>
    <w:rsid w:val="00476D00"/>
    <w:rsid w:val="0047797E"/>
    <w:rsid w:val="00485547"/>
    <w:rsid w:val="00485E67"/>
    <w:rsid w:val="004902EA"/>
    <w:rsid w:val="00490418"/>
    <w:rsid w:val="004910DD"/>
    <w:rsid w:val="004931B5"/>
    <w:rsid w:val="0049482B"/>
    <w:rsid w:val="00497F06"/>
    <w:rsid w:val="004A3757"/>
    <w:rsid w:val="004B1283"/>
    <w:rsid w:val="004B7E25"/>
    <w:rsid w:val="004C11B3"/>
    <w:rsid w:val="004C5945"/>
    <w:rsid w:val="004C6034"/>
    <w:rsid w:val="004C799F"/>
    <w:rsid w:val="004D28BD"/>
    <w:rsid w:val="004D3941"/>
    <w:rsid w:val="004E2421"/>
    <w:rsid w:val="004E46F0"/>
    <w:rsid w:val="004E6489"/>
    <w:rsid w:val="004E6662"/>
    <w:rsid w:val="004E7D2F"/>
    <w:rsid w:val="004F33FD"/>
    <w:rsid w:val="004F568A"/>
    <w:rsid w:val="004F5744"/>
    <w:rsid w:val="004F57A2"/>
    <w:rsid w:val="005020EC"/>
    <w:rsid w:val="00504401"/>
    <w:rsid w:val="005069C8"/>
    <w:rsid w:val="00506E12"/>
    <w:rsid w:val="00507602"/>
    <w:rsid w:val="0050794E"/>
    <w:rsid w:val="00513108"/>
    <w:rsid w:val="00516555"/>
    <w:rsid w:val="00524D7C"/>
    <w:rsid w:val="005256CF"/>
    <w:rsid w:val="005329AD"/>
    <w:rsid w:val="00537848"/>
    <w:rsid w:val="00542C43"/>
    <w:rsid w:val="005456BF"/>
    <w:rsid w:val="005477F2"/>
    <w:rsid w:val="00551299"/>
    <w:rsid w:val="005528BB"/>
    <w:rsid w:val="00555DF5"/>
    <w:rsid w:val="0055641A"/>
    <w:rsid w:val="005610C6"/>
    <w:rsid w:val="00561E02"/>
    <w:rsid w:val="0056255F"/>
    <w:rsid w:val="00563FAE"/>
    <w:rsid w:val="00570A51"/>
    <w:rsid w:val="00572006"/>
    <w:rsid w:val="00573E74"/>
    <w:rsid w:val="00575F7D"/>
    <w:rsid w:val="0057790F"/>
    <w:rsid w:val="00580B22"/>
    <w:rsid w:val="00582470"/>
    <w:rsid w:val="00583B56"/>
    <w:rsid w:val="0058405B"/>
    <w:rsid w:val="00584A16"/>
    <w:rsid w:val="00585D1C"/>
    <w:rsid w:val="00593035"/>
    <w:rsid w:val="00593103"/>
    <w:rsid w:val="00594DE5"/>
    <w:rsid w:val="005962FD"/>
    <w:rsid w:val="00596FFC"/>
    <w:rsid w:val="005A0B65"/>
    <w:rsid w:val="005A12D7"/>
    <w:rsid w:val="005A29D6"/>
    <w:rsid w:val="005A47BD"/>
    <w:rsid w:val="005A54EA"/>
    <w:rsid w:val="005B0C92"/>
    <w:rsid w:val="005B2D9C"/>
    <w:rsid w:val="005B56E3"/>
    <w:rsid w:val="005B7E20"/>
    <w:rsid w:val="005C1D42"/>
    <w:rsid w:val="005C20EB"/>
    <w:rsid w:val="005C412B"/>
    <w:rsid w:val="005C4835"/>
    <w:rsid w:val="005C5A53"/>
    <w:rsid w:val="005C7769"/>
    <w:rsid w:val="005D5ABA"/>
    <w:rsid w:val="005D5F1D"/>
    <w:rsid w:val="005E01F7"/>
    <w:rsid w:val="005E3460"/>
    <w:rsid w:val="005E37E8"/>
    <w:rsid w:val="005E469B"/>
    <w:rsid w:val="005E5937"/>
    <w:rsid w:val="005F00F0"/>
    <w:rsid w:val="005F090B"/>
    <w:rsid w:val="005F0A25"/>
    <w:rsid w:val="005F0F53"/>
    <w:rsid w:val="005F584A"/>
    <w:rsid w:val="005F71D8"/>
    <w:rsid w:val="0060442E"/>
    <w:rsid w:val="00605857"/>
    <w:rsid w:val="0060625D"/>
    <w:rsid w:val="00611BAA"/>
    <w:rsid w:val="00612D18"/>
    <w:rsid w:val="00613016"/>
    <w:rsid w:val="00613387"/>
    <w:rsid w:val="00615AF6"/>
    <w:rsid w:val="00615BB7"/>
    <w:rsid w:val="00616A16"/>
    <w:rsid w:val="00620696"/>
    <w:rsid w:val="00621954"/>
    <w:rsid w:val="00621BB4"/>
    <w:rsid w:val="0062201D"/>
    <w:rsid w:val="00623361"/>
    <w:rsid w:val="00624BA9"/>
    <w:rsid w:val="0062575C"/>
    <w:rsid w:val="00630147"/>
    <w:rsid w:val="00632780"/>
    <w:rsid w:val="006339EB"/>
    <w:rsid w:val="00634553"/>
    <w:rsid w:val="006348E5"/>
    <w:rsid w:val="00636DAD"/>
    <w:rsid w:val="006559E3"/>
    <w:rsid w:val="00657577"/>
    <w:rsid w:val="00657ADB"/>
    <w:rsid w:val="006613B2"/>
    <w:rsid w:val="00662543"/>
    <w:rsid w:val="00664EED"/>
    <w:rsid w:val="00665A67"/>
    <w:rsid w:val="006660B2"/>
    <w:rsid w:val="0067056E"/>
    <w:rsid w:val="00672A85"/>
    <w:rsid w:val="006739CA"/>
    <w:rsid w:val="00673BF0"/>
    <w:rsid w:val="00673E8A"/>
    <w:rsid w:val="00676824"/>
    <w:rsid w:val="0068258E"/>
    <w:rsid w:val="006855AC"/>
    <w:rsid w:val="00685A57"/>
    <w:rsid w:val="006876BA"/>
    <w:rsid w:val="006877B7"/>
    <w:rsid w:val="00687836"/>
    <w:rsid w:val="00691790"/>
    <w:rsid w:val="006927F7"/>
    <w:rsid w:val="006933C3"/>
    <w:rsid w:val="0069435F"/>
    <w:rsid w:val="006956E6"/>
    <w:rsid w:val="00697045"/>
    <w:rsid w:val="00697863"/>
    <w:rsid w:val="006A1C16"/>
    <w:rsid w:val="006A27BD"/>
    <w:rsid w:val="006A337B"/>
    <w:rsid w:val="006A4B29"/>
    <w:rsid w:val="006A4E08"/>
    <w:rsid w:val="006A57D6"/>
    <w:rsid w:val="006A58BC"/>
    <w:rsid w:val="006C1F7A"/>
    <w:rsid w:val="006C344A"/>
    <w:rsid w:val="006C37BA"/>
    <w:rsid w:val="006C40C7"/>
    <w:rsid w:val="006D30D7"/>
    <w:rsid w:val="006D3EB7"/>
    <w:rsid w:val="006D5EB7"/>
    <w:rsid w:val="006D7B49"/>
    <w:rsid w:val="006E055A"/>
    <w:rsid w:val="006E0A2E"/>
    <w:rsid w:val="006E1269"/>
    <w:rsid w:val="006E2FAA"/>
    <w:rsid w:val="006E3542"/>
    <w:rsid w:val="006E4507"/>
    <w:rsid w:val="006E4BD5"/>
    <w:rsid w:val="006E5ECD"/>
    <w:rsid w:val="006E7D38"/>
    <w:rsid w:val="006F0870"/>
    <w:rsid w:val="006F3D3C"/>
    <w:rsid w:val="006F43CA"/>
    <w:rsid w:val="006F4FBF"/>
    <w:rsid w:val="006F5EED"/>
    <w:rsid w:val="006F7EF4"/>
    <w:rsid w:val="00700D63"/>
    <w:rsid w:val="007026DD"/>
    <w:rsid w:val="00702770"/>
    <w:rsid w:val="00703FCE"/>
    <w:rsid w:val="0070423E"/>
    <w:rsid w:val="00704DDE"/>
    <w:rsid w:val="0070572A"/>
    <w:rsid w:val="0070654B"/>
    <w:rsid w:val="00707B68"/>
    <w:rsid w:val="007126C4"/>
    <w:rsid w:val="00720729"/>
    <w:rsid w:val="007222AD"/>
    <w:rsid w:val="00724726"/>
    <w:rsid w:val="007258CF"/>
    <w:rsid w:val="00727B8A"/>
    <w:rsid w:val="00727E0E"/>
    <w:rsid w:val="007308AB"/>
    <w:rsid w:val="0073333A"/>
    <w:rsid w:val="007341EA"/>
    <w:rsid w:val="00737731"/>
    <w:rsid w:val="00740210"/>
    <w:rsid w:val="007411D5"/>
    <w:rsid w:val="007447EC"/>
    <w:rsid w:val="00751210"/>
    <w:rsid w:val="00751DA5"/>
    <w:rsid w:val="00756648"/>
    <w:rsid w:val="00757547"/>
    <w:rsid w:val="007606E7"/>
    <w:rsid w:val="0076117A"/>
    <w:rsid w:val="00763CC2"/>
    <w:rsid w:val="00766273"/>
    <w:rsid w:val="007716FD"/>
    <w:rsid w:val="007724CE"/>
    <w:rsid w:val="007744FD"/>
    <w:rsid w:val="007800E3"/>
    <w:rsid w:val="00780C21"/>
    <w:rsid w:val="0078472E"/>
    <w:rsid w:val="00786A20"/>
    <w:rsid w:val="007905CA"/>
    <w:rsid w:val="0079167D"/>
    <w:rsid w:val="007935D9"/>
    <w:rsid w:val="00794670"/>
    <w:rsid w:val="007A031F"/>
    <w:rsid w:val="007A0931"/>
    <w:rsid w:val="007A1B4C"/>
    <w:rsid w:val="007A4309"/>
    <w:rsid w:val="007A5B7C"/>
    <w:rsid w:val="007A6E64"/>
    <w:rsid w:val="007A779B"/>
    <w:rsid w:val="007B627D"/>
    <w:rsid w:val="007B6E7F"/>
    <w:rsid w:val="007C24DD"/>
    <w:rsid w:val="007C53A1"/>
    <w:rsid w:val="007C58BD"/>
    <w:rsid w:val="007C5D4B"/>
    <w:rsid w:val="007D00B1"/>
    <w:rsid w:val="007D0E36"/>
    <w:rsid w:val="007D115F"/>
    <w:rsid w:val="007D4CA2"/>
    <w:rsid w:val="007E3F69"/>
    <w:rsid w:val="007E54D9"/>
    <w:rsid w:val="007E640C"/>
    <w:rsid w:val="007E7735"/>
    <w:rsid w:val="007F1254"/>
    <w:rsid w:val="007F1374"/>
    <w:rsid w:val="007F1ACF"/>
    <w:rsid w:val="007F40B2"/>
    <w:rsid w:val="007F7043"/>
    <w:rsid w:val="007F7D88"/>
    <w:rsid w:val="00800EE1"/>
    <w:rsid w:val="00804C4F"/>
    <w:rsid w:val="00806361"/>
    <w:rsid w:val="00807F74"/>
    <w:rsid w:val="00811204"/>
    <w:rsid w:val="00811CAE"/>
    <w:rsid w:val="00811E87"/>
    <w:rsid w:val="00814E69"/>
    <w:rsid w:val="008221E6"/>
    <w:rsid w:val="00824845"/>
    <w:rsid w:val="00824931"/>
    <w:rsid w:val="00825DC9"/>
    <w:rsid w:val="00827827"/>
    <w:rsid w:val="0083083C"/>
    <w:rsid w:val="00831DF3"/>
    <w:rsid w:val="008321EB"/>
    <w:rsid w:val="008326E7"/>
    <w:rsid w:val="008328D1"/>
    <w:rsid w:val="008368FF"/>
    <w:rsid w:val="0084241F"/>
    <w:rsid w:val="00843355"/>
    <w:rsid w:val="0084434E"/>
    <w:rsid w:val="00844DA9"/>
    <w:rsid w:val="008478EC"/>
    <w:rsid w:val="008503B8"/>
    <w:rsid w:val="008506B1"/>
    <w:rsid w:val="008510CC"/>
    <w:rsid w:val="00851C7C"/>
    <w:rsid w:val="00852867"/>
    <w:rsid w:val="00857596"/>
    <w:rsid w:val="0085760D"/>
    <w:rsid w:val="00860C47"/>
    <w:rsid w:val="00861F30"/>
    <w:rsid w:val="0086209E"/>
    <w:rsid w:val="00863417"/>
    <w:rsid w:val="0086343C"/>
    <w:rsid w:val="00863D76"/>
    <w:rsid w:val="0086509B"/>
    <w:rsid w:val="00865BB2"/>
    <w:rsid w:val="00867DF6"/>
    <w:rsid w:val="008723A1"/>
    <w:rsid w:val="0087296A"/>
    <w:rsid w:val="00873BB1"/>
    <w:rsid w:val="00876262"/>
    <w:rsid w:val="0088576F"/>
    <w:rsid w:val="00886352"/>
    <w:rsid w:val="00890114"/>
    <w:rsid w:val="00891049"/>
    <w:rsid w:val="00895F54"/>
    <w:rsid w:val="00897403"/>
    <w:rsid w:val="00897C81"/>
    <w:rsid w:val="008A0D3B"/>
    <w:rsid w:val="008A1B43"/>
    <w:rsid w:val="008A40C0"/>
    <w:rsid w:val="008A4C86"/>
    <w:rsid w:val="008A5923"/>
    <w:rsid w:val="008A70CD"/>
    <w:rsid w:val="008B1120"/>
    <w:rsid w:val="008B1158"/>
    <w:rsid w:val="008B1AA1"/>
    <w:rsid w:val="008B1BFF"/>
    <w:rsid w:val="008B282B"/>
    <w:rsid w:val="008B4BE6"/>
    <w:rsid w:val="008C02FD"/>
    <w:rsid w:val="008C0A56"/>
    <w:rsid w:val="008C0E1D"/>
    <w:rsid w:val="008C2045"/>
    <w:rsid w:val="008C2DD5"/>
    <w:rsid w:val="008C3755"/>
    <w:rsid w:val="008C3A2E"/>
    <w:rsid w:val="008C6567"/>
    <w:rsid w:val="008D0F75"/>
    <w:rsid w:val="008D28DA"/>
    <w:rsid w:val="008D581E"/>
    <w:rsid w:val="008D7A8A"/>
    <w:rsid w:val="008E0BDD"/>
    <w:rsid w:val="008E16A9"/>
    <w:rsid w:val="008F01B7"/>
    <w:rsid w:val="008F03D9"/>
    <w:rsid w:val="008F0B1F"/>
    <w:rsid w:val="008F12A1"/>
    <w:rsid w:val="008F3624"/>
    <w:rsid w:val="008F59AB"/>
    <w:rsid w:val="008F73D1"/>
    <w:rsid w:val="009002CA"/>
    <w:rsid w:val="00902DA7"/>
    <w:rsid w:val="009032F4"/>
    <w:rsid w:val="00903AF9"/>
    <w:rsid w:val="0090579F"/>
    <w:rsid w:val="00913811"/>
    <w:rsid w:val="009143C9"/>
    <w:rsid w:val="00915A40"/>
    <w:rsid w:val="00917A23"/>
    <w:rsid w:val="009201C9"/>
    <w:rsid w:val="009214CE"/>
    <w:rsid w:val="00924F21"/>
    <w:rsid w:val="009273ED"/>
    <w:rsid w:val="00927EAB"/>
    <w:rsid w:val="00927FA0"/>
    <w:rsid w:val="00930424"/>
    <w:rsid w:val="00932410"/>
    <w:rsid w:val="00934EE8"/>
    <w:rsid w:val="00936EE1"/>
    <w:rsid w:val="009370BA"/>
    <w:rsid w:val="00937960"/>
    <w:rsid w:val="00937FE7"/>
    <w:rsid w:val="00941F7C"/>
    <w:rsid w:val="009426B5"/>
    <w:rsid w:val="00942BCB"/>
    <w:rsid w:val="00942C2C"/>
    <w:rsid w:val="00942E07"/>
    <w:rsid w:val="00942F03"/>
    <w:rsid w:val="00947D6E"/>
    <w:rsid w:val="00950957"/>
    <w:rsid w:val="00953155"/>
    <w:rsid w:val="009535ED"/>
    <w:rsid w:val="00956D31"/>
    <w:rsid w:val="00960767"/>
    <w:rsid w:val="00961B81"/>
    <w:rsid w:val="00962ED5"/>
    <w:rsid w:val="009650C6"/>
    <w:rsid w:val="009701B5"/>
    <w:rsid w:val="00971561"/>
    <w:rsid w:val="00972494"/>
    <w:rsid w:val="00972B28"/>
    <w:rsid w:val="00973A9C"/>
    <w:rsid w:val="009761DA"/>
    <w:rsid w:val="0097652F"/>
    <w:rsid w:val="009858FE"/>
    <w:rsid w:val="009860EA"/>
    <w:rsid w:val="009873EB"/>
    <w:rsid w:val="00987BA9"/>
    <w:rsid w:val="00990719"/>
    <w:rsid w:val="0099315C"/>
    <w:rsid w:val="00994D8B"/>
    <w:rsid w:val="009A06CC"/>
    <w:rsid w:val="009A6183"/>
    <w:rsid w:val="009A7082"/>
    <w:rsid w:val="009B0AEC"/>
    <w:rsid w:val="009B4760"/>
    <w:rsid w:val="009B64A6"/>
    <w:rsid w:val="009C02E5"/>
    <w:rsid w:val="009C0E0E"/>
    <w:rsid w:val="009C26E3"/>
    <w:rsid w:val="009C55E3"/>
    <w:rsid w:val="009C6DD1"/>
    <w:rsid w:val="009C7CD6"/>
    <w:rsid w:val="009C7E2C"/>
    <w:rsid w:val="009D2789"/>
    <w:rsid w:val="009D2BEA"/>
    <w:rsid w:val="009D4C0F"/>
    <w:rsid w:val="009D7C44"/>
    <w:rsid w:val="009E2864"/>
    <w:rsid w:val="009E29BC"/>
    <w:rsid w:val="009E61D5"/>
    <w:rsid w:val="009E7B86"/>
    <w:rsid w:val="009F0B4B"/>
    <w:rsid w:val="009F366D"/>
    <w:rsid w:val="009F45EC"/>
    <w:rsid w:val="009F69A9"/>
    <w:rsid w:val="00A00F17"/>
    <w:rsid w:val="00A02106"/>
    <w:rsid w:val="00A05202"/>
    <w:rsid w:val="00A0566B"/>
    <w:rsid w:val="00A06362"/>
    <w:rsid w:val="00A10A71"/>
    <w:rsid w:val="00A13D8B"/>
    <w:rsid w:val="00A16446"/>
    <w:rsid w:val="00A1705A"/>
    <w:rsid w:val="00A171BA"/>
    <w:rsid w:val="00A17506"/>
    <w:rsid w:val="00A224B7"/>
    <w:rsid w:val="00A2390C"/>
    <w:rsid w:val="00A23DCF"/>
    <w:rsid w:val="00A244A2"/>
    <w:rsid w:val="00A24A81"/>
    <w:rsid w:val="00A334FF"/>
    <w:rsid w:val="00A34443"/>
    <w:rsid w:val="00A345F7"/>
    <w:rsid w:val="00A404F7"/>
    <w:rsid w:val="00A41E22"/>
    <w:rsid w:val="00A42581"/>
    <w:rsid w:val="00A43FE8"/>
    <w:rsid w:val="00A4510C"/>
    <w:rsid w:val="00A472EF"/>
    <w:rsid w:val="00A50459"/>
    <w:rsid w:val="00A51447"/>
    <w:rsid w:val="00A53F34"/>
    <w:rsid w:val="00A540EB"/>
    <w:rsid w:val="00A5539A"/>
    <w:rsid w:val="00A55580"/>
    <w:rsid w:val="00A56B77"/>
    <w:rsid w:val="00A60B97"/>
    <w:rsid w:val="00A66BD1"/>
    <w:rsid w:val="00A71E51"/>
    <w:rsid w:val="00A7591D"/>
    <w:rsid w:val="00A764E4"/>
    <w:rsid w:val="00A77F56"/>
    <w:rsid w:val="00A827A2"/>
    <w:rsid w:val="00A84744"/>
    <w:rsid w:val="00A84D7D"/>
    <w:rsid w:val="00A8516F"/>
    <w:rsid w:val="00A859F0"/>
    <w:rsid w:val="00A91E00"/>
    <w:rsid w:val="00A954D1"/>
    <w:rsid w:val="00A95A2D"/>
    <w:rsid w:val="00AA007F"/>
    <w:rsid w:val="00AA3011"/>
    <w:rsid w:val="00AA34B1"/>
    <w:rsid w:val="00AA698B"/>
    <w:rsid w:val="00AA719D"/>
    <w:rsid w:val="00AB06B2"/>
    <w:rsid w:val="00AB1C3D"/>
    <w:rsid w:val="00AB29A8"/>
    <w:rsid w:val="00AB5828"/>
    <w:rsid w:val="00AB65CE"/>
    <w:rsid w:val="00AB7D22"/>
    <w:rsid w:val="00AC1DF2"/>
    <w:rsid w:val="00AC21B8"/>
    <w:rsid w:val="00AC22A5"/>
    <w:rsid w:val="00AC2670"/>
    <w:rsid w:val="00AC3895"/>
    <w:rsid w:val="00AC537D"/>
    <w:rsid w:val="00AC5A6F"/>
    <w:rsid w:val="00AD21B0"/>
    <w:rsid w:val="00AE1C50"/>
    <w:rsid w:val="00AE1F78"/>
    <w:rsid w:val="00AE64E4"/>
    <w:rsid w:val="00AF23AF"/>
    <w:rsid w:val="00AF4E3A"/>
    <w:rsid w:val="00AF6A53"/>
    <w:rsid w:val="00B00257"/>
    <w:rsid w:val="00B035BC"/>
    <w:rsid w:val="00B039D7"/>
    <w:rsid w:val="00B0423D"/>
    <w:rsid w:val="00B064C6"/>
    <w:rsid w:val="00B07F61"/>
    <w:rsid w:val="00B10AE3"/>
    <w:rsid w:val="00B11EFC"/>
    <w:rsid w:val="00B15210"/>
    <w:rsid w:val="00B1570C"/>
    <w:rsid w:val="00B1623B"/>
    <w:rsid w:val="00B20B2A"/>
    <w:rsid w:val="00B24403"/>
    <w:rsid w:val="00B25206"/>
    <w:rsid w:val="00B259F5"/>
    <w:rsid w:val="00B2792B"/>
    <w:rsid w:val="00B31446"/>
    <w:rsid w:val="00B32239"/>
    <w:rsid w:val="00B3558D"/>
    <w:rsid w:val="00B37D57"/>
    <w:rsid w:val="00B42C48"/>
    <w:rsid w:val="00B42DDB"/>
    <w:rsid w:val="00B44FA3"/>
    <w:rsid w:val="00B45757"/>
    <w:rsid w:val="00B472D0"/>
    <w:rsid w:val="00B54934"/>
    <w:rsid w:val="00B562C4"/>
    <w:rsid w:val="00B5736C"/>
    <w:rsid w:val="00B60FD5"/>
    <w:rsid w:val="00B6145A"/>
    <w:rsid w:val="00B61570"/>
    <w:rsid w:val="00B6585E"/>
    <w:rsid w:val="00B70BE2"/>
    <w:rsid w:val="00B72578"/>
    <w:rsid w:val="00B744FB"/>
    <w:rsid w:val="00B81ED2"/>
    <w:rsid w:val="00B84A8E"/>
    <w:rsid w:val="00B84D59"/>
    <w:rsid w:val="00B85252"/>
    <w:rsid w:val="00B8708B"/>
    <w:rsid w:val="00B87FAE"/>
    <w:rsid w:val="00B90435"/>
    <w:rsid w:val="00B904EA"/>
    <w:rsid w:val="00B92D67"/>
    <w:rsid w:val="00B93F43"/>
    <w:rsid w:val="00B952D8"/>
    <w:rsid w:val="00B9615A"/>
    <w:rsid w:val="00B964F6"/>
    <w:rsid w:val="00BA0D9E"/>
    <w:rsid w:val="00BA116B"/>
    <w:rsid w:val="00BA1CBE"/>
    <w:rsid w:val="00BA3831"/>
    <w:rsid w:val="00BA4879"/>
    <w:rsid w:val="00BA500B"/>
    <w:rsid w:val="00BA5B5B"/>
    <w:rsid w:val="00BA7448"/>
    <w:rsid w:val="00BB008B"/>
    <w:rsid w:val="00BB0093"/>
    <w:rsid w:val="00BB2181"/>
    <w:rsid w:val="00BB3C82"/>
    <w:rsid w:val="00BB4D16"/>
    <w:rsid w:val="00BB529B"/>
    <w:rsid w:val="00BB57F6"/>
    <w:rsid w:val="00BB7F35"/>
    <w:rsid w:val="00BC0830"/>
    <w:rsid w:val="00BC2684"/>
    <w:rsid w:val="00BC35AA"/>
    <w:rsid w:val="00BC5BB3"/>
    <w:rsid w:val="00BC5ECB"/>
    <w:rsid w:val="00BC7E28"/>
    <w:rsid w:val="00BD2F0F"/>
    <w:rsid w:val="00BD4480"/>
    <w:rsid w:val="00BD53BD"/>
    <w:rsid w:val="00BD5DEF"/>
    <w:rsid w:val="00BE0C46"/>
    <w:rsid w:val="00BE1193"/>
    <w:rsid w:val="00BE3795"/>
    <w:rsid w:val="00BE3840"/>
    <w:rsid w:val="00BE3B95"/>
    <w:rsid w:val="00BE4802"/>
    <w:rsid w:val="00BE491A"/>
    <w:rsid w:val="00BE7AD8"/>
    <w:rsid w:val="00BF0155"/>
    <w:rsid w:val="00BF170E"/>
    <w:rsid w:val="00BF37AB"/>
    <w:rsid w:val="00BF4772"/>
    <w:rsid w:val="00BF509C"/>
    <w:rsid w:val="00BF68A1"/>
    <w:rsid w:val="00BF7CF6"/>
    <w:rsid w:val="00C047B7"/>
    <w:rsid w:val="00C0497B"/>
    <w:rsid w:val="00C069DB"/>
    <w:rsid w:val="00C100B9"/>
    <w:rsid w:val="00C10556"/>
    <w:rsid w:val="00C119D6"/>
    <w:rsid w:val="00C124CE"/>
    <w:rsid w:val="00C141D0"/>
    <w:rsid w:val="00C14E09"/>
    <w:rsid w:val="00C173A9"/>
    <w:rsid w:val="00C20F98"/>
    <w:rsid w:val="00C21F77"/>
    <w:rsid w:val="00C249C9"/>
    <w:rsid w:val="00C24D1A"/>
    <w:rsid w:val="00C27BEF"/>
    <w:rsid w:val="00C301C6"/>
    <w:rsid w:val="00C301C7"/>
    <w:rsid w:val="00C32A74"/>
    <w:rsid w:val="00C33BEA"/>
    <w:rsid w:val="00C34F21"/>
    <w:rsid w:val="00C37EE8"/>
    <w:rsid w:val="00C42168"/>
    <w:rsid w:val="00C424F1"/>
    <w:rsid w:val="00C43809"/>
    <w:rsid w:val="00C4424F"/>
    <w:rsid w:val="00C445CC"/>
    <w:rsid w:val="00C44D3E"/>
    <w:rsid w:val="00C4599F"/>
    <w:rsid w:val="00C45F82"/>
    <w:rsid w:val="00C475F7"/>
    <w:rsid w:val="00C50B0E"/>
    <w:rsid w:val="00C53E01"/>
    <w:rsid w:val="00C55BEF"/>
    <w:rsid w:val="00C6180F"/>
    <w:rsid w:val="00C66CE8"/>
    <w:rsid w:val="00C672C6"/>
    <w:rsid w:val="00C70CA1"/>
    <w:rsid w:val="00C72538"/>
    <w:rsid w:val="00C72DA7"/>
    <w:rsid w:val="00C77E1F"/>
    <w:rsid w:val="00C80024"/>
    <w:rsid w:val="00C8134E"/>
    <w:rsid w:val="00C81C6B"/>
    <w:rsid w:val="00C81CDA"/>
    <w:rsid w:val="00C830DF"/>
    <w:rsid w:val="00C83148"/>
    <w:rsid w:val="00C846A9"/>
    <w:rsid w:val="00C87B56"/>
    <w:rsid w:val="00C929FF"/>
    <w:rsid w:val="00C93251"/>
    <w:rsid w:val="00C93B2E"/>
    <w:rsid w:val="00C97610"/>
    <w:rsid w:val="00CA2822"/>
    <w:rsid w:val="00CA3A56"/>
    <w:rsid w:val="00CA6C85"/>
    <w:rsid w:val="00CA7F98"/>
    <w:rsid w:val="00CB128D"/>
    <w:rsid w:val="00CB211A"/>
    <w:rsid w:val="00CB4C62"/>
    <w:rsid w:val="00CB6841"/>
    <w:rsid w:val="00CC1807"/>
    <w:rsid w:val="00CC39A5"/>
    <w:rsid w:val="00CC628E"/>
    <w:rsid w:val="00CC6C5A"/>
    <w:rsid w:val="00CC7AC8"/>
    <w:rsid w:val="00CC7C17"/>
    <w:rsid w:val="00CD0459"/>
    <w:rsid w:val="00CD1F68"/>
    <w:rsid w:val="00CD3E6A"/>
    <w:rsid w:val="00CD629A"/>
    <w:rsid w:val="00CD6882"/>
    <w:rsid w:val="00CE1422"/>
    <w:rsid w:val="00CE1C4A"/>
    <w:rsid w:val="00CE224F"/>
    <w:rsid w:val="00CE5111"/>
    <w:rsid w:val="00CF1BF6"/>
    <w:rsid w:val="00CF6CCE"/>
    <w:rsid w:val="00CF6D0B"/>
    <w:rsid w:val="00CF7C70"/>
    <w:rsid w:val="00D00C36"/>
    <w:rsid w:val="00D0145D"/>
    <w:rsid w:val="00D02424"/>
    <w:rsid w:val="00D024EC"/>
    <w:rsid w:val="00D04C58"/>
    <w:rsid w:val="00D056EB"/>
    <w:rsid w:val="00D07A16"/>
    <w:rsid w:val="00D11614"/>
    <w:rsid w:val="00D12DE0"/>
    <w:rsid w:val="00D14E81"/>
    <w:rsid w:val="00D1647F"/>
    <w:rsid w:val="00D16C96"/>
    <w:rsid w:val="00D17C25"/>
    <w:rsid w:val="00D20F95"/>
    <w:rsid w:val="00D223D1"/>
    <w:rsid w:val="00D23B3D"/>
    <w:rsid w:val="00D32456"/>
    <w:rsid w:val="00D34BC1"/>
    <w:rsid w:val="00D3779C"/>
    <w:rsid w:val="00D37DCA"/>
    <w:rsid w:val="00D40D0E"/>
    <w:rsid w:val="00D45880"/>
    <w:rsid w:val="00D51326"/>
    <w:rsid w:val="00D52955"/>
    <w:rsid w:val="00D537F2"/>
    <w:rsid w:val="00D54373"/>
    <w:rsid w:val="00D54F16"/>
    <w:rsid w:val="00D5571D"/>
    <w:rsid w:val="00D62225"/>
    <w:rsid w:val="00D63201"/>
    <w:rsid w:val="00D63884"/>
    <w:rsid w:val="00D6539D"/>
    <w:rsid w:val="00D65D20"/>
    <w:rsid w:val="00D745DA"/>
    <w:rsid w:val="00D77DA5"/>
    <w:rsid w:val="00D80E57"/>
    <w:rsid w:val="00D81FF9"/>
    <w:rsid w:val="00D8202C"/>
    <w:rsid w:val="00D828AF"/>
    <w:rsid w:val="00D83F57"/>
    <w:rsid w:val="00D84420"/>
    <w:rsid w:val="00D85438"/>
    <w:rsid w:val="00D85DAD"/>
    <w:rsid w:val="00D8732D"/>
    <w:rsid w:val="00D877B3"/>
    <w:rsid w:val="00D927DB"/>
    <w:rsid w:val="00D959CC"/>
    <w:rsid w:val="00D9634C"/>
    <w:rsid w:val="00DA0241"/>
    <w:rsid w:val="00DA0D76"/>
    <w:rsid w:val="00DA1274"/>
    <w:rsid w:val="00DA133C"/>
    <w:rsid w:val="00DA2B1D"/>
    <w:rsid w:val="00DA2CE7"/>
    <w:rsid w:val="00DA30A3"/>
    <w:rsid w:val="00DA7C26"/>
    <w:rsid w:val="00DB0FBA"/>
    <w:rsid w:val="00DB20D0"/>
    <w:rsid w:val="00DB395D"/>
    <w:rsid w:val="00DB425A"/>
    <w:rsid w:val="00DB7EE7"/>
    <w:rsid w:val="00DC0474"/>
    <w:rsid w:val="00DC0C62"/>
    <w:rsid w:val="00DC3E82"/>
    <w:rsid w:val="00DC529B"/>
    <w:rsid w:val="00DC775A"/>
    <w:rsid w:val="00DD0AAD"/>
    <w:rsid w:val="00DD3AFA"/>
    <w:rsid w:val="00DD563C"/>
    <w:rsid w:val="00DE06EE"/>
    <w:rsid w:val="00DE0A60"/>
    <w:rsid w:val="00DE1EFC"/>
    <w:rsid w:val="00DE7CDA"/>
    <w:rsid w:val="00DF0141"/>
    <w:rsid w:val="00DF0807"/>
    <w:rsid w:val="00DF26D2"/>
    <w:rsid w:val="00DF2AF8"/>
    <w:rsid w:val="00DF2F77"/>
    <w:rsid w:val="00DF3EB6"/>
    <w:rsid w:val="00DF513B"/>
    <w:rsid w:val="00DF71E8"/>
    <w:rsid w:val="00E023DB"/>
    <w:rsid w:val="00E0352C"/>
    <w:rsid w:val="00E0422B"/>
    <w:rsid w:val="00E047DF"/>
    <w:rsid w:val="00E07BB2"/>
    <w:rsid w:val="00E10D0A"/>
    <w:rsid w:val="00E11D3C"/>
    <w:rsid w:val="00E11E1A"/>
    <w:rsid w:val="00E12C95"/>
    <w:rsid w:val="00E12DA3"/>
    <w:rsid w:val="00E14566"/>
    <w:rsid w:val="00E14911"/>
    <w:rsid w:val="00E2237F"/>
    <w:rsid w:val="00E22660"/>
    <w:rsid w:val="00E232E0"/>
    <w:rsid w:val="00E23557"/>
    <w:rsid w:val="00E23A5B"/>
    <w:rsid w:val="00E23B33"/>
    <w:rsid w:val="00E23BD6"/>
    <w:rsid w:val="00E2482F"/>
    <w:rsid w:val="00E24982"/>
    <w:rsid w:val="00E272C1"/>
    <w:rsid w:val="00E2785B"/>
    <w:rsid w:val="00E3030C"/>
    <w:rsid w:val="00E318DB"/>
    <w:rsid w:val="00E32D60"/>
    <w:rsid w:val="00E32EAF"/>
    <w:rsid w:val="00E33D45"/>
    <w:rsid w:val="00E34432"/>
    <w:rsid w:val="00E34AD9"/>
    <w:rsid w:val="00E34BF8"/>
    <w:rsid w:val="00E3551B"/>
    <w:rsid w:val="00E35BB0"/>
    <w:rsid w:val="00E439D0"/>
    <w:rsid w:val="00E44F7F"/>
    <w:rsid w:val="00E47B61"/>
    <w:rsid w:val="00E50CC8"/>
    <w:rsid w:val="00E51FE8"/>
    <w:rsid w:val="00E5244F"/>
    <w:rsid w:val="00E52E1B"/>
    <w:rsid w:val="00E539F9"/>
    <w:rsid w:val="00E543B1"/>
    <w:rsid w:val="00E55E57"/>
    <w:rsid w:val="00E56249"/>
    <w:rsid w:val="00E6283B"/>
    <w:rsid w:val="00E6465D"/>
    <w:rsid w:val="00E65D95"/>
    <w:rsid w:val="00E6665D"/>
    <w:rsid w:val="00E66BBB"/>
    <w:rsid w:val="00E67ACE"/>
    <w:rsid w:val="00E67BA7"/>
    <w:rsid w:val="00E757FD"/>
    <w:rsid w:val="00E77092"/>
    <w:rsid w:val="00E84140"/>
    <w:rsid w:val="00E84C19"/>
    <w:rsid w:val="00E86EF0"/>
    <w:rsid w:val="00E91C00"/>
    <w:rsid w:val="00E93D69"/>
    <w:rsid w:val="00E94FA8"/>
    <w:rsid w:val="00E95A14"/>
    <w:rsid w:val="00E964C5"/>
    <w:rsid w:val="00E97D52"/>
    <w:rsid w:val="00EA2FFC"/>
    <w:rsid w:val="00EA3989"/>
    <w:rsid w:val="00EB3550"/>
    <w:rsid w:val="00EB4FD7"/>
    <w:rsid w:val="00EB5CFE"/>
    <w:rsid w:val="00EC564B"/>
    <w:rsid w:val="00EC56DD"/>
    <w:rsid w:val="00EC6F58"/>
    <w:rsid w:val="00ED0D74"/>
    <w:rsid w:val="00ED4634"/>
    <w:rsid w:val="00ED7CB3"/>
    <w:rsid w:val="00EE1123"/>
    <w:rsid w:val="00EE1706"/>
    <w:rsid w:val="00EE3A4F"/>
    <w:rsid w:val="00EE44AD"/>
    <w:rsid w:val="00EE554C"/>
    <w:rsid w:val="00EF0C91"/>
    <w:rsid w:val="00EF2660"/>
    <w:rsid w:val="00EF26A2"/>
    <w:rsid w:val="00EF3FF2"/>
    <w:rsid w:val="00EF6E47"/>
    <w:rsid w:val="00F0273F"/>
    <w:rsid w:val="00F050D9"/>
    <w:rsid w:val="00F05CD7"/>
    <w:rsid w:val="00F06892"/>
    <w:rsid w:val="00F132D3"/>
    <w:rsid w:val="00F15082"/>
    <w:rsid w:val="00F1668A"/>
    <w:rsid w:val="00F269DE"/>
    <w:rsid w:val="00F26A4B"/>
    <w:rsid w:val="00F31636"/>
    <w:rsid w:val="00F32BF5"/>
    <w:rsid w:val="00F376E3"/>
    <w:rsid w:val="00F37791"/>
    <w:rsid w:val="00F37C40"/>
    <w:rsid w:val="00F37ED4"/>
    <w:rsid w:val="00F40A46"/>
    <w:rsid w:val="00F40F29"/>
    <w:rsid w:val="00F4191A"/>
    <w:rsid w:val="00F4191D"/>
    <w:rsid w:val="00F41D12"/>
    <w:rsid w:val="00F45235"/>
    <w:rsid w:val="00F45A4C"/>
    <w:rsid w:val="00F47A97"/>
    <w:rsid w:val="00F50B3C"/>
    <w:rsid w:val="00F5509A"/>
    <w:rsid w:val="00F5592A"/>
    <w:rsid w:val="00F57E9D"/>
    <w:rsid w:val="00F60E87"/>
    <w:rsid w:val="00F61C54"/>
    <w:rsid w:val="00F62B35"/>
    <w:rsid w:val="00F63EC1"/>
    <w:rsid w:val="00F66E1A"/>
    <w:rsid w:val="00F67585"/>
    <w:rsid w:val="00F6770D"/>
    <w:rsid w:val="00F70DB3"/>
    <w:rsid w:val="00F71E73"/>
    <w:rsid w:val="00F71EBB"/>
    <w:rsid w:val="00F728DA"/>
    <w:rsid w:val="00F73D09"/>
    <w:rsid w:val="00F84395"/>
    <w:rsid w:val="00F8554D"/>
    <w:rsid w:val="00F87E54"/>
    <w:rsid w:val="00F9278E"/>
    <w:rsid w:val="00F92939"/>
    <w:rsid w:val="00F92CC3"/>
    <w:rsid w:val="00FA1AE9"/>
    <w:rsid w:val="00FA45D7"/>
    <w:rsid w:val="00FB03F8"/>
    <w:rsid w:val="00FB0C73"/>
    <w:rsid w:val="00FB0E3D"/>
    <w:rsid w:val="00FB14C3"/>
    <w:rsid w:val="00FB4E60"/>
    <w:rsid w:val="00FB5BDD"/>
    <w:rsid w:val="00FB786B"/>
    <w:rsid w:val="00FC1148"/>
    <w:rsid w:val="00FC4ACC"/>
    <w:rsid w:val="00FC77B5"/>
    <w:rsid w:val="00FD0892"/>
    <w:rsid w:val="00FD10A9"/>
    <w:rsid w:val="00FD6782"/>
    <w:rsid w:val="00FF23DD"/>
    <w:rsid w:val="00FF2A14"/>
    <w:rsid w:val="00FF2A9F"/>
    <w:rsid w:val="00FF3986"/>
    <w:rsid w:val="00FF5B36"/>
    <w:rsid w:val="00FF7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2BE"/>
    <w:rPr>
      <w:noProof/>
      <w:lang w:val="ro-RO"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paragraph" w:customStyle="1" w:styleId="Default">
    <w:name w:val="Default"/>
    <w:rsid w:val="009873EB"/>
    <w:pPr>
      <w:autoSpaceDE w:val="0"/>
      <w:autoSpaceDN w:val="0"/>
      <w:adjustRightInd w:val="0"/>
      <w:ind w:firstLine="0"/>
      <w:jc w:val="left"/>
    </w:pPr>
    <w:rPr>
      <w:color w:val="000000"/>
      <w:sz w:val="24"/>
      <w:szCs w:val="24"/>
      <w:lang w:val="ro-RO"/>
    </w:rPr>
  </w:style>
  <w:style w:type="character" w:styleId="FollowedHyperlink">
    <w:name w:val="FollowedHyperlink"/>
    <w:basedOn w:val="DefaultParagraphFont"/>
    <w:uiPriority w:val="99"/>
    <w:semiHidden/>
    <w:unhideWhenUsed/>
    <w:rsid w:val="005E59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md/sites/default/files/media/documents/sedinte-de-guvern/2026-03/277-MEn-2026.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17543</Words>
  <Characters>104734</Characters>
  <Application>Microsoft Office Word</Application>
  <DocSecurity>0</DocSecurity>
  <Lines>2618</Lines>
  <Paragraphs>1798</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120479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Postica Natalia</cp:lastModifiedBy>
  <cp:revision>2</cp:revision>
  <cp:lastPrinted>2024-03-11T11:21:00Z</cp:lastPrinted>
  <dcterms:created xsi:type="dcterms:W3CDTF">2026-08-11T09:25:00Z</dcterms:created>
  <dcterms:modified xsi:type="dcterms:W3CDTF">2026-08-11T09:25:00Z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