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A35D" w14:textId="77777777" w:rsidR="00B9643D" w:rsidRDefault="00000000" w:rsidP="002E1162">
      <w:pPr>
        <w:spacing w:after="0" w:line="240"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SINTEZA</w:t>
      </w:r>
    </w:p>
    <w:p w14:paraId="7925DA1C" w14:textId="77777777" w:rsidR="00B9643D" w:rsidRDefault="00000000" w:rsidP="002E1162">
      <w:pPr>
        <w:pBdr>
          <w:top w:val="none" w:sz="0" w:space="0" w:color="000000"/>
          <w:left w:val="none" w:sz="0" w:space="0" w:color="000000"/>
          <w:bottom w:val="none" w:sz="0" w:space="0" w:color="000000"/>
          <w:right w:val="none" w:sz="0" w:space="0" w:color="000000"/>
        </w:pBdr>
        <w:spacing w:after="0" w:line="240" w:lineRule="auto"/>
        <w:ind w:left="-288"/>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obiecțiilor și propunerilor/recomandărilor la proiectul de lege cu privire la modificarea unor acte normative</w:t>
      </w:r>
    </w:p>
    <w:p w14:paraId="3C2D4E45" w14:textId="77777777" w:rsidR="00B9643D" w:rsidRDefault="00000000" w:rsidP="002E1162">
      <w:pPr>
        <w:pBdr>
          <w:top w:val="none" w:sz="0" w:space="0" w:color="000000"/>
          <w:left w:val="none" w:sz="0" w:space="0" w:color="000000"/>
          <w:bottom w:val="none" w:sz="0" w:space="0" w:color="000000"/>
          <w:right w:val="none" w:sz="0" w:space="0" w:color="000000"/>
        </w:pBdr>
        <w:spacing w:after="0" w:line="240" w:lineRule="auto"/>
        <w:ind w:left="-288"/>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pentru  promovarea economiei digitale și a comerțului electronic)</w:t>
      </w:r>
    </w:p>
    <w:p w14:paraId="31208EB3" w14:textId="77777777" w:rsidR="00B9643D" w:rsidRDefault="00000000" w:rsidP="002E1162">
      <w:pPr>
        <w:pBdr>
          <w:top w:val="none" w:sz="0" w:space="0" w:color="000000"/>
          <w:left w:val="none" w:sz="0" w:space="0" w:color="000000"/>
          <w:bottom w:val="none" w:sz="0" w:space="0" w:color="000000"/>
          <w:right w:val="none" w:sz="0" w:space="0" w:color="000000"/>
        </w:pBdr>
        <w:spacing w:after="0" w:line="240" w:lineRule="auto"/>
        <w:ind w:left="-288"/>
        <w:jc w:val="cente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(număr unic 629 /MDED/2026)</w:t>
      </w:r>
    </w:p>
    <w:p w14:paraId="490F3681" w14:textId="77777777" w:rsidR="00B9643D" w:rsidRDefault="00B9643D" w:rsidP="002E1162">
      <w:pPr>
        <w:pBdr>
          <w:top w:val="none" w:sz="0" w:space="0" w:color="000000"/>
          <w:left w:val="none" w:sz="0" w:space="0" w:color="000000"/>
          <w:bottom w:val="none" w:sz="0" w:space="0" w:color="000000"/>
          <w:right w:val="none" w:sz="0" w:space="0" w:color="000000"/>
        </w:pBdr>
        <w:spacing w:after="0" w:line="240" w:lineRule="auto"/>
        <w:ind w:left="-288"/>
        <w:jc w:val="center"/>
        <w:rPr>
          <w:rFonts w:ascii="Times New Roman" w:eastAsia="Times New Roman" w:hAnsi="Times New Roman" w:cs="Times New Roman"/>
          <w:b/>
          <w:bCs/>
          <w:i/>
          <w:iCs/>
          <w:sz w:val="24"/>
          <w:szCs w:val="24"/>
        </w:rPr>
      </w:pPr>
    </w:p>
    <w:tbl>
      <w:tblPr>
        <w:tblStyle w:val="a"/>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7"/>
        <w:gridCol w:w="2688"/>
        <w:gridCol w:w="590"/>
        <w:gridCol w:w="6122"/>
        <w:gridCol w:w="4479"/>
      </w:tblGrid>
      <w:tr w:rsidR="00B9643D" w14:paraId="2E5D0567" w14:textId="77777777" w:rsidTr="00CA3607">
        <w:tc>
          <w:tcPr>
            <w:tcW w:w="587" w:type="dxa"/>
            <w:tcBorders>
              <w:top w:val="single" w:sz="4" w:space="0" w:color="000000"/>
              <w:bottom w:val="single" w:sz="4" w:space="0" w:color="000000"/>
            </w:tcBorders>
            <w:shd w:val="clear" w:color="auto" w:fill="8EAADB"/>
          </w:tcPr>
          <w:p w14:paraId="67AAC5A8" w14:textId="77777777" w:rsidR="00B9643D" w:rsidRDefault="00000000" w:rsidP="002E1162">
            <w:p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Nr.</w:t>
            </w:r>
          </w:p>
        </w:tc>
        <w:tc>
          <w:tcPr>
            <w:tcW w:w="2688" w:type="dxa"/>
            <w:tcBorders>
              <w:top w:val="single" w:sz="4" w:space="0" w:color="000000"/>
              <w:bottom w:val="single" w:sz="4" w:space="0" w:color="000000"/>
            </w:tcBorders>
            <w:shd w:val="clear" w:color="auto" w:fill="8EAADB"/>
          </w:tcPr>
          <w:p w14:paraId="1D6DB33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Autorii obiecțiilor</w:t>
            </w:r>
          </w:p>
          <w:p w14:paraId="1481487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și propunerilor</w:t>
            </w:r>
          </w:p>
        </w:tc>
        <w:tc>
          <w:tcPr>
            <w:tcW w:w="590" w:type="dxa"/>
            <w:tcBorders>
              <w:top w:val="single" w:sz="4" w:space="0" w:color="000000"/>
              <w:bottom w:val="single" w:sz="4" w:space="0" w:color="000000"/>
            </w:tcBorders>
            <w:shd w:val="clear" w:color="auto" w:fill="8EAADB"/>
          </w:tcPr>
          <w:p w14:paraId="3EC6680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6122" w:type="dxa"/>
            <w:tcBorders>
              <w:top w:val="single" w:sz="4" w:space="0" w:color="000000"/>
              <w:bottom w:val="single" w:sz="4" w:space="0" w:color="000000"/>
            </w:tcBorders>
            <w:shd w:val="clear" w:color="auto" w:fill="8EAADB"/>
          </w:tcPr>
          <w:p w14:paraId="5C92C4F7"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Obiecțiile și propunerile</w:t>
            </w:r>
          </w:p>
        </w:tc>
        <w:tc>
          <w:tcPr>
            <w:tcW w:w="4479" w:type="dxa"/>
            <w:tcBorders>
              <w:top w:val="single" w:sz="4" w:space="0" w:color="000000"/>
              <w:bottom w:val="single" w:sz="4" w:space="0" w:color="000000"/>
            </w:tcBorders>
            <w:shd w:val="clear" w:color="auto" w:fill="8EAADB"/>
          </w:tcPr>
          <w:p w14:paraId="059B167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Argumentarea autorului</w:t>
            </w:r>
          </w:p>
          <w:p w14:paraId="29B8B74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proiectului</w:t>
            </w:r>
          </w:p>
        </w:tc>
      </w:tr>
      <w:tr w:rsidR="00B9643D" w14:paraId="54056E16" w14:textId="77777777" w:rsidTr="00CA3607">
        <w:tc>
          <w:tcPr>
            <w:tcW w:w="9987" w:type="dxa"/>
            <w:gridSpan w:val="4"/>
            <w:tcBorders>
              <w:top w:val="single" w:sz="4" w:space="0" w:color="000000"/>
              <w:bottom w:val="single" w:sz="4" w:space="0" w:color="000000"/>
            </w:tcBorders>
            <w:shd w:val="clear" w:color="auto" w:fill="8EAADB"/>
          </w:tcPr>
          <w:p w14:paraId="41A500A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Avizare prealabilă</w:t>
            </w:r>
          </w:p>
        </w:tc>
        <w:tc>
          <w:tcPr>
            <w:tcW w:w="4479" w:type="dxa"/>
            <w:tcBorders>
              <w:top w:val="single" w:sz="4" w:space="0" w:color="000000"/>
              <w:bottom w:val="single" w:sz="4" w:space="0" w:color="000000"/>
            </w:tcBorders>
            <w:shd w:val="clear" w:color="auto" w:fill="8EAADB"/>
          </w:tcPr>
          <w:p w14:paraId="721613E0" w14:textId="77777777" w:rsidR="00B9643D" w:rsidRDefault="00B9643D" w:rsidP="002E1162">
            <w:pPr>
              <w:jc w:val="both"/>
              <w:rPr>
                <w:rFonts w:ascii="Times New Roman" w:eastAsia="Times New Roman" w:hAnsi="Times New Roman" w:cs="Times New Roman"/>
                <w:b/>
                <w:bCs/>
                <w:sz w:val="24"/>
                <w:szCs w:val="24"/>
              </w:rPr>
            </w:pPr>
          </w:p>
        </w:tc>
      </w:tr>
      <w:tr w:rsidR="00B9643D" w14:paraId="332C960F" w14:textId="77777777" w:rsidTr="00CA3607">
        <w:tc>
          <w:tcPr>
            <w:tcW w:w="587" w:type="dxa"/>
            <w:shd w:val="clear" w:color="auto" w:fill="FFFFFF"/>
          </w:tcPr>
          <w:p w14:paraId="6F5D299E" w14:textId="77777777" w:rsidR="00B9643D" w:rsidRDefault="00000000" w:rsidP="002E1162">
            <w:p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1</w:t>
            </w:r>
            <w:r>
              <w:rPr>
                <w:rFonts w:ascii="Times New Roman" w:eastAsia="Times New Roman" w:hAnsi="Times New Roman" w:cs="Times New Roman"/>
                <w:b/>
                <w:bCs/>
                <w:color w:val="000000"/>
                <w:sz w:val="24"/>
                <w:szCs w:val="24"/>
              </w:rPr>
              <w:t>.</w:t>
            </w:r>
          </w:p>
        </w:tc>
        <w:tc>
          <w:tcPr>
            <w:tcW w:w="2688" w:type="dxa"/>
            <w:tcBorders>
              <w:bottom w:val="single" w:sz="4" w:space="0" w:color="000000"/>
            </w:tcBorders>
            <w:shd w:val="clear" w:color="auto" w:fill="FFFFFF"/>
          </w:tcPr>
          <w:p w14:paraId="6412744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Serviciul Prevenirea și Combaterea Spălării Banilor</w:t>
            </w:r>
          </w:p>
          <w:p w14:paraId="3302C42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01/2-30-671 din 16 aprilie 2026)</w:t>
            </w:r>
          </w:p>
        </w:tc>
        <w:tc>
          <w:tcPr>
            <w:tcW w:w="590" w:type="dxa"/>
            <w:tcBorders>
              <w:top w:val="single" w:sz="4" w:space="0" w:color="000000"/>
            </w:tcBorders>
            <w:shd w:val="clear" w:color="auto" w:fill="FFFFFF"/>
          </w:tcPr>
          <w:p w14:paraId="0C2B93D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6122" w:type="dxa"/>
            <w:tcBorders>
              <w:top w:val="single" w:sz="4" w:space="0" w:color="000000"/>
              <w:right w:val="single" w:sz="4" w:space="0" w:color="000000"/>
            </w:tcBorders>
            <w:shd w:val="clear" w:color="auto" w:fill="FFFFFF"/>
          </w:tcPr>
          <w:p w14:paraId="7ED25A4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modificările propuse prin Art. VIII la Legea nr. 308/2017 cu privire la prevenirea și combaterea spălării banilor și finanțării terorismului, se reține că la nivelul Uniunii Europene a fost adoptată Directiva (UE) 2024/1640 a Parlamentului European și a Consiliului din 31 mai 2024 privind mecanismele care trebuie instituite de statele membre pentru prevenirea utilizării sistemului financiar în scopul spălării banilor sau finanțării terorismului, parte a noului pachet legislativ european în domeniu. În aceste condiții, cadrul normativ național se află într-un proces de ajustare și armonizare de ansamblu, ceea ce impune prudență și coerență sporită în promovarea oricăror intervenții punctuale.</w:t>
            </w:r>
          </w:p>
          <w:p w14:paraId="66DDDC6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forma propusă, Art. VIII introduce modificări substanțiale privind definirea anumitor categorii de entități raportoare, simplificarea cerințelor de organizare internă, regimul actualizării evaluării riscurilor, tratamentul neconcordanțelor privind beneficiarul efectiv, regimul raportărilor, termenul de sistare a tranzacțiilor și criteriile de individualizare a sancțiunilor, intervenții care vizează instituții juridice esențiale ale sistemului de prevenire și combatere a spălării banilor și finanțării terorismului. Promovarea unor asemenea modificări în cadrul prezentului proiect, care are un alt obiect principal de reglementare este de natură să afecteze coerența și unitatea cadrului normativ, să fragmenteze materia și să compromită caracterul sistemic al procesului de armonizare legislativă.</w:t>
            </w:r>
          </w:p>
          <w:p w14:paraId="685C9B3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contextul celor expuse, precum și având în vedere că Serviciul Prevenirea și Combaterea Spălării Banilor este implicat în procesul de ajustare al cadrului normativ național </w:t>
            </w:r>
            <w:r>
              <w:rPr>
                <w:rFonts w:ascii="Times New Roman" w:eastAsia="Times New Roman" w:hAnsi="Times New Roman" w:cs="Times New Roman"/>
                <w:sz w:val="24"/>
                <w:szCs w:val="24"/>
              </w:rPr>
              <w:lastRenderedPageBreak/>
              <w:t xml:space="preserve">în vederea armonizării acestuia cu noul pachet legislativ al </w:t>
            </w:r>
            <w:r>
              <w:rPr>
                <w:rFonts w:ascii="Times New Roman" w:eastAsia="Times New Roman" w:hAnsi="Times New Roman" w:cs="Times New Roman"/>
                <w:b/>
                <w:bCs/>
                <w:i/>
                <w:iCs/>
                <w:sz w:val="24"/>
                <w:szCs w:val="24"/>
              </w:rPr>
              <w:t>Uniunii Europene în domeniul prevenirii și combaterii spălării banilor și finanțării terorismului, adoptat în anul 2024</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se apreciază că modificările propuse prin Art. VIII sunt inoportune în forma și în cadrul actual, acestea necesitând o evaluare distinctă, integrată și sistemică sub aspectul compatibilității cu standardele europene și internaționale aplicabile. Totodată, se constată că unele dintre intervențiile propuse prin Art. VIII sunt susceptibile de a contraveni standardelor internaționale în domeniul prevenirii și combaterii spălării banilor și finanțării terorismului.</w:t>
            </w:r>
          </w:p>
          <w:p w14:paraId="43BB008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 în ultimul rând, este de menționat că </w:t>
            </w:r>
            <w:r>
              <w:rPr>
                <w:rFonts w:ascii="Times New Roman" w:eastAsia="Times New Roman" w:hAnsi="Times New Roman" w:cs="Times New Roman"/>
                <w:b/>
                <w:bCs/>
                <w:sz w:val="24"/>
                <w:szCs w:val="24"/>
              </w:rPr>
              <w:t>Republica Moldova urmează a fi supusă evaluării în cadrul rundei a șasea de evaluare a Comitetului MONEYVAL al Consiliului Europei în perioada 2027-2028</w:t>
            </w:r>
            <w:r>
              <w:rPr>
                <w:rFonts w:ascii="Times New Roman" w:eastAsia="Times New Roman" w:hAnsi="Times New Roman" w:cs="Times New Roman"/>
                <w:sz w:val="24"/>
                <w:szCs w:val="24"/>
              </w:rPr>
              <w:t>, ceea ce impune asigurarea unui cadru normativ coerent și previzibil, precum și menținerea conformității acestuia cu cerințele internaționale aplicabile, evitând intervenții fragmentare sau insuficient corelate ansamblului reglementării în domeniu.</w:t>
            </w:r>
          </w:p>
          <w:p w14:paraId="7810A87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prisma celor detaliate </w:t>
            </w:r>
            <w:r>
              <w:rPr>
                <w:rFonts w:ascii="Times New Roman" w:eastAsia="Times New Roman" w:hAnsi="Times New Roman" w:cs="Times New Roman"/>
                <w:i/>
                <w:iCs/>
                <w:sz w:val="24"/>
                <w:szCs w:val="24"/>
              </w:rPr>
              <w:t>supra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Serviciul Prevenirea și Combaterea Spălării Banilor solicită excluderea prevederilor Art. VIII din proiect</w:t>
            </w:r>
            <w:r>
              <w:rPr>
                <w:rFonts w:ascii="Times New Roman" w:eastAsia="Times New Roman" w:hAnsi="Times New Roman" w:cs="Times New Roman"/>
                <w:sz w:val="24"/>
                <w:szCs w:val="24"/>
              </w:rPr>
              <w:t xml:space="preserve">, cu examinarea acestora în cadrul unei inițiative legislative distincte, dedicate procesului de armonizare a legislației naționale la standardele europene și internaționale în domeniu. </w:t>
            </w:r>
          </w:p>
          <w:p w14:paraId="321CB501"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1258A8E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Nu se acceptă. Totodată, ținând cont de eforturile paralele de aliniere a cadrului normativ național la reglementările europene, propunerile din proiectul de lege se transferă spre preluare și includere în cadrul procesului legislativ distinct de transpunere a pachetului AML al Uniunii Europene, potrivit competenței autorităților în domeniu. </w:t>
            </w:r>
          </w:p>
          <w:p w14:paraId="6E556376" w14:textId="77777777" w:rsidR="00B9643D" w:rsidRDefault="00B9643D" w:rsidP="002E1162">
            <w:pPr>
              <w:jc w:val="both"/>
              <w:rPr>
                <w:rFonts w:ascii="Times New Roman" w:eastAsia="Times New Roman" w:hAnsi="Times New Roman" w:cs="Times New Roman"/>
                <w:sz w:val="24"/>
                <w:szCs w:val="24"/>
              </w:rPr>
            </w:pPr>
          </w:p>
          <w:p w14:paraId="5CD59E2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Propunerile promovate sunt aliniate cu bunele practici UE, nota de fundamentare urmând a fi îmbunătățită. </w:t>
            </w:r>
          </w:p>
          <w:p w14:paraId="0A201FF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Intervențiile vizate prin Art. VIII nu urmăresc să reformeze arhitectura sistemului AML/CFT și nici să modifice obligațiile de fond privind cunoașterea clientelei, raportarea tranzacțiilor suspecte sau măsurile de precauție sporită. </w:t>
            </w:r>
          </w:p>
          <w:p w14:paraId="0D784278" w14:textId="77777777" w:rsidR="00B9643D" w:rsidRDefault="00B9643D" w:rsidP="002E1162">
            <w:pPr>
              <w:jc w:val="both"/>
              <w:rPr>
                <w:rFonts w:ascii="Times New Roman" w:eastAsia="Times New Roman" w:hAnsi="Times New Roman" w:cs="Times New Roman"/>
                <w:sz w:val="24"/>
                <w:szCs w:val="24"/>
              </w:rPr>
            </w:pPr>
          </w:p>
          <w:p w14:paraId="599ABE5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Acestea vizează exclusiv eliminarea unor cerințe naționale care depășesc standardul european minim - fenomenul cunoscut ca „</w:t>
            </w:r>
            <w:proofErr w:type="spellStart"/>
            <w:r>
              <w:rPr>
                <w:rFonts w:ascii="Times New Roman" w:eastAsia="Times New Roman" w:hAnsi="Times New Roman" w:cs="Times New Roman"/>
                <w:sz w:val="24"/>
                <w:szCs w:val="24"/>
              </w:rPr>
              <w:t>gold-plating</w:t>
            </w:r>
            <w:proofErr w:type="spellEnd"/>
            <w:r>
              <w:rPr>
                <w:rFonts w:ascii="Times New Roman" w:eastAsia="Times New Roman" w:hAnsi="Times New Roman" w:cs="Times New Roman"/>
                <w:sz w:val="24"/>
                <w:szCs w:val="24"/>
              </w:rPr>
              <w:t xml:space="preserve">” - și care generează costuri de conformare pentru entitățile raportoare de dimensiuni mici, fără a adăuga valoare reală în prevenirea spălării banilor. </w:t>
            </w:r>
          </w:p>
          <w:p w14:paraId="2085447C" w14:textId="77777777" w:rsidR="00B9643D" w:rsidRDefault="00B9643D" w:rsidP="002E1162">
            <w:pPr>
              <w:jc w:val="both"/>
              <w:rPr>
                <w:rFonts w:ascii="Times New Roman" w:eastAsia="Times New Roman" w:hAnsi="Times New Roman" w:cs="Times New Roman"/>
                <w:sz w:val="24"/>
                <w:szCs w:val="24"/>
              </w:rPr>
            </w:pPr>
          </w:p>
          <w:p w14:paraId="33A10EF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Entitățile raportoare, în special prestatorii nebancari de servicii de plată și operatorii de dimensiuni mici, semnalează că pragurile și cerințele actuale generează un volum mare de raportări. Amânarea oricărei intervenții corective până la finalizarea procesului amplu de armonizare a noului pachet UE, estimat a se finaliza în 2027, menține un regim împovărător pentru mediul de afaceri. </w:t>
            </w:r>
          </w:p>
          <w:p w14:paraId="44C7928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are ca obiect principal modernizarea cadrului de reglementare a economiei digitale, sector în care entitățile raportoare de dimensiuni mici sunt actori centrali. Modificările propuse sunt direct legate de obiectul proiectului, întrucât vizează tocmai prestatorii de plată mici și alte entități raportoare care operează în ecosistemul digital reglementat de restul articolelor proiectului. </w:t>
            </w:r>
          </w:p>
          <w:p w14:paraId="374D8130" w14:textId="77777777" w:rsidR="00B9643D" w:rsidRDefault="00B9643D" w:rsidP="002E1162">
            <w:pPr>
              <w:jc w:val="both"/>
              <w:rPr>
                <w:rFonts w:ascii="Times New Roman" w:eastAsia="Times New Roman" w:hAnsi="Times New Roman" w:cs="Times New Roman"/>
                <w:sz w:val="24"/>
                <w:szCs w:val="24"/>
              </w:rPr>
            </w:pPr>
          </w:p>
          <w:p w14:paraId="3361EC1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Dorim să precizăm că modificările propuse sunt fundamentate pe:</w:t>
            </w:r>
          </w:p>
          <w:p w14:paraId="4EAB56DE" w14:textId="77777777" w:rsidR="00B9643D" w:rsidRDefault="00000000" w:rsidP="002E1162">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Regulamentului (UE) 2024/1624 (AMLR), care consacră expres principiul proporționalității și permite statelor membre să prevadă cerințe simplificate pentru entități cu profil de risc redus sau moderat;</w:t>
            </w:r>
          </w:p>
          <w:p w14:paraId="1E30700C" w14:textId="77777777" w:rsidR="00B9643D" w:rsidRDefault="00000000" w:rsidP="002E1162">
            <w:pPr>
              <w:numPr>
                <w:ilvl w:val="0"/>
                <w:numId w:val="3"/>
              </w:num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Directiva (UE) 2024/1640 (AMLD6), care impune statelor membre să țină seama de natura, dimensiunea și complexitatea entităților raportoare la aplicarea obligațiilor de supraveghere.</w:t>
            </w:r>
          </w:p>
          <w:p w14:paraId="43473754" w14:textId="77777777" w:rsidR="00B9643D" w:rsidRDefault="00B9643D" w:rsidP="002E1162">
            <w:pPr>
              <w:jc w:val="both"/>
              <w:rPr>
                <w:rFonts w:ascii="Times New Roman" w:eastAsia="Times New Roman" w:hAnsi="Times New Roman" w:cs="Times New Roman"/>
                <w:sz w:val="24"/>
                <w:szCs w:val="24"/>
              </w:rPr>
            </w:pPr>
          </w:p>
          <w:p w14:paraId="1E22697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eliminarea „</w:t>
            </w:r>
            <w:proofErr w:type="spellStart"/>
            <w:r>
              <w:rPr>
                <w:rFonts w:ascii="Times New Roman" w:eastAsia="Times New Roman" w:hAnsi="Times New Roman" w:cs="Times New Roman"/>
                <w:sz w:val="24"/>
                <w:szCs w:val="24"/>
              </w:rPr>
              <w:t>gold</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plating</w:t>
            </w:r>
            <w:proofErr w:type="spellEnd"/>
            <w:r>
              <w:rPr>
                <w:rFonts w:ascii="Times New Roman" w:eastAsia="Times New Roman" w:hAnsi="Times New Roman" w:cs="Times New Roman"/>
                <w:sz w:val="24"/>
                <w:szCs w:val="24"/>
              </w:rPr>
              <w:t xml:space="preserve">-ului” din legislația națională nu contravine </w:t>
            </w:r>
            <w:r>
              <w:rPr>
                <w:rFonts w:ascii="Times New Roman" w:eastAsia="Times New Roman" w:hAnsi="Times New Roman" w:cs="Times New Roman"/>
                <w:sz w:val="24"/>
                <w:szCs w:val="24"/>
              </w:rPr>
              <w:lastRenderedPageBreak/>
              <w:t xml:space="preserve">standardelor europene și internaționale, ci este în deplină concordanță cu acestea. </w:t>
            </w:r>
          </w:p>
          <w:p w14:paraId="293576F7" w14:textId="77777777" w:rsidR="00B9643D" w:rsidRDefault="00B9643D" w:rsidP="002E1162">
            <w:pPr>
              <w:jc w:val="both"/>
              <w:rPr>
                <w:rFonts w:ascii="Times New Roman" w:eastAsia="Times New Roman" w:hAnsi="Times New Roman" w:cs="Times New Roman"/>
                <w:sz w:val="24"/>
                <w:szCs w:val="24"/>
              </w:rPr>
            </w:pPr>
          </w:p>
          <w:p w14:paraId="0321AF0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menționăm că evaluările MONEYVAL din cadrul rundei a 6-a aplică Recomandările FATF actualizate și acordă o importanță deosebită eficacității sistemului AML/CFT, nu doar conformității formale. Eficacitatea presupune că resursele sistemului - atât cele ale entităților raportoare cât și a autorităților de supraveghere, sunt concentrate acolo unde există riscuri reale. Un sistem în care entitățile mici, cu profil de risc scăzut, generează un volum mare de raportări pe prag lipsite de relevanță operațională riscă a fi evaluat negativ pentru lipsa de proporționalitate și eficacitate.</w:t>
            </w:r>
          </w:p>
          <w:p w14:paraId="3E45974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propunerea de limitare a termenului de sistare a tranzacțiilor de la 30 zile lucrătoare la 10 zile lucrătoare (cu posibilitatea prelungirii motivate o singură dată cu încă 10 zile), aceasta este aliniată practicilor europene și nu afectează eficacitatea operațională a SPCSB. Directiva AMLD6 prevede termene similare, Termenul actual de 30 de zile lucrătoare (echivalentul a aproximativ 6 săptămâni calendaristice) este lung, capabil să genereze prejudicii economice semnificative entităților raportoare și clienților lor.</w:t>
            </w:r>
          </w:p>
          <w:p w14:paraId="0ECA88C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referire la propunerea de înlocuire a blocării automate integrale a relației de afaceri în caz de neconcordanțe la beneficiarul efectiv, cu un mecanism gradual bazat pe risc (notificare, măsuri de precauție sporită, eventual suspendare în caz de risc </w:t>
            </w:r>
            <w:r>
              <w:rPr>
                <w:rFonts w:ascii="Times New Roman" w:eastAsia="Times New Roman" w:hAnsi="Times New Roman" w:cs="Times New Roman"/>
                <w:sz w:val="24"/>
                <w:szCs w:val="24"/>
              </w:rPr>
              <w:lastRenderedPageBreak/>
              <w:t xml:space="preserve">ridicat), acesta este în concordanță cu AMLR, care prevede un mecanism graduat, </w:t>
            </w:r>
            <w:proofErr w:type="spellStart"/>
            <w:r>
              <w:rPr>
                <w:rFonts w:ascii="Times New Roman" w:eastAsia="Times New Roman" w:hAnsi="Times New Roman" w:cs="Times New Roman"/>
                <w:sz w:val="24"/>
                <w:szCs w:val="24"/>
              </w:rPr>
              <w:t>proportionat</w:t>
            </w:r>
            <w:proofErr w:type="spellEnd"/>
            <w:r>
              <w:rPr>
                <w:rFonts w:ascii="Times New Roman" w:eastAsia="Times New Roman" w:hAnsi="Times New Roman" w:cs="Times New Roman"/>
                <w:sz w:val="24"/>
                <w:szCs w:val="24"/>
              </w:rPr>
              <w:t>, pentru gestionarea neconcordanțelor. Blocarea automată reprezintă o normă de tip „</w:t>
            </w:r>
            <w:proofErr w:type="spellStart"/>
            <w:r>
              <w:rPr>
                <w:rFonts w:ascii="Times New Roman" w:eastAsia="Times New Roman" w:hAnsi="Times New Roman" w:cs="Times New Roman"/>
                <w:sz w:val="24"/>
                <w:szCs w:val="24"/>
              </w:rPr>
              <w:t>gold-plating</w:t>
            </w:r>
            <w:proofErr w:type="spellEnd"/>
            <w:r>
              <w:rPr>
                <w:rFonts w:ascii="Times New Roman" w:eastAsia="Times New Roman" w:hAnsi="Times New Roman" w:cs="Times New Roman"/>
                <w:sz w:val="24"/>
                <w:szCs w:val="24"/>
              </w:rPr>
              <w:t>”.</w:t>
            </w:r>
          </w:p>
          <w:p w14:paraId="0AEDBA99" w14:textId="77777777" w:rsidR="00B9643D" w:rsidRDefault="00B9643D" w:rsidP="002E1162">
            <w:pPr>
              <w:jc w:val="both"/>
              <w:rPr>
                <w:rFonts w:ascii="Times New Roman" w:eastAsia="Times New Roman" w:hAnsi="Times New Roman" w:cs="Times New Roman"/>
                <w:sz w:val="24"/>
                <w:szCs w:val="24"/>
              </w:rPr>
            </w:pPr>
          </w:p>
          <w:p w14:paraId="5D1C289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introducerea unei clauze explicite de proporționalitate a sancțiunilor, cu posibilitatea de a aplica măsuri corective pentru încălcări minore sau pur formale, aceasta este o cerință expresă a AMLD6 și a AMLR, care obligă statele membre să asigure că sancțiunile sunt eficace, proporționale și cu efect descurajant. </w:t>
            </w:r>
          </w:p>
          <w:p w14:paraId="1C4D2A3B" w14:textId="77777777" w:rsidR="00B9643D" w:rsidRDefault="00B9643D" w:rsidP="002E1162">
            <w:pPr>
              <w:jc w:val="both"/>
              <w:rPr>
                <w:rFonts w:ascii="Times New Roman" w:eastAsia="Times New Roman" w:hAnsi="Times New Roman" w:cs="Times New Roman"/>
                <w:sz w:val="24"/>
                <w:szCs w:val="24"/>
              </w:rPr>
            </w:pPr>
          </w:p>
          <w:p w14:paraId="5759CDF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Astfel, considerăm că modificările propuse prin proiect sunt necesare. Totodată, se propune abordarea subiectelor propuse în </w:t>
            </w:r>
            <w:proofErr w:type="spellStart"/>
            <w:r>
              <w:rPr>
                <w:rFonts w:ascii="Times New Roman" w:eastAsia="Times New Roman" w:hAnsi="Times New Roman" w:cs="Times New Roman"/>
                <w:sz w:val="24"/>
                <w:szCs w:val="24"/>
              </w:rPr>
              <w:t>Art.VIII</w:t>
            </w:r>
            <w:proofErr w:type="spellEnd"/>
            <w:r>
              <w:rPr>
                <w:rFonts w:ascii="Times New Roman" w:eastAsia="Times New Roman" w:hAnsi="Times New Roman" w:cs="Times New Roman"/>
                <w:sz w:val="24"/>
                <w:szCs w:val="24"/>
              </w:rPr>
              <w:t xml:space="preserve"> din proiect separat: </w:t>
            </w:r>
          </w:p>
          <w:p w14:paraId="2B3F1682" w14:textId="77777777" w:rsidR="00B9643D" w:rsidRDefault="00B9643D" w:rsidP="002E1162">
            <w:pPr>
              <w:jc w:val="both"/>
              <w:rPr>
                <w:rFonts w:ascii="Times New Roman" w:eastAsia="Times New Roman" w:hAnsi="Times New Roman" w:cs="Times New Roman"/>
                <w:sz w:val="24"/>
                <w:szCs w:val="24"/>
              </w:rPr>
            </w:pPr>
          </w:p>
          <w:p w14:paraId="2E4F3F4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Cele ce țin de prestatorii de servicii de plată mici, a se vedea argumentarea autorului prezentată la avizul BNM/MF, care urmează a fi abordate în consultări separate cu Autoritatea de reglementare și alte părți vizate;</w:t>
            </w:r>
          </w:p>
          <w:p w14:paraId="313BA6FE" w14:textId="77777777" w:rsidR="00B9643D" w:rsidRDefault="00B9643D" w:rsidP="002E1162">
            <w:pPr>
              <w:jc w:val="both"/>
              <w:rPr>
                <w:rFonts w:ascii="Times New Roman" w:eastAsia="Times New Roman" w:hAnsi="Times New Roman" w:cs="Times New Roman"/>
                <w:sz w:val="24"/>
                <w:szCs w:val="24"/>
              </w:rPr>
            </w:pPr>
          </w:p>
          <w:p w14:paraId="58821F1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Cele ce țin de proporționalitatea măsurilor impuse în procesul de aplicare a L308/2017 în raport cu entitățile raportoare, autorul insistă pe conformarea deplină cu legislația europeană și eliminarea ”</w:t>
            </w:r>
            <w:proofErr w:type="spellStart"/>
            <w:r>
              <w:rPr>
                <w:rFonts w:ascii="Times New Roman" w:eastAsia="Times New Roman" w:hAnsi="Times New Roman" w:cs="Times New Roman"/>
                <w:sz w:val="24"/>
                <w:szCs w:val="24"/>
              </w:rPr>
              <w:t>gold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plating</w:t>
            </w:r>
            <w:proofErr w:type="spellEnd"/>
            <w:r>
              <w:rPr>
                <w:rFonts w:ascii="Times New Roman" w:eastAsia="Times New Roman" w:hAnsi="Times New Roman" w:cs="Times New Roman"/>
                <w:sz w:val="24"/>
                <w:szCs w:val="24"/>
              </w:rPr>
              <w:t xml:space="preserve">-ului” local. În acest scop, propunem îmbunătățirea proiectului punctat - de comun cu experții Serviciului pentru Prevenirea și Combaterea Spălării Banilor, precum și în procesul de </w:t>
            </w:r>
            <w:r>
              <w:rPr>
                <w:rFonts w:ascii="Times New Roman" w:eastAsia="Times New Roman" w:hAnsi="Times New Roman" w:cs="Times New Roman"/>
                <w:sz w:val="24"/>
                <w:szCs w:val="24"/>
              </w:rPr>
              <w:lastRenderedPageBreak/>
              <w:t xml:space="preserve">avizare extinsă, transparent și cu participarea comunității de afaceri. </w:t>
            </w:r>
          </w:p>
          <w:p w14:paraId="12EF6D68" w14:textId="77777777" w:rsidR="00B9643D" w:rsidRDefault="00B9643D" w:rsidP="002E1162">
            <w:pPr>
              <w:jc w:val="both"/>
              <w:rPr>
                <w:rFonts w:ascii="Times New Roman" w:eastAsia="Times New Roman" w:hAnsi="Times New Roman" w:cs="Times New Roman"/>
                <w:sz w:val="24"/>
                <w:szCs w:val="24"/>
              </w:rPr>
            </w:pPr>
          </w:p>
          <w:p w14:paraId="0644DD2A" w14:textId="156E0204"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TOTUȘI,</w:t>
            </w:r>
            <w:r>
              <w:rPr>
                <w:rFonts w:ascii="Times New Roman" w:eastAsia="Times New Roman" w:hAnsi="Times New Roman" w:cs="Times New Roman"/>
                <w:sz w:val="24"/>
                <w:szCs w:val="24"/>
              </w:rPr>
              <w:t xml:space="preserve"> luând act de observațiile formulate de Serviciul Prevenirea și Combaterea Spălării Banilor și având în vedere adoptarea, la nivelul Uniunii Europene, a noului pachet legislativ în domeniul prevenirii și combaterii spălării banilor și finanțării terorismului — Regulamentul (UE) 2024/1624, Directiva (UE) 2024/1640 și Regulamentul (UE) 2024/1620</w:t>
            </w:r>
            <w:r w:rsidR="002E1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precum și faptul că, în acest context, cadrul normativ național se află într-un proces de ajustare și armonizare de ansamblu, autorul reține că intervențiile asupra Legii nr. 308/2017 cu privire la prevenirea și combaterea spălării banilor și finanțării terorismului vizează instituții juridice esențiale ale sistemului național AML/CFT și necesită o evaluare distinctă, integrată și sistemică.</w:t>
            </w:r>
          </w:p>
          <w:p w14:paraId="1AE55872" w14:textId="77777777" w:rsidR="00B9643D" w:rsidRDefault="00B9643D" w:rsidP="002E1162">
            <w:pPr>
              <w:jc w:val="both"/>
              <w:rPr>
                <w:rFonts w:ascii="Times New Roman" w:eastAsia="Times New Roman" w:hAnsi="Times New Roman" w:cs="Times New Roman"/>
                <w:sz w:val="24"/>
                <w:szCs w:val="24"/>
              </w:rPr>
            </w:pPr>
          </w:p>
          <w:p w14:paraId="6B7ECC2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prevederile Art. VI se retrag din proiectul de lege nr. 629/MDED/2026 și urmează a fi reconsiderate în cadrul unui proces legislativ distinct, dedicat revizuirii sistemice a Legii nr. 308/2017, realizat în lumina noului pachet AML al Uniunii Europene și a rezultatelor evaluării naționale a riscurilor de spălare a banilor și de finanțare a terorismului, cu implicarea autorităților competente în materie de prevenire și combatere a spălării banilor și finanțării terorismului.</w:t>
            </w:r>
          </w:p>
          <w:p w14:paraId="7A69E919" w14:textId="77777777" w:rsidR="00B9643D" w:rsidRDefault="00B9643D" w:rsidP="002E1162">
            <w:pPr>
              <w:jc w:val="both"/>
              <w:rPr>
                <w:rFonts w:ascii="Times New Roman" w:eastAsia="Times New Roman" w:hAnsi="Times New Roman" w:cs="Times New Roman"/>
                <w:sz w:val="24"/>
                <w:szCs w:val="24"/>
              </w:rPr>
            </w:pPr>
          </w:p>
          <w:p w14:paraId="4C205F7D" w14:textId="49F5188F"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Totodată, preocupările care au stat la baza intervențiilor propuse </w:t>
            </w:r>
            <w:r w:rsidR="002E1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în special aplicarea consecventă a principiului proporționalității și eliminarea cerințelor naționale care depășesc standardul european minim (</w:t>
            </w:r>
            <w:proofErr w:type="spellStart"/>
            <w:r>
              <w:rPr>
                <w:rFonts w:ascii="Times New Roman" w:eastAsia="Times New Roman" w:hAnsi="Times New Roman" w:cs="Times New Roman"/>
                <w:sz w:val="24"/>
                <w:szCs w:val="24"/>
              </w:rPr>
              <w:t>gold-plating</w:t>
            </w:r>
            <w:proofErr w:type="spellEnd"/>
            <w:r>
              <w:rPr>
                <w:rFonts w:ascii="Times New Roman" w:eastAsia="Times New Roman" w:hAnsi="Times New Roman" w:cs="Times New Roman"/>
                <w:sz w:val="24"/>
                <w:szCs w:val="24"/>
              </w:rPr>
              <w:t>), cu impact asupra entităților raportoare de dimensiuni mici din ecosistemul digital</w:t>
            </w:r>
            <w:r w:rsidR="002E1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urmează a fi înaintate și examinate în cadrul procesului de armonizare menționat, împreună cu Serviciul Prevenirea și Combaterea Spălării Banilor, Banca Națională a Moldovei, Ministerul Finanțelor și celelalte părți vizate, în cadrul consultărilor cu comunitatea de afaceri.</w:t>
            </w:r>
          </w:p>
          <w:p w14:paraId="10FC1E8C" w14:textId="77777777" w:rsidR="00B9643D" w:rsidRDefault="00B9643D" w:rsidP="002E1162">
            <w:pPr>
              <w:jc w:val="both"/>
              <w:rPr>
                <w:rFonts w:ascii="Times New Roman" w:eastAsia="Times New Roman" w:hAnsi="Times New Roman" w:cs="Times New Roman"/>
                <w:sz w:val="24"/>
                <w:szCs w:val="24"/>
              </w:rPr>
            </w:pPr>
          </w:p>
        </w:tc>
      </w:tr>
      <w:tr w:rsidR="00B9643D" w14:paraId="06EA27DD" w14:textId="77777777" w:rsidTr="00CA3607">
        <w:tc>
          <w:tcPr>
            <w:tcW w:w="587" w:type="dxa"/>
            <w:shd w:val="clear" w:color="auto" w:fill="FFFFFF"/>
          </w:tcPr>
          <w:p w14:paraId="508595F0" w14:textId="77777777" w:rsidR="00B9643D" w:rsidRDefault="00000000" w:rsidP="002E1162">
            <w:p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lastRenderedPageBreak/>
              <w:t xml:space="preserve"> </w:t>
            </w:r>
          </w:p>
        </w:tc>
        <w:tc>
          <w:tcPr>
            <w:tcW w:w="2688" w:type="dxa"/>
            <w:tcBorders>
              <w:bottom w:val="single" w:sz="4" w:space="0" w:color="000000"/>
            </w:tcBorders>
            <w:shd w:val="clear" w:color="auto" w:fill="FFFFFF"/>
          </w:tcPr>
          <w:p w14:paraId="2FD605E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Banca Națională a Moldovei</w:t>
            </w:r>
          </w:p>
          <w:p w14:paraId="40AC85F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31-002/57/2072 din 27.04.2026)</w:t>
            </w:r>
          </w:p>
        </w:tc>
        <w:tc>
          <w:tcPr>
            <w:tcW w:w="590" w:type="dxa"/>
            <w:tcBorders>
              <w:top w:val="single" w:sz="4" w:space="0" w:color="000000"/>
            </w:tcBorders>
            <w:shd w:val="clear" w:color="auto" w:fill="FFFFFF"/>
          </w:tcPr>
          <w:p w14:paraId="359B5C6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6122" w:type="dxa"/>
            <w:tcBorders>
              <w:top w:val="single" w:sz="4" w:space="0" w:color="000000"/>
              <w:right w:val="single" w:sz="4" w:space="0" w:color="000000"/>
            </w:tcBorders>
            <w:shd w:val="clear" w:color="auto" w:fill="FFFFFF"/>
          </w:tcPr>
          <w:p w14:paraId="2434737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Cu referire la Art. I din proiect, privind modificările aduse</w:t>
            </w:r>
            <w:r>
              <w:rPr>
                <w:rFonts w:ascii="Times New Roman" w:eastAsia="Times New Roman" w:hAnsi="Times New Roman" w:cs="Times New Roman"/>
                <w:b/>
                <w:bCs/>
                <w:sz w:val="24"/>
                <w:szCs w:val="24"/>
              </w:rPr>
              <w:t xml:space="preserve"> Legii nr. 880/1992 privind Fondul Arhivistic al Republicii Moldova</w:t>
            </w:r>
            <w:r>
              <w:rPr>
                <w:rFonts w:ascii="Times New Roman" w:eastAsia="Times New Roman" w:hAnsi="Times New Roman" w:cs="Times New Roman"/>
                <w:sz w:val="24"/>
                <w:szCs w:val="24"/>
              </w:rPr>
              <w:t>, la pct. 1, se recomandă explicarea conceptelor, precum și modalităților prin care va fi asigurată integritatea, autenticitatea, disponibilitatea și trasabilitatea documentelor digitizate, or in lipsa acestor explicații, apare un risc semnificativ de interpretare neunitară în practică, cu consecințe directe asupra securității juridice ale actelor din domeniul arhivistic.</w:t>
            </w:r>
          </w:p>
          <w:p w14:paraId="0B3EA833" w14:textId="77777777" w:rsidR="00B9643D" w:rsidRDefault="00B9643D" w:rsidP="002E1162">
            <w:pPr>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7DC76BB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667B43DC" w14:textId="77777777" w:rsidR="00B9643D" w:rsidRDefault="00B9643D" w:rsidP="002E1162">
            <w:pPr>
              <w:jc w:val="both"/>
              <w:rPr>
                <w:rFonts w:ascii="Times New Roman" w:eastAsia="Times New Roman" w:hAnsi="Times New Roman" w:cs="Times New Roman"/>
                <w:b/>
                <w:bCs/>
                <w:sz w:val="24"/>
                <w:szCs w:val="24"/>
              </w:rPr>
            </w:pPr>
          </w:p>
          <w:p w14:paraId="21E731C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a fost substanțial modificat. Arhivarea documentelor electronice va fi abordată separat, prin două acte legislative distincte. Actele generate și semnate în format digital vor parcurge un proces mai complex ce va fi administrat de prestatorii de servicii de încredere, în linie cu un nou act legislativ inițiat de MDED ce va armoniza legislația internă cu Regulamentul (UE) 2024/1183 (</w:t>
            </w:r>
            <w:proofErr w:type="spellStart"/>
            <w:r>
              <w:rPr>
                <w:rFonts w:ascii="Times New Roman" w:eastAsia="Times New Roman" w:hAnsi="Times New Roman" w:cs="Times New Roman"/>
                <w:sz w:val="24"/>
                <w:szCs w:val="24"/>
              </w:rPr>
              <w:t>eIDAS</w:t>
            </w:r>
            <w:proofErr w:type="spellEnd"/>
            <w:r>
              <w:rPr>
                <w:rFonts w:ascii="Times New Roman" w:eastAsia="Times New Roman" w:hAnsi="Times New Roman" w:cs="Times New Roman"/>
                <w:sz w:val="24"/>
                <w:szCs w:val="24"/>
              </w:rPr>
              <w:t xml:space="preserve"> 2.0) și va substitui actuala Lege 124/2022 privind identitatea electronică și serviciile de încredere. </w:t>
            </w:r>
          </w:p>
          <w:p w14:paraId="79B8356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procesul de avizare mai largă a proiectului, cu participarea instituțiilor specializate, proiectul va fi îmbunătățit din perspectiva obiectivului enunțat în nota de fundamentare - digitizarea documentelor generate de sectorul privat din format analog în format digital și reducerea costurilor </w:t>
            </w:r>
            <w:r>
              <w:rPr>
                <w:rFonts w:ascii="Times New Roman" w:eastAsia="Times New Roman" w:hAnsi="Times New Roman" w:cs="Times New Roman"/>
                <w:sz w:val="24"/>
                <w:szCs w:val="24"/>
              </w:rPr>
              <w:lastRenderedPageBreak/>
              <w:t xml:space="preserve">semnificative de depozitare fizică a documentației.  </w:t>
            </w:r>
          </w:p>
          <w:p w14:paraId="3D6C82FE" w14:textId="77777777" w:rsidR="002E1162" w:rsidRDefault="002E1162" w:rsidP="002E1162">
            <w:pPr>
              <w:jc w:val="both"/>
              <w:rPr>
                <w:rFonts w:ascii="Times New Roman" w:eastAsia="Times New Roman" w:hAnsi="Times New Roman" w:cs="Times New Roman"/>
                <w:sz w:val="24"/>
                <w:szCs w:val="24"/>
              </w:rPr>
            </w:pPr>
          </w:p>
        </w:tc>
      </w:tr>
      <w:tr w:rsidR="00B9643D" w14:paraId="08D9DCF2" w14:textId="77777777" w:rsidTr="00CA3607">
        <w:tc>
          <w:tcPr>
            <w:tcW w:w="587" w:type="dxa"/>
            <w:shd w:val="clear" w:color="auto" w:fill="FFFFFF"/>
          </w:tcPr>
          <w:p w14:paraId="6007F7B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2CB7FF2E"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29C5424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6122" w:type="dxa"/>
            <w:tcBorders>
              <w:top w:val="single" w:sz="4" w:space="0" w:color="000000"/>
              <w:right w:val="single" w:sz="4" w:space="0" w:color="000000"/>
            </w:tcBorders>
            <w:shd w:val="clear" w:color="auto" w:fill="FFFFFF"/>
          </w:tcPr>
          <w:p w14:paraId="3DE851E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18¹ alin. (3), se propune clarificarea necesității aplicării semnăturii electronice pe documentele supuse digitizării conforme, pentru a asigura coerența cu prevederile art.82 alin. (1) din Codul administrativ.</w:t>
            </w:r>
          </w:p>
          <w:p w14:paraId="0F8D85D4" w14:textId="77777777" w:rsidR="002E1162" w:rsidRDefault="002E1162"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4353C12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retras</w:t>
            </w:r>
          </w:p>
          <w:p w14:paraId="7F26A6C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2.</w:t>
            </w:r>
          </w:p>
        </w:tc>
      </w:tr>
      <w:tr w:rsidR="00B9643D" w14:paraId="4DEF4BAE" w14:textId="77777777" w:rsidTr="00CA3607">
        <w:tc>
          <w:tcPr>
            <w:tcW w:w="587" w:type="dxa"/>
            <w:shd w:val="clear" w:color="auto" w:fill="FFFFFF"/>
          </w:tcPr>
          <w:p w14:paraId="28FDD4B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2CD5DE59"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23BFD7D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6122" w:type="dxa"/>
            <w:tcBorders>
              <w:top w:val="single" w:sz="4" w:space="0" w:color="000000"/>
              <w:right w:val="single" w:sz="4" w:space="0" w:color="000000"/>
            </w:tcBorders>
            <w:shd w:val="clear" w:color="auto" w:fill="FFFFFF"/>
          </w:tcPr>
          <w:p w14:paraId="11C764D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2, în textul art. 21¹ alin. (1) se propune substituirea textului „prestatori autorizați în condițiile legislației privind identificarea electronică și serviciile de încredere” cu textul „prestatori de servicii de încredere calificați, acreditați în conformitate cu Legea nr.124/2022 privind identificarea electronică și serviciile de încredere”.</w:t>
            </w:r>
          </w:p>
          <w:p w14:paraId="2F33ED8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consideră necesară precizarea responsabilității statului pentru arhivarea documentelor electronice generate și păstrate în platformele guvernamentale (SI e-factura; cabinetul personal al contribuabilului; EVO; etc), având în vedere că Serviciul Fiscal de Stat, Agenția de Guvernare Electronică, ministerele, etc. sunt persoane juridice de drept public.</w:t>
            </w:r>
          </w:p>
          <w:p w14:paraId="29734B04" w14:textId="77777777" w:rsidR="002E1162" w:rsidRDefault="002E1162"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4711AEE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 se acceptă</w:t>
            </w:r>
          </w:p>
          <w:p w14:paraId="0C705EB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2 ce țin de elaborarea unui nou proiect de lege ce va substitui Legea 124/2022</w:t>
            </w:r>
          </w:p>
        </w:tc>
      </w:tr>
      <w:tr w:rsidR="00B9643D" w14:paraId="37B6A8A4" w14:textId="77777777" w:rsidTr="00CA3607">
        <w:tc>
          <w:tcPr>
            <w:tcW w:w="587" w:type="dxa"/>
            <w:shd w:val="clear" w:color="auto" w:fill="FFFFFF"/>
          </w:tcPr>
          <w:p w14:paraId="703735F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111D2F54"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27AD55C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c>
          <w:tcPr>
            <w:tcW w:w="6122" w:type="dxa"/>
            <w:tcBorders>
              <w:top w:val="single" w:sz="4" w:space="0" w:color="000000"/>
              <w:right w:val="single" w:sz="4" w:space="0" w:color="000000"/>
            </w:tcBorders>
            <w:shd w:val="clear" w:color="auto" w:fill="FFFFFF"/>
          </w:tcPr>
          <w:p w14:paraId="3FC15A5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3 din proiect, în textul art. 27¹ alin. (1) după sintagma „de hârtie” se propune completarea normei cu textul ”ce au fost digitizate și documentele electronice,” pentru o mai bună acoperire a tipurilor de documente vizate.</w:t>
            </w:r>
          </w:p>
          <w:p w14:paraId="77B460CC"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5DF2691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29E036EB" w14:textId="77777777" w:rsidTr="00CA3607">
        <w:tc>
          <w:tcPr>
            <w:tcW w:w="587" w:type="dxa"/>
            <w:shd w:val="clear" w:color="auto" w:fill="FFFFFF"/>
          </w:tcPr>
          <w:p w14:paraId="75707D2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777D6E38"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21FA57B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6122" w:type="dxa"/>
            <w:tcBorders>
              <w:top w:val="single" w:sz="4" w:space="0" w:color="000000"/>
              <w:right w:val="single" w:sz="4" w:space="0" w:color="000000"/>
            </w:tcBorders>
            <w:shd w:val="clear" w:color="auto" w:fill="FFFFFF"/>
          </w:tcPr>
          <w:p w14:paraId="1C03438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privire la că art. 27¹ alin. (2) lit. b), opinăm că acesta nu stabilește clar care sunt condițiile exacte ce garantează integritatea și autenticitatea păstrării documentelor electronice. </w:t>
            </w:r>
          </w:p>
          <w:p w14:paraId="444228D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aceeași ordine de idei, se impune o precizare explicită privind distrugerea actelor digitizate, în special dacă aceasta este permisă înainte de expirarea termenului de păstrare a originalului.</w:t>
            </w:r>
          </w:p>
          <w:p w14:paraId="3924E28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menționează că Regulamentul (UE) 2024/1183 (</w:t>
            </w:r>
            <w:proofErr w:type="spellStart"/>
            <w:r>
              <w:rPr>
                <w:rFonts w:ascii="Times New Roman" w:eastAsia="Times New Roman" w:hAnsi="Times New Roman" w:cs="Times New Roman"/>
                <w:sz w:val="24"/>
                <w:szCs w:val="24"/>
              </w:rPr>
              <w:t>eIDAS</w:t>
            </w:r>
            <w:proofErr w:type="spellEnd"/>
            <w:r>
              <w:rPr>
                <w:rFonts w:ascii="Times New Roman" w:eastAsia="Times New Roman" w:hAnsi="Times New Roman" w:cs="Times New Roman"/>
                <w:sz w:val="24"/>
                <w:szCs w:val="24"/>
              </w:rPr>
              <w:t xml:space="preserve"> 2.0) introduce conceptul de „serviciu calificat de arhivare electronică” la art. 45j, deoarece digitizarea obișnuită </w:t>
            </w:r>
            <w:r>
              <w:rPr>
                <w:rFonts w:ascii="Times New Roman" w:eastAsia="Times New Roman" w:hAnsi="Times New Roman" w:cs="Times New Roman"/>
                <w:sz w:val="24"/>
                <w:szCs w:val="24"/>
              </w:rPr>
              <w:lastRenderedPageBreak/>
              <w:t>nu asigură integritatea și autenticitatea pe termen lung a documentelor electronice. Prezumția de integritate a documentelor electronice este valabilă doar în cadrul unui serviciu calificat de arhivare, nu în cazul unei simple scanări.</w:t>
            </w:r>
          </w:p>
          <w:p w14:paraId="5712E72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prevede stabilirea prin regulament aprobat de Guvern a condițiilor tehnice și procedurale ale digitizării conforme (art. 18¹ alin. (4)), însă permite distrugerea documentelor fără impunerea utilizării unui serviciu calificat de arhivare electronică, fără reglementarea semnării calificate a copiilor digitale cu marcă temporală și fără prevederea transferului prealabil al documentelor cu valoare potențială către Arhiva de Stat. Aceste aspecte necesită reglementări suplimentare pentru a asigura securitatea și legalitatea procesului de arhivare electronică.</w:t>
            </w:r>
          </w:p>
          <w:p w14:paraId="0B3B818B"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04E55CF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 de opinia expusă</w:t>
            </w:r>
          </w:p>
          <w:p w14:paraId="6E2BE3F7" w14:textId="77777777" w:rsidR="00B9643D" w:rsidRDefault="00B9643D" w:rsidP="002E1162">
            <w:pPr>
              <w:jc w:val="both"/>
              <w:rPr>
                <w:rFonts w:ascii="Times New Roman" w:eastAsia="Times New Roman" w:hAnsi="Times New Roman" w:cs="Times New Roman"/>
                <w:sz w:val="24"/>
                <w:szCs w:val="24"/>
              </w:rPr>
            </w:pPr>
          </w:p>
          <w:p w14:paraId="24D5671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procesul de definitivare a proiectului cu participarea autorităților vizate, acesta va fi îmbunătățit.</w:t>
            </w:r>
          </w:p>
        </w:tc>
      </w:tr>
      <w:tr w:rsidR="00B9643D" w14:paraId="1577156D" w14:textId="77777777" w:rsidTr="00CA3607">
        <w:tc>
          <w:tcPr>
            <w:tcW w:w="587" w:type="dxa"/>
            <w:shd w:val="clear" w:color="auto" w:fill="FFFFFF"/>
          </w:tcPr>
          <w:p w14:paraId="19A7A83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4FEE2851"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7E8D847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6122" w:type="dxa"/>
            <w:tcBorders>
              <w:top w:val="single" w:sz="4" w:space="0" w:color="000000"/>
              <w:right w:val="single" w:sz="4" w:space="0" w:color="000000"/>
            </w:tcBorders>
            <w:shd w:val="clear" w:color="auto" w:fill="FFFFFF"/>
          </w:tcPr>
          <w:p w14:paraId="161EB4C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Referitor la Art. V, care vizează modificarea </w:t>
            </w:r>
            <w:r>
              <w:rPr>
                <w:rFonts w:ascii="Times New Roman" w:eastAsia="Times New Roman" w:hAnsi="Times New Roman" w:cs="Times New Roman"/>
                <w:b/>
                <w:bCs/>
                <w:sz w:val="24"/>
                <w:szCs w:val="24"/>
              </w:rPr>
              <w:t>Legii nr. 62/2008 privind reglementarea valutară</w:t>
            </w:r>
            <w:r>
              <w:rPr>
                <w:rFonts w:ascii="Times New Roman" w:eastAsia="Times New Roman" w:hAnsi="Times New Roman" w:cs="Times New Roman"/>
                <w:sz w:val="24"/>
                <w:szCs w:val="24"/>
              </w:rPr>
              <w:t xml:space="preserve"> (în continuare – Legea 62/2008), se propune excluderea acestuia din proiect din următoarele considerente:</w:t>
            </w:r>
          </w:p>
          <w:p w14:paraId="330AD68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Potrivit Notei de fundamentare a proiectului de lege, modificările propuse la Legea nr.62/2008 au ca obiectiv schimbarea modelului de reglementare în domeniul valutar, prin trecerea de la regimul de autorizare prealabilă (ex-ante) la un regim de notificare statistică ulterioară (ex-post) a operațiunilor valutare de capital. În esență, această abordare presupune înlocuirea mecanismului de autorizare (caracter permisiv) cu un mecanism de raportare, cu caracter pur informativ. O asemenea modificare ar diminua substanțial capacitatea Băncii Naționale a Moldovei de a-și realiza obiectivul fundamental – asigurarea și menținerea stabilității prețurilor – precum și de a-și exercita atribuțiile de bază stabilite prin Legea nr. 548/1995 cu privire la Banca Națională a Moldovei, inclusiv cele privind stabilirea și implementarea politicii monetare și valutare a statului, efectuarea reglementării valutare și exercitarea controlului valutar pe teritoriul Republicii Moldova.</w:t>
            </w:r>
          </w:p>
          <w:p w14:paraId="41D5639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contextul celor menționate, regimul de autorizare prealabilă constituie un instrument de prevenție și nu unul sancționator, care permite BNM să intervină anticipativ și fundamentat în scopul protejării stabilității macrofinanciare. Prin aplicarea acestui regim, BNM dispune de posibilitatea de a evalua, anterior realizării acestora, impactul operațiunilor valutare de capital asupra balanței de plăți; de a preveni ieșiri masive, necontrolate sau speculative de capital, susceptibile de a genera dezechilibre valutare; de a asigura trasabilitatea și transparența fluxurilor financiare transfrontaliere.</w:t>
            </w:r>
          </w:p>
          <w:p w14:paraId="3259A00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abordare este consacrată în definiția noțiunii de „reglementare valutară”, care include efectuarea și raportarea operațiunilor valutare, licențierea activității de schimb valutar și exercitarea controlului valutar, toate având drept scop implementarea politicii valutare a statului și asigurarea stabilității pieței valutare interne (art. 3 pct. 1 din Legea nr. 62/2008). Totodată, este important de subliniat că regimul de autorizare nu are un caracter general și absolut. O serie de operațiuni valutare de capital sunt deja liberalizate pentru toate categoriile de rezidenți, cum ar fi investițiile directe, operațiunile cu bunuri imobile, împrumuturile/creditele comerciale, precum și operațiunile aferente asigurărilor de viață. De asemenea, anumite operațiuni sunt liberalizate pentru categorii specifice de rezidenți, inclusiv pentru entitățile supravegheate și reglementate de Banca Națională și de Comisia Națională a Pieței Financiare, precum și pentru anumite categorii de persoane fizice.</w:t>
            </w:r>
          </w:p>
          <w:p w14:paraId="335DB53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plus, regimul de autorizare se aplică, de regulă, numai peste anumite plafoane valorice, plafoane care pot fi ajustate de legiuitor în funcție de evoluțiile și riscurile de pe piața valutară, ceea ce denotă caracterul flexibil și adaptiv al cadrului normativ existent. Suplimentar, este de precizat că procedura autorizării de către BNM a operațiunilor valutare a fost simplificată substanțial, solicitanții având posibilitatea de a depune actele la BNM și de a obține autorizația BNM în formă electronică.</w:t>
            </w:r>
          </w:p>
          <w:p w14:paraId="2CFCE18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Prin urmare, regimul de autorizare prealabilă servește mai multe interese publice legitime, printre care prevenirea spălării banilor și a finanțării ilicite, reducerea riscurilor de arbitraj valutar, protecția creditorilor și a stabilității sistemului bancar, precum și consolidarea încrederii în moneda națională. Eliminarea acestui regim ar priva statul și autoritatea monetară centrală de un instrument esențial de intervenție preventivă și rapidă, inclusiv în situații de criză financiară, economică sau geopolitică.</w:t>
            </w:r>
          </w:p>
          <w:p w14:paraId="7C65ECB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Este de notat, că în contextul circulației capitalului și a plăților, Republica Moldova a promovat și continuă să promoveze o politică prudentă în vederea liberalizării graduale a ieșirilor de capital din Republica Moldova cu scopul evitării șocurilor care ar putea avea loc în cazul unei liberalizări totale realizate într-o singură etapă. Politica în cauză este în conformitate cu poziția instituțională a FMI („Review of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view</w:t>
            </w:r>
            <w:proofErr w:type="spellEnd"/>
            <w:r>
              <w:rPr>
                <w:rFonts w:ascii="Times New Roman" w:eastAsia="Times New Roman" w:hAnsi="Times New Roman" w:cs="Times New Roman"/>
                <w:sz w:val="24"/>
                <w:szCs w:val="24"/>
              </w:rPr>
              <w:t xml:space="preserve"> on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liberalization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management of capital </w:t>
            </w:r>
            <w:proofErr w:type="spellStart"/>
            <w:r>
              <w:rPr>
                <w:rFonts w:ascii="Times New Roman" w:eastAsia="Times New Roman" w:hAnsi="Times New Roman" w:cs="Times New Roman"/>
                <w:sz w:val="24"/>
                <w:szCs w:val="24"/>
              </w:rPr>
              <w:t>flows</w:t>
            </w:r>
            <w:proofErr w:type="spellEnd"/>
            <w:r>
              <w:rPr>
                <w:rFonts w:ascii="Times New Roman" w:eastAsia="Times New Roman" w:hAnsi="Times New Roman" w:cs="Times New Roman"/>
                <w:sz w:val="24"/>
                <w:szCs w:val="24"/>
              </w:rPr>
              <w:t xml:space="preserve">”, 2022) și cu angajamentele asumate de către Republica Moldova conform Acordului de Asociere între Republica Moldova și Uniunea Europeană, art.267. Astfel, conform Programului Național de aderare a Republicii Moldova la Uniunea Europeană pentru anii 2025-2029, aprobat prin Hotărârea Guvernului nr.306/2025 (Cluster 2 Piața internă, Capitolul 4 Libera circulație a capitalului, anexa A, acțiunile 1.1, 2,1; 1.2, 2.2) sunt planificate două acțiuni normative, cu termenul de realizare – decembrie 2026, și anume: Adoptarea proiectului de Lege pentru modificarea Legii nr.62/2008 privind reglementarea valutară (liberalizarea parțială) și proiectului de Lege pentru modificarea unor acte normative (liberalizarea totală a operațiunilor valutare). Autoritățile responsabile pentru elaborarea și promovarea proiectelor nominalizate sunt Banca Națională și Ministerul Finanțelor. Proiectele de legi menționate sunt elaborate întru realizarea angajamentelor asumate de Republica Moldova în baza art.267 din Acordul de Asociere între Republica Moldova și Uniunea Europeană, precum și în vederea alinierii la prevederile art.63 din Tratatul privind funcționarea Uniunii </w:t>
            </w:r>
            <w:r>
              <w:rPr>
                <w:rFonts w:ascii="Times New Roman" w:eastAsia="Times New Roman" w:hAnsi="Times New Roman" w:cs="Times New Roman"/>
                <w:sz w:val="24"/>
                <w:szCs w:val="24"/>
              </w:rPr>
              <w:lastRenderedPageBreak/>
              <w:t>Europene și prevederile anexei I „Nomenclatorul mișcărilor de capital menționate la articolul 1 din Directivă” din Directiva 4 Consiliului din 24 iunie 1988 pentru punerea în aplicare a articolului 67 din tratat (88/361/CEE). Actualmente, proiectele în cauză se află în procesul de avizare și consultare publică. De notat, că progresele realizate în vederea eliminării restricțiilor rămase la efectuarea operațiunilor valutare de capital sunt prezentate în cadrul elaborării contribuției RM (aferente capitolului 4 „Libera circulație a capitalului”) la Pachetul de extindere al Comisiei Europene.</w:t>
            </w:r>
          </w:p>
          <w:p w14:paraId="6D37D49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pentru modificarea Legii nr.62/2008 privind reglementarea valutară (liberalizarea parțială), care deja a fost supus consultării publice și avizării de către autoritățile publice, prevede abrogarea, în totalmente, a normelor ce țin de aplicarea regimului de notificare față de operațiunile valutare de capital care implică intrarea capitalului în Republica Moldova (alin.(5)-(61) la art.6 din legea în cauză). Cu titlu de informare, comunicăm că, în cadrul avizării, Ministerul Dezvoltării Economice și Digitalizării nu a avut obiecții la abrogarea regimului de notificare.</w:t>
            </w:r>
          </w:p>
          <w:p w14:paraId="11E2AAA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privința plafoanelor valorice aferente operațiunilor valutare de capital prevăzute la art.9 alin.(11) lit. a), art.11 alin.(4) lit. c), art.12 alin.(4), art.13 alin.(5) lit. e) și f) din Legea nr.62/2008 (specificate la Art. V, pct.2-5 din proiectul de lege supus avizării), comunicăm că proiectul de Lege pentru modificarea Legii nr.62/2008 privind reglementarea valutară (liberalizarea parțială) stabilește că operațiunile valutare de capital în cauză vor putea fi efectuate fără autorizare din partea BNM în cazul în care suma operațiunii nu va depăși 100000 euro (sau echivalentul acestora), din 1 ianuarie 2028 – nu va depăși 250000 euro (sau echivalentul acestora). Totodată, proiectul de Lege pentru modificarea unor acte normative (liberalizarea totală a operațiunilor valutare) care se află la etapa avizării și consultării publice, prevede abrogarea regimului de autorizare pentru toate </w:t>
            </w:r>
            <w:r>
              <w:rPr>
                <w:rFonts w:ascii="Times New Roman" w:eastAsia="Times New Roman" w:hAnsi="Times New Roman" w:cs="Times New Roman"/>
                <w:sz w:val="24"/>
                <w:szCs w:val="24"/>
              </w:rPr>
              <w:lastRenderedPageBreak/>
              <w:t>operațiunile valutare de capital (eliminarea restricțiilor rămase) la data aderării RM la UE.</w:t>
            </w:r>
          </w:p>
          <w:p w14:paraId="3FB9726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 cele expuse, concomitent cu propunerea de excludere a Articolului V din proiectul de lege (ce ține de modificarea Legii nr.62/2008) propunem excluderea și din Nota de fundamentare considerentele care vizează modificările la Legea nr.62/2008 (pct.2.2., 3.1., 3.2, 4.1., 4.2., 4.3, 4.4.1., 5.1, 5.2, 8 și pct.9).</w:t>
            </w:r>
          </w:p>
          <w:p w14:paraId="4866B9ED"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27F7912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retras</w:t>
            </w:r>
          </w:p>
          <w:p w14:paraId="5F87D5F6" w14:textId="77777777" w:rsidR="00B9643D" w:rsidRDefault="00B9643D" w:rsidP="002E1162">
            <w:pPr>
              <w:jc w:val="both"/>
              <w:rPr>
                <w:rFonts w:ascii="Times New Roman" w:eastAsia="Times New Roman" w:hAnsi="Times New Roman" w:cs="Times New Roman"/>
                <w:sz w:val="24"/>
                <w:szCs w:val="24"/>
              </w:rPr>
            </w:pPr>
          </w:p>
          <w:p w14:paraId="79282DE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Propunerile legislative la acest subiect pregătite de MF și BNM sunt binevenite, iar autorul își retrage propunerile la Legea 62/2008.</w:t>
            </w:r>
          </w:p>
        </w:tc>
      </w:tr>
      <w:tr w:rsidR="00B9643D" w14:paraId="043DFE78" w14:textId="77777777" w:rsidTr="00CA3607">
        <w:tc>
          <w:tcPr>
            <w:tcW w:w="587" w:type="dxa"/>
            <w:shd w:val="clear" w:color="auto" w:fill="FFFFFF"/>
          </w:tcPr>
          <w:p w14:paraId="147DA3C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3300F770"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47215DF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6122" w:type="dxa"/>
            <w:tcBorders>
              <w:top w:val="single" w:sz="4" w:space="0" w:color="000000"/>
              <w:right w:val="single" w:sz="4" w:space="0" w:color="000000"/>
            </w:tcBorders>
            <w:shd w:val="clear" w:color="auto" w:fill="FFFFFF"/>
          </w:tcPr>
          <w:p w14:paraId="661F14F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Cu privire la Art. VI, ce aduce modificări </w:t>
            </w:r>
            <w:r>
              <w:rPr>
                <w:rFonts w:ascii="Times New Roman" w:eastAsia="Times New Roman" w:hAnsi="Times New Roman" w:cs="Times New Roman"/>
                <w:b/>
                <w:bCs/>
                <w:sz w:val="24"/>
                <w:szCs w:val="24"/>
              </w:rPr>
              <w:t>Legii nr. 114/2012 cu privire la serviciile de plată și moneda electronică</w:t>
            </w:r>
            <w:r>
              <w:rPr>
                <w:rFonts w:ascii="Times New Roman" w:eastAsia="Times New Roman" w:hAnsi="Times New Roman" w:cs="Times New Roman"/>
                <w:sz w:val="24"/>
                <w:szCs w:val="24"/>
              </w:rPr>
              <w:t xml:space="preserve"> (în continuare - Legea nr. 114/2012), menționăm că Banca Națională a Moldovei nu susține modificările propuse în virtutea următoarelor argumente:</w:t>
            </w:r>
          </w:p>
          <w:p w14:paraId="5173223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Cu referire la reglementarea „societăților de plată mici” (pct. 1-8 de la Art. VI):</w:t>
            </w:r>
          </w:p>
          <w:p w14:paraId="48F4687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prevederilor art. 32 alin. (1) din Directiva (UE) 2015/2366 privind serviciile de plată în cadrul pieței interne, de modificare a Directivelor 2002/65/CE, 2009/110/CE și 2013/36/UE și a Regulamentului (UE) nr. 1093/2010, și de abrogare a Directivei 2007/64/CE (în continuare - Directiva 2015/2366) „Statele membre pot deroga sau pot permite autorităților lor competente să deroge […] de la aplicarea procedurii și condițiilor prevăzute în secțiunile 1, 2 și 3”.</w:t>
            </w:r>
          </w:p>
          <w:p w14:paraId="6358072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posibilitate de exceptare de la cerința de licențiere exista în cadrul normativ european inclusiv anterior Directivei 2015/2366 (art. 9 din Directiva 2007/64/CE privind serviciile de plată în cadrul pieței interne), iar preluarea opțiunii facultative în Legea nr. 114/2012 cu privire la serviciile de plată și moneda electronică (în continuare – Legea nr. 114/2012) nu s-a realizat din considerentele tratamentului egal aplicat entităților ce intenționează să presteze servicii de plată.</w:t>
            </w:r>
          </w:p>
          <w:p w14:paraId="4316406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Nota de fundamentare nu argumentează temeiul în baza căruia fost stabilit pragul maxim de 3 milioane de euro prevăzut de Directiva 2015/2366. </w:t>
            </w:r>
          </w:p>
          <w:p w14:paraId="47B25B5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Astfel, potrivit art. 32 alin. (1), lit. a) din Directiva (UE) 2015/2366 „media lunară din cele 12 luni precedente a </w:t>
            </w:r>
            <w:r>
              <w:rPr>
                <w:rFonts w:ascii="Times New Roman" w:eastAsia="Times New Roman" w:hAnsi="Times New Roman" w:cs="Times New Roman"/>
                <w:sz w:val="24"/>
                <w:szCs w:val="24"/>
              </w:rPr>
              <w:lastRenderedPageBreak/>
              <w:t xml:space="preserve">valorilor totale ale operațiunilor de plată executate de persoana în cauză, inclusiv de orice agent pentru care aceasta își asumă responsabilitatea deplină, nu depășește o limită stabilită de statul membru, dar se ridică, în orice caz, la cel mult 3 milioane EUR.”. </w:t>
            </w:r>
          </w:p>
          <w:p w14:paraId="2067900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din Directiva 2015/2366 rezultă că un stat este în drept (deci nu obligat) să stabilească valoarea totală a operațiunilor de plată în limita plafonului maxim de 3 milioane de euro.</w:t>
            </w:r>
          </w:p>
          <w:p w14:paraId="400CE11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Respectiv, în lipsa unei analize/studiu în acest sens, nu este justificat dreptul discreționar al autorului pentru a alege pragul maxim prevăzut de Directiva 2015/2366. </w:t>
            </w:r>
          </w:p>
          <w:p w14:paraId="4924F27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în contextul exemplului oferit de autor în Nota de fundamentare – reglementarea societăților de plată mici în Polonia, Banca Națională atrage atenția că legea poloneză privind serviciile de plată din 19.08.2011 instituie un plafon maxim de 1,5 milioane de euro. </w:t>
            </w:r>
          </w:p>
          <w:p w14:paraId="2975E23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conform propunerii de completare cu art. 23</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alin. (1) lit. b) se prevede că societățile de plată mici pot activa prin intermediul agenților. În același timp, art. 27 privind înregistrarea agenților este exceptat de la aplicare pentru aceste entități. În aceste condiții, nu poate fi garantat faptul că agenții îndeplinesc cerințele de reputație și experiență („fit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proper</w:t>
            </w:r>
            <w:proofErr w:type="spellEnd"/>
            <w:r>
              <w:rPr>
                <w:rFonts w:ascii="Times New Roman" w:eastAsia="Times New Roman" w:hAnsi="Times New Roman" w:cs="Times New Roman"/>
                <w:sz w:val="24"/>
                <w:szCs w:val="24"/>
              </w:rPr>
              <w:t>”), ceea ce ar putea conduce la neconformitatea Republicii Moldova cu cerințele FATF (Recomandarea 14 – măsuri preventive).</w:t>
            </w:r>
          </w:p>
          <w:p w14:paraId="2A7554C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la alin. (4) al art.23</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propus se menționează că BNM poate aplica „mici restricții” societăților de plată mici în caz de neconformare a acestora. Totuși, având în vedere că proiectul instituie, în esență, un nou tip de entitate prestatoare de servicii de plată, iar cadrul normativ existent aplicabil societăților de plată nu poate fi aplicat integral societăților de plată mici, în proiect nu au fost prevăzute norme exhaustive din cadrul legislativ național (fiscal, AML/CFT, civil, contravențional, penal etc.).</w:t>
            </w:r>
          </w:p>
          <w:p w14:paraId="7241C0C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pe lângă cerințele de autorizare, proiectul nu prevede nici atribuțiile BNM privind supravegherea </w:t>
            </w:r>
            <w:r>
              <w:rPr>
                <w:rFonts w:ascii="Times New Roman" w:eastAsia="Times New Roman" w:hAnsi="Times New Roman" w:cs="Times New Roman"/>
                <w:sz w:val="24"/>
                <w:szCs w:val="24"/>
              </w:rPr>
              <w:lastRenderedPageBreak/>
              <w:t xml:space="preserve">societăților de plată mici, constatarea încălcărilor, precum și aplicarea măsurilor de remediere și a sancțiunilor. </w:t>
            </w:r>
          </w:p>
          <w:p w14:paraId="5F8DDA3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aceeași ordine de idei, Banca Națională apreciază critic și nu susține completarea Legii nr. 114/2012 cu art. 233 alin. (1) și alin. (2), prin care se propune ca societățile de plată mici să fie exceptate de la respectarea condițiilor prevăzute de art. 14 alin. (2), pct. 7. lit. d) și i), și a pct. 9)-11) din Legea nr. 114/2012.</w:t>
            </w:r>
          </w:p>
          <w:p w14:paraId="5FF8C80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concret, autorul proiectului de lege propune ca societățile de plată mici să fie înregistrate în lipsa prezentării Băncii Naționale a:</w:t>
            </w:r>
          </w:p>
          <w:p w14:paraId="661F2EF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procedurilor de control intern privind măsurile necesare pentru a se conforma obligațiilor prevăzute de legislația în domeniul de prevenire și combatere a spălării banilor și finanțării terorismului;</w:t>
            </w:r>
          </w:p>
          <w:p w14:paraId="5559222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descrierii principiilor și a definițiilor aplicate pentru colectarea datelor statistice privind performanta, operațiunile și frauda;</w:t>
            </w:r>
          </w:p>
          <w:p w14:paraId="577F1D8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listei acționarilor/asociaților și acțiunile/participațiunile deținute în capitalul solicitantului, informațiilor și documentelor referitoare la acestea care conțin date conform actelor de identitate/actelor de înregistrare;</w:t>
            </w:r>
          </w:p>
          <w:p w14:paraId="429BF60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listei persoanelor care dețin participațiunea calificată, datele și documentele referitoare la acestea;</w:t>
            </w:r>
          </w:p>
          <w:p w14:paraId="743ADA7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listei persoanelor cu care solicitantul are legături strânse, precum și datele de identificare ale acestora.</w:t>
            </w:r>
          </w:p>
          <w:p w14:paraId="10DBD23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Banca Națională notează că lipsa acestor acte și informații o limitează să verifice dacă societatea de plată mică:</w:t>
            </w:r>
          </w:p>
          <w:p w14:paraId="5C1D1AE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este conformă cu obligațiile prevăzute de cadrul normativ privind combaterea spălării banilor și finanțării terorismului;</w:t>
            </w:r>
          </w:p>
          <w:p w14:paraId="639D878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este expusă riscului la fraudele comise prin intermediul instrumentelor de plată;</w:t>
            </w:r>
          </w:p>
          <w:p w14:paraId="2D6512B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nu are ca acționari/asociați persoane supuse unor măsuri restrictive internaționale și/sau asociate cu subiecți ai restricțiilor, conform Legii nr. 25/2016 privind aplicarea măsurilor restrictive internaționale.</w:t>
            </w:r>
          </w:p>
          <w:p w14:paraId="198B098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același context, Banca Națională notează că potrivit art. 32 alin. (1), lit. b) din Directiva 2015/2366, una din condițiile care stau la baza instituirii unei derogări este ca niciuna dintre persoanele fizice responsabile de administrarea sau de desfășurarea activității să nu fi fost condamnată pentru infracțiuni legate de spălarea banilor sau de finanțarea terorismului sau pentru altă infracțiune financiară. Or, o asemenea prevedere lipsește din proiectul de lege prezentat spre avizare. Lipsa acestor condiții în sarcina societății de plată mici implică riscuri sporite de spălare a banilor, fraude comise prin intermediul instrumentelor de plată, eludarea de la măsuri restrictive internaționale.</w:t>
            </w:r>
          </w:p>
          <w:p w14:paraId="05F9A29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cu referire la alin. (1) și alin. (2) din art. 233 propus, se constată existența unor contradicții în ceea ce privește aplicarea cerințelor art. 15 din Legea nr. 114/2012 și exceptarea de la anumite prevederi ale art. 14 din aceeași lege. În context, art. 15 din Legea nr. 114/2012 stabilește condițiile exhaustive pe care o societate de plată trebuie să le îndeplinească pentru obținerea licenței, iar BNM are obligația de a verifica respectarea acestora atât la momentul licențierii, cât și pe durata valabilității licenței. În procesul de licențiere, verificarea respectării acestor cerințe poate fi realizată doar în baza documentelor prevăzute la art. 14 din Legea 114/2012, precum și a celor stabilite prin actele normative secundare.</w:t>
            </w:r>
          </w:p>
          <w:p w14:paraId="54DE475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timp, în cadrul supravegherii activității societății, BNM trebuie să se asigure că entitățile respectă în mod continuu cerințele prevăzute la art. 15 din Legea nr. 114/2012.</w:t>
            </w:r>
          </w:p>
          <w:p w14:paraId="6E63334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aceste condiții, ar rezulta că eligibilitatea unei societăți de plată ar fi verificată nu la momentul intrării pe piață, ci ulterior, în cadrul supravegherii, ceea ce generează riscuri semnificative pentru perioada cuprinsă între autorizare și primul control.</w:t>
            </w:r>
          </w:p>
          <w:p w14:paraId="6EB271B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ceea ce privește propunerea introducerii alin. (2) din art. 23</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considerăm că nu este oportună exceptarea totală de la cerințele privind capitalul. Pentru a asigura protecția utilizatorilor în cazul insolvabilității societăților de plată mici, </w:t>
            </w:r>
            <w:r>
              <w:rPr>
                <w:rFonts w:ascii="Times New Roman" w:eastAsia="Times New Roman" w:hAnsi="Times New Roman" w:cs="Times New Roman"/>
                <w:sz w:val="24"/>
                <w:szCs w:val="24"/>
              </w:rPr>
              <w:lastRenderedPageBreak/>
              <w:t>este necesară stabilirea unui nivel minim de capital reglementat. De asemenea, exceptarea de la cerințele art. 161 din Legea nr. 114/2012 ar limita capacitatea BNM de a identifica situațiile de fragmentare a volumului plăților între mai multe entități, cu scopul evitării cerințelor complete de licențiere.</w:t>
            </w:r>
          </w:p>
          <w:p w14:paraId="4EC0AA4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 mult, proiectul nu stabilește niciun fel de cerință de securitate a informațiilor, de securitate cibernetică sau de continuitate operațională pentru societățile de plată mici. Art.233 alin. (2) exceptează explicit societățile de plată mici de la condițiile stabilite la art. 14 alin. (2) pct. 8) din Legea nr. 114/2012, care impune prestatorilor de servicii de plată obișnuiți cerințe de securitate și mecanisme de control al securității. Aceasta înseamnă că entități care procesează până la 3.000.000 EUR lunar, echivalentul a 36.000.000 EUR anual, vor opera sisteme informatice prin care tranzitează fondurile utilizatorilor fără nicio cerință legală de securitate cibernetică, fără plan de continuitate operațională și fără audit de securitate.</w:t>
            </w:r>
          </w:p>
          <w:p w14:paraId="5051664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Banca Națională a Moldovei consideră că toate obiecțiile semnalate supra prevalează asupra scopului declarat de autor, în Nota de fundamentare, pentru reglementarea societăților de plată mici. Or, facilitarea intrării pe piața serviciilor de plată a start-</w:t>
            </w:r>
            <w:proofErr w:type="spellStart"/>
            <w:r>
              <w:rPr>
                <w:rFonts w:ascii="Times New Roman" w:eastAsia="Times New Roman" w:hAnsi="Times New Roman" w:cs="Times New Roman"/>
                <w:sz w:val="24"/>
                <w:szCs w:val="24"/>
              </w:rPr>
              <w:t>up</w:t>
            </w:r>
            <w:proofErr w:type="spellEnd"/>
            <w:r>
              <w:rPr>
                <w:rFonts w:ascii="Times New Roman" w:eastAsia="Times New Roman" w:hAnsi="Times New Roman" w:cs="Times New Roman"/>
                <w:sz w:val="24"/>
                <w:szCs w:val="24"/>
              </w:rPr>
              <w:t xml:space="preserve">-urilor și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-urilor cu volum redus de operațiuni, nu justifică exceptarea de la respectarea unor cerințe esențiale pentru protecția utilizatorilor serviciilor de plată, prevenirea spălării banilor, prevenirea eludării măsurilor restrictive internaționale.</w:t>
            </w:r>
          </w:p>
          <w:p w14:paraId="5DCE38CA"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4B658CA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Nu se acceptă.</w:t>
            </w:r>
            <w:r>
              <w:rPr>
                <w:rFonts w:ascii="Times New Roman" w:eastAsia="Times New Roman" w:hAnsi="Times New Roman" w:cs="Times New Roman"/>
                <w:sz w:val="24"/>
                <w:szCs w:val="24"/>
              </w:rPr>
              <w:t xml:space="preserve"> Totodată, ținând cont de eforturile paralele de aliniere a cadrului normativ național la reglementările europene, propunerile din proiectul de lege se transferă spre preluare și includere în cadrul procesului legislativ distinct de modificare a Legii nr. 114/2012 cu privire la serviciile de plată și moneda electronică, coordonat de Banca Națională a Moldovei împreună cu Ministerul Finanțelor, potrivit competenței autorităților în domeniu. Astfel, propunerile de modificare a Legii nr. 114/2012 au fost transmise BNM în cadrul procesului de avizare a proiectului de lege (aspecte privind serviciile de plată și monedă electronică) nr. unic 689/MF/BNM pentru a fi preluate de BNM conform domeniului de competență (aviz MDED nr. 19-2463 din 20.07.2026.</w:t>
            </w:r>
          </w:p>
          <w:p w14:paraId="11D1B265" w14:textId="77777777" w:rsidR="00B9643D" w:rsidRDefault="00B9643D" w:rsidP="002E1162">
            <w:pPr>
              <w:jc w:val="both"/>
              <w:rPr>
                <w:rFonts w:ascii="Times New Roman" w:eastAsia="Times New Roman" w:hAnsi="Times New Roman" w:cs="Times New Roman"/>
                <w:sz w:val="24"/>
                <w:szCs w:val="24"/>
              </w:rPr>
            </w:pPr>
          </w:p>
          <w:p w14:paraId="34B58A5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Menționăm că actuala formă a Legii nr. 114/2012 reprezintă o transpunere parțială și rigidă a cadrului european, ignorând mecanismele de flexibilitate prevăzute de Directiva (UE) 2015/2366 (PSD2). Prin omiterea Articolului 32, legislația națională a creat o barieră de intrare injustă, aplicând un tratament identic unor entități cu profiluri </w:t>
            </w:r>
            <w:r>
              <w:rPr>
                <w:rFonts w:ascii="Times New Roman" w:eastAsia="Times New Roman" w:hAnsi="Times New Roman" w:cs="Times New Roman"/>
                <w:sz w:val="24"/>
                <w:szCs w:val="24"/>
              </w:rPr>
              <w:lastRenderedPageBreak/>
              <w:t xml:space="preserve">de risc radical diferite: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-urile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xml:space="preserve"> și instituțiile bancare sistemice.</w:t>
            </w:r>
          </w:p>
          <w:p w14:paraId="3389B1B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32 din PSD2 prevede expres aplicarea plafoanelor de tranzacționare ce permite regim simplificat pentru rulaje pana la un anumit prag, după care licențierea deplină devine obligatorie. Pentru aceste cazuri, activitatea este strict limitată la teritoriul național, practic - un risc sistemic izolat. Directiva mai prevede derogări prudențiale cum ar fi reducerea sau eliminarea cerințelor de capital minim și fonduri proprii pentru a facilita intrarea pe piață. În același timp, păstrează obligațiile de integritate și combatere a spălării banilor. Ce este cel mai important, statelor li se oferă posibilitatea de aplicare a supravegherii proporționale, adaptate volumului mic de activitate și tot acest lucru, cu scopul de stimulare a inovației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fără a compromite siguranța sistemului financiar.</w:t>
            </w:r>
          </w:p>
          <w:p w14:paraId="44732EC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Amendamentele propuse nu reprezintă o relaxare a supravegherii, ci o aliniere tehnică cu cadrul european. În timp ce statele membre UE utilizează regimul de derogare pentru a incuba inovația, Moldova a optat pentru un model „</w:t>
            </w:r>
            <w:proofErr w:type="spellStart"/>
            <w:r>
              <w:rPr>
                <w:rFonts w:ascii="Times New Roman" w:eastAsia="Times New Roman" w:hAnsi="Times New Roman" w:cs="Times New Roman"/>
                <w:sz w:val="24"/>
                <w:szCs w:val="24"/>
              </w:rPr>
              <w:t>one-size-fits-all</w:t>
            </w:r>
            <w:proofErr w:type="spellEnd"/>
            <w:r>
              <w:rPr>
                <w:rFonts w:ascii="Times New Roman" w:eastAsia="Times New Roman" w:hAnsi="Times New Roman" w:cs="Times New Roman"/>
                <w:sz w:val="24"/>
                <w:szCs w:val="24"/>
              </w:rPr>
              <w:t xml:space="preserve">” care sugrumă inițiativa locală și inovația tehnologică. Propunerea de a introduce regimul „societăților de plată mici” repară această omisiune, oferind un fundament legal pentru </w:t>
            </w:r>
            <w:proofErr w:type="spellStart"/>
            <w:r>
              <w:rPr>
                <w:rFonts w:ascii="Times New Roman" w:eastAsia="Times New Roman" w:hAnsi="Times New Roman" w:cs="Times New Roman"/>
                <w:sz w:val="24"/>
                <w:szCs w:val="24"/>
              </w:rPr>
              <w:t>sandboxuri</w:t>
            </w:r>
            <w:proofErr w:type="spellEnd"/>
            <w:r>
              <w:rPr>
                <w:rFonts w:ascii="Times New Roman" w:eastAsia="Times New Roman" w:hAnsi="Times New Roman" w:cs="Times New Roman"/>
                <w:sz w:val="24"/>
                <w:szCs w:val="24"/>
              </w:rPr>
              <w:t xml:space="preserve"> reglementate și pentru jucătorii de nișă, oportunități pentru industria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xml:space="preserve"> și pentru Republica Moldova în general:</w:t>
            </w:r>
          </w:p>
          <w:p w14:paraId="11D5F00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Echitate competitivă: permite antreprenorilor locali să între pe piață cu </w:t>
            </w:r>
            <w:r>
              <w:rPr>
                <w:rFonts w:ascii="Times New Roman" w:eastAsia="Times New Roman" w:hAnsi="Times New Roman" w:cs="Times New Roman"/>
                <w:sz w:val="24"/>
                <w:szCs w:val="24"/>
              </w:rPr>
              <w:lastRenderedPageBreak/>
              <w:t>costuri de conformare proporționale cu volumul lor de tranzacționare (limitat la un prag stabilit local dar nu mai mult de pragul european de 3 mil. EUR/lună), eliminând concentrarea de piață de facto exercitat de jucătorii mari.</w:t>
            </w:r>
          </w:p>
          <w:p w14:paraId="5765A8F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Transparență și formalizare: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xml:space="preserve">-urile sunt cei mai buni agenți de combatere a economiei informale, de promovare a incluziunii digitale și inovației. Un regim de autorizare accesibil va atrage în circuitul legal tranzacții care astăzi au loc cash sau prin platforme nereglementate, crescând baza de impozitare.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-urilor li se oferă posibilitatea să valorifice segmentele de consumatori ”neinteresanți” pentru jucătorii mari. Diversitatea de abordare va oferi inovației digitale spațiu pentru dezvoltare și creștere.</w:t>
            </w:r>
          </w:p>
          <w:p w14:paraId="7210BC1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Modernizare instituțională: alinierea completă la PSD2 va transforma Moldova într-o jurisdicție predictibilă pentru investițiile în tehnologii financiare, pregătind terenul pentru integrarea în spațiul unic de plăți (SEPA) nu doar în calitate de consumatori, dar și ca </w:t>
            </w:r>
            <w:proofErr w:type="spellStart"/>
            <w:r>
              <w:rPr>
                <w:rFonts w:ascii="Times New Roman" w:eastAsia="Times New Roman" w:hAnsi="Times New Roman" w:cs="Times New Roman"/>
                <w:sz w:val="24"/>
                <w:szCs w:val="24"/>
              </w:rPr>
              <w:t>provider</w:t>
            </w:r>
            <w:proofErr w:type="spellEnd"/>
            <w:r>
              <w:rPr>
                <w:rFonts w:ascii="Times New Roman" w:eastAsia="Times New Roman" w:hAnsi="Times New Roman" w:cs="Times New Roman"/>
                <w:sz w:val="24"/>
                <w:szCs w:val="24"/>
              </w:rPr>
              <w:t xml:space="preserve"> de soluții tehnologice noi.</w:t>
            </w:r>
          </w:p>
          <w:p w14:paraId="070C917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Menținerea barierelor actuale, sub pretextul „specificului național/istoria miliardului” sau ”necesitatea unei analize foarte profunde”, nu este o măsură prudențială, ci un act de auto-izolare economică. Adoptarea acestor amendamente va transforma legislația dintr-un instrument de blocaj într-un motor de dezvoltare pentru o nouă clasă de antreprenori digitali în domeniul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xml:space="preserve">, fără erodare a pozițiilor băncilor sistemice </w:t>
            </w:r>
            <w:r>
              <w:rPr>
                <w:rFonts w:ascii="Times New Roman" w:eastAsia="Times New Roman" w:hAnsi="Times New Roman" w:cs="Times New Roman"/>
                <w:sz w:val="24"/>
                <w:szCs w:val="24"/>
              </w:rPr>
              <w:lastRenderedPageBreak/>
              <w:t xml:space="preserve">care aplică deja instrumente de inovație digitală. </w:t>
            </w:r>
          </w:p>
          <w:p w14:paraId="0834D38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Moldova IT Park deja activează peste 200 de companii IT cu profil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xml:space="preserve">, din care prestează servicii pe piața locală direct sau ca furnizori de servicii altor operatori, nu mai mult de 10% din ele. </w:t>
            </w:r>
          </w:p>
          <w:p w14:paraId="6DA49BD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Autorul consideră posibilă și necesară acceptarea de principiu a acestei forme de prestatori de servicii de piața din Republica Moldova, context în care o serie de aspecte tehnice urmează a fi armonizate la etapa de consultări publice - în consultări directe cu autoritatea de reglementare și participarea mediului privat.</w:t>
            </w:r>
          </w:p>
          <w:p w14:paraId="5EFB7C38" w14:textId="77777777" w:rsidR="00B9643D" w:rsidRDefault="00B9643D" w:rsidP="002E1162">
            <w:pPr>
              <w:jc w:val="both"/>
              <w:rPr>
                <w:rFonts w:ascii="Times New Roman" w:eastAsia="Times New Roman" w:hAnsi="Times New Roman" w:cs="Times New Roman"/>
                <w:b/>
                <w:bCs/>
                <w:sz w:val="24"/>
                <w:szCs w:val="24"/>
              </w:rPr>
            </w:pPr>
          </w:p>
          <w:p w14:paraId="70D9469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TOTUȘI,</w:t>
            </w:r>
            <w:r>
              <w:rPr>
                <w:rFonts w:ascii="Times New Roman" w:eastAsia="Times New Roman" w:hAnsi="Times New Roman" w:cs="Times New Roman"/>
                <w:sz w:val="24"/>
                <w:szCs w:val="24"/>
              </w:rPr>
              <w:t xml:space="preserve"> luând act de avizele Băncii Naționale a Moldovei (nr. 31-002/57/2072 din 27 aprilie 2026 și nr. 31-002/111/3605 din 7 iulie 2026), precum și de observațiile convergente ale Ministerului Finanțelor, Ministerului Justiției, Centrului de Armonizare a Legislației și Asociației Băncilor din Moldova, autorul reține că intervențiile propuse asupra Legii nr. 114/2012 cu privire la serviciile de plată și moneda electronică — instituirea regimului „societăților de plată mici” și completarea art. 59 — vizează instituții juridice esențiale ale cadrului de reglementare și supraveghere a pieței serviciilor de plată și necesită o abordare sistemică, corelată cu procesul de transpunere a acquis-ului Uniunii Europene în domeniu.</w:t>
            </w:r>
          </w:p>
          <w:p w14:paraId="5A75C4F4" w14:textId="77777777" w:rsidR="00B9643D" w:rsidRDefault="00B9643D" w:rsidP="002E1162">
            <w:pPr>
              <w:jc w:val="both"/>
              <w:rPr>
                <w:rFonts w:ascii="Times New Roman" w:eastAsia="Times New Roman" w:hAnsi="Times New Roman" w:cs="Times New Roman"/>
                <w:sz w:val="24"/>
                <w:szCs w:val="24"/>
              </w:rPr>
            </w:pPr>
          </w:p>
          <w:p w14:paraId="7311A42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Autorul reține, totodată, că, potrivit Programului național de aderare a Republicii </w:t>
            </w:r>
            <w:r>
              <w:rPr>
                <w:rFonts w:ascii="Times New Roman" w:eastAsia="Times New Roman" w:hAnsi="Times New Roman" w:cs="Times New Roman"/>
                <w:sz w:val="24"/>
                <w:szCs w:val="24"/>
              </w:rPr>
              <w:lastRenderedPageBreak/>
              <w:t>Moldova la Uniunea Europeană pentru anii 2025–2029, aprobat prin Hotărârea Guvernului nr. 306/2025, competența de elaborare și promovare a modificărilor la Legea nr. 114/2012 revine Băncii Naționale a Moldovei în comun cu Ministerul Finanțelor, iar proiectul de lege pentru modificarea unor acte normative (aspecte privind serviciile de plată și moneda electronică), număr unic 689/MF/BNM/2026, se află în proces de consultare publică. Promovarea unor intervenții punctuale asupra aceleiași legi, în paralel cu acest proces, ar genera suprapuneri normative și ar afecta coerența transpunerii.</w:t>
            </w:r>
          </w:p>
          <w:p w14:paraId="06D41C88" w14:textId="77777777" w:rsidR="00B9643D" w:rsidRDefault="00B9643D" w:rsidP="002E1162">
            <w:pPr>
              <w:jc w:val="both"/>
              <w:rPr>
                <w:rFonts w:ascii="Times New Roman" w:eastAsia="Times New Roman" w:hAnsi="Times New Roman" w:cs="Times New Roman"/>
                <w:sz w:val="24"/>
                <w:szCs w:val="24"/>
              </w:rPr>
            </w:pPr>
          </w:p>
          <w:p w14:paraId="12573A4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modificările vizând Legea nr. 114/2012 se exclud din proiectul de lege nr. 629/MDED/2026 — atât cele privind regimul societăților de plată mici, cât și completarea art. 59 alin. (9) privind rambursarea operațiunilor de plată autorizate — urmând ca acestea să fie reconsiderate în cadrul procesului legislativ distinct, dedicat modificării și completării Legii nr. 114/2012, coordonat de Banca Națională a Moldovei și Ministerul Finanțelor, în lumina noilor modificări și transpuneri ale cadrului european în materia serviciilor de plată și a monedei electronice, cu implicarea autorităților competente și a mediului de afaceri.</w:t>
            </w:r>
          </w:p>
          <w:p w14:paraId="3763FB28" w14:textId="77777777" w:rsidR="00B9643D" w:rsidRDefault="00B9643D" w:rsidP="002E1162">
            <w:pPr>
              <w:jc w:val="both"/>
              <w:rPr>
                <w:rFonts w:ascii="Times New Roman" w:eastAsia="Times New Roman" w:hAnsi="Times New Roman" w:cs="Times New Roman"/>
                <w:sz w:val="24"/>
                <w:szCs w:val="24"/>
              </w:rPr>
            </w:pPr>
          </w:p>
          <w:p w14:paraId="11A6F1F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Această soluție asigură unitatea și previzibilitatea cadrului normativ aplicabil prestatorilor de servicii de plată, evită </w:t>
            </w:r>
            <w:r>
              <w:rPr>
                <w:rFonts w:ascii="Times New Roman" w:eastAsia="Times New Roman" w:hAnsi="Times New Roman" w:cs="Times New Roman"/>
                <w:sz w:val="24"/>
                <w:szCs w:val="24"/>
              </w:rPr>
              <w:lastRenderedPageBreak/>
              <w:t>fragmentarea materiei și permite ca opțiunea derogatorie prevăzută la art. 32 din Directiva (UE) 2015/2366 să fie evaluată pe baza unei analize a pieței naționale a serviciilor de plată — inclusiv sub aspectul calibrării plafonului, al condițiilor de integritate și reputație aplicabile administratorilor și agenților, al cerințelor prudențiale minime, al cerințelor de securitate a informației și continuitate operațională, precum și al atribuțiilor de supraveghere și sancționare ale Băncii Naționale.</w:t>
            </w:r>
          </w:p>
          <w:p w14:paraId="4C9C7E2C" w14:textId="77777777" w:rsidR="00B9643D" w:rsidRDefault="00B9643D" w:rsidP="002E1162">
            <w:pPr>
              <w:jc w:val="both"/>
              <w:rPr>
                <w:rFonts w:ascii="Times New Roman" w:eastAsia="Times New Roman" w:hAnsi="Times New Roman" w:cs="Times New Roman"/>
                <w:sz w:val="24"/>
                <w:szCs w:val="24"/>
              </w:rPr>
            </w:pPr>
          </w:p>
          <w:p w14:paraId="2320A79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obiectivele care au stat la baza propunerilor autorului, și anume facilitarea accesului pe piață al întreprinderilor inovatoare din domeniul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xml:space="preserve">, proporționalitatea costurilor de conformare în raport cu volumul de activitate și profilul de risc, precum și valorificarea deplină a mecanismelor de flexibilitate prevăzute de cadrul european, urmează a fi înaintate și examinate în cadrul procesului legislativ menționat, în consultări cu comunitatea de afaceri și cu reprezentanții sectorului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w:t>
            </w:r>
          </w:p>
          <w:p w14:paraId="2AA12CBC" w14:textId="77777777" w:rsidR="002E1162" w:rsidRDefault="002E1162" w:rsidP="002E1162">
            <w:pPr>
              <w:jc w:val="both"/>
              <w:rPr>
                <w:rFonts w:ascii="Times New Roman" w:eastAsia="Times New Roman" w:hAnsi="Times New Roman" w:cs="Times New Roman"/>
                <w:sz w:val="24"/>
                <w:szCs w:val="24"/>
              </w:rPr>
            </w:pPr>
          </w:p>
        </w:tc>
      </w:tr>
      <w:tr w:rsidR="00B9643D" w14:paraId="7961888C" w14:textId="77777777" w:rsidTr="00CA3607">
        <w:tc>
          <w:tcPr>
            <w:tcW w:w="587" w:type="dxa"/>
            <w:shd w:val="clear" w:color="auto" w:fill="FFFFFF"/>
          </w:tcPr>
          <w:p w14:paraId="5957F0B9"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1DBACCB7"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224C445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c>
          <w:tcPr>
            <w:tcW w:w="6122" w:type="dxa"/>
            <w:tcBorders>
              <w:top w:val="single" w:sz="4" w:space="0" w:color="000000"/>
              <w:right w:val="single" w:sz="4" w:space="0" w:color="000000"/>
            </w:tcBorders>
            <w:shd w:val="clear" w:color="auto" w:fill="FFFFFF"/>
          </w:tcPr>
          <w:p w14:paraId="62E6E93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Cu referire la modificarea art. 59 din Legea nr. 114/2012 (pct. 9 de la Art. VI): Banca Națională consideră că redacția propusă de autor la pct. 9, contravine Directivei 2015/2366 și nu poate fi aplicată în practică în virtutea următoarelor argumente: Art. 76 din Directiva 2015/2366, care a fost transpus prin art. 59 din Legea nr. 114/2012, prevede cert condițiile în care operează rambursarea. Totodată, în contextul transpunerii respectivei directive în cadrul normativ național, norma propusă de autor prin proiectul de lege ar fi una contrară cadrului normativ european.</w:t>
            </w:r>
          </w:p>
          <w:p w14:paraId="4F8CD4F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Prestatorul de servicii de plată nu are competență legală de a evalua dacă bunurile/serviciile procurate de plătitor au fost livrate/prestate în mod corespunzător. Or, legea prevede autorități abilitate cu funcție de protecție a consumatorilor - Inspectoratul de Stat pentru Supravegherea Produselor Nealimentare și Protecția Consumatorilor, precum și alte autorități prevăzute la art. 36 din Legea nr. 105/2003 privind protecția consumatorilor. În cazul unor plătitori non-consumatori, diferendul privind corespunderea produsului livrat/serviciului prestat ar urma să fie deferit instanței de judecată. </w:t>
            </w:r>
          </w:p>
          <w:p w14:paraId="68D3E61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Banca Națională reiterează că un prestator de servicii de plată nu poate substitui autoritatea competentă/instanța de judecată în examinarea și constatarea faptului dacă produsul/serviciul a fost livrat/prestat în mod corespunzător.</w:t>
            </w:r>
          </w:p>
          <w:p w14:paraId="242F0E0C"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3C3AA858" w14:textId="77777777" w:rsidR="00B9643D" w:rsidRDefault="00000000" w:rsidP="002E1162">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 xml:space="preserve">Amendament </w:t>
            </w:r>
            <w:r>
              <w:rPr>
                <w:rFonts w:ascii="Times New Roman" w:eastAsia="Times New Roman" w:hAnsi="Times New Roman" w:cs="Times New Roman"/>
                <w:b/>
                <w:bCs/>
                <w:sz w:val="24"/>
                <w:szCs w:val="24"/>
              </w:rPr>
              <w:t>transmis după competență.</w:t>
            </w:r>
          </w:p>
          <w:p w14:paraId="31590479" w14:textId="77777777" w:rsidR="00B9643D" w:rsidRDefault="00B9643D" w:rsidP="002E1162">
            <w:pPr>
              <w:rPr>
                <w:rFonts w:ascii="Times New Roman" w:eastAsia="Times New Roman" w:hAnsi="Times New Roman" w:cs="Times New Roman"/>
                <w:b/>
                <w:bCs/>
                <w:color w:val="000000"/>
                <w:sz w:val="24"/>
                <w:szCs w:val="24"/>
              </w:rPr>
            </w:pPr>
          </w:p>
          <w:p w14:paraId="3F0D5AE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 se vedea argumentarea de la pct. 8.</w:t>
            </w:r>
          </w:p>
          <w:p w14:paraId="7E64BADC" w14:textId="77777777" w:rsidR="00B9643D" w:rsidRDefault="00B9643D" w:rsidP="002E1162">
            <w:pPr>
              <w:jc w:val="both"/>
              <w:rPr>
                <w:rFonts w:ascii="Times New Roman" w:eastAsia="Times New Roman" w:hAnsi="Times New Roman" w:cs="Times New Roman"/>
                <w:b/>
                <w:bCs/>
                <w:sz w:val="24"/>
                <w:szCs w:val="24"/>
              </w:rPr>
            </w:pPr>
          </w:p>
        </w:tc>
      </w:tr>
      <w:tr w:rsidR="002E1162" w14:paraId="41338B61" w14:textId="77777777" w:rsidTr="00CA3607">
        <w:tc>
          <w:tcPr>
            <w:tcW w:w="587" w:type="dxa"/>
            <w:shd w:val="clear" w:color="auto" w:fill="FFFFFF"/>
          </w:tcPr>
          <w:p w14:paraId="2DC0622A" w14:textId="77777777" w:rsidR="002E1162" w:rsidRDefault="002E1162"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shd w:val="clear" w:color="auto" w:fill="FFFFFF"/>
          </w:tcPr>
          <w:p w14:paraId="4882B01C" w14:textId="77777777" w:rsidR="002E1162" w:rsidRDefault="002E1162"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58AB0D9E" w14:textId="77777777" w:rsidR="002E1162" w:rsidRDefault="002E1162"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6122" w:type="dxa"/>
            <w:tcBorders>
              <w:top w:val="single" w:sz="4" w:space="0" w:color="000000"/>
              <w:right w:val="single" w:sz="4" w:space="0" w:color="000000"/>
            </w:tcBorders>
            <w:shd w:val="clear" w:color="auto" w:fill="FFFFFF"/>
          </w:tcPr>
          <w:p w14:paraId="3536525F"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Cu referire la Art. VIII, care modifică Legea nr. 308/2017 cu privire la prevenirea și combaterea spălării banilor și finanțării terorismului (în continuare – Legea 308/2017), comunicăm următoarele obiecții: </w:t>
            </w:r>
          </w:p>
          <w:p w14:paraId="0002D68A"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Noțiunea de „entitate raportoare de dimensiuni mici”, propusă pentru completarea art. 3 din Legea nr. 308/2017 (pct. 1), este insuficient definită, conține elemente contradictorii și riscă să genereze dificultăți de aplicare practică, precum și neconformități cu standardele internaționale în materie AML/CFT. Or, definiția propusă nu este coerentă din punct de vedere normativ.</w:t>
            </w:r>
          </w:p>
          <w:p w14:paraId="07ED1F50" w14:textId="77777777" w:rsidR="002E1162" w:rsidRDefault="002E1162" w:rsidP="002E1162">
            <w:pPr>
              <w:jc w:val="both"/>
              <w:rPr>
                <w:rFonts w:ascii="Times New Roman" w:eastAsia="Times New Roman" w:hAnsi="Times New Roman" w:cs="Times New Roman"/>
                <w:sz w:val="24"/>
                <w:szCs w:val="24"/>
              </w:rPr>
            </w:pPr>
          </w:p>
          <w:p w14:paraId="2ED6F5DD"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Potrivit lit. a), entitatea trebuie să se încadreze în categoria microîntreprinderilor sau întreprinderilor mici, conform legislației naționale privind IMM-urile, care stabilește criterii exhaustive (număr de salariați, cifră de afaceri, active totale).</w:t>
            </w:r>
          </w:p>
          <w:p w14:paraId="07A2F0A2" w14:textId="77777777" w:rsidR="002E1162" w:rsidRDefault="002E1162" w:rsidP="002E1162">
            <w:pPr>
              <w:jc w:val="both"/>
              <w:rPr>
                <w:rFonts w:ascii="Times New Roman" w:eastAsia="Times New Roman" w:hAnsi="Times New Roman" w:cs="Times New Roman"/>
                <w:sz w:val="24"/>
                <w:szCs w:val="24"/>
              </w:rPr>
            </w:pPr>
          </w:p>
          <w:p w14:paraId="10F62CF4"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toate acestea, lit. b) introduce un criteriu suplimentar privind „volumul anual al operațiunilor financiare relevante”, stabilit prin acte normative subsecvente, care nu se regăsește </w:t>
            </w:r>
            <w:r>
              <w:rPr>
                <w:rFonts w:ascii="Times New Roman" w:eastAsia="Times New Roman" w:hAnsi="Times New Roman" w:cs="Times New Roman"/>
                <w:sz w:val="24"/>
                <w:szCs w:val="24"/>
              </w:rPr>
              <w:lastRenderedPageBreak/>
              <w:t>în clasificarea legală a întreprinderilor mici și mijlocii și care poate conduce la situații în care o entitate calificată drept microîntreprindere sau întreprindere mică să nu întrunească această condiție suplimentară. Prin urmare, între lit. a) și lit. b) există o lipsă de corelare, care afectează claritatea și previzibilitatea normei.</w:t>
            </w:r>
          </w:p>
          <w:p w14:paraId="4F2745A9" w14:textId="77777777" w:rsidR="002E1162" w:rsidRDefault="002E1162" w:rsidP="002E1162">
            <w:pPr>
              <w:jc w:val="both"/>
              <w:rPr>
                <w:rFonts w:ascii="Times New Roman" w:eastAsia="Times New Roman" w:hAnsi="Times New Roman" w:cs="Times New Roman"/>
                <w:sz w:val="24"/>
                <w:szCs w:val="24"/>
              </w:rPr>
            </w:pPr>
          </w:p>
          <w:p w14:paraId="30A84700"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condiția prevăzută la lit. c) este formulată într-o manieră vagă și lipsită de precizie juridică. Noțiuni precum „activități standardizate” sau „număr limitat de tipuri de produse și servicii” nu sunt definite, iar proiectul nu indică criteriile în baza cărora acestea urmează a fi stabilite, autoritatea competentă să le determine sau instrumentele normative prin care acestea vor fi detaliate.</w:t>
            </w:r>
          </w:p>
          <w:p w14:paraId="42B8A656" w14:textId="77777777" w:rsidR="002E1162" w:rsidRDefault="002E1162" w:rsidP="002E1162">
            <w:pPr>
              <w:ind w:firstLine="378"/>
              <w:jc w:val="both"/>
              <w:rPr>
                <w:rFonts w:ascii="Times New Roman" w:eastAsia="Times New Roman" w:hAnsi="Times New Roman" w:cs="Times New Roman"/>
                <w:sz w:val="24"/>
                <w:szCs w:val="24"/>
              </w:rPr>
            </w:pPr>
          </w:p>
          <w:p w14:paraId="40D21B31"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includerea entităților încadrate în categoria de risc moderat în sfera potențială a unui regim simplificat este disproporționată și contrară standardelor internaționale AML/CFT.</w:t>
            </w:r>
          </w:p>
          <w:p w14:paraId="5769FA7F" w14:textId="77777777" w:rsidR="002E1162" w:rsidRDefault="002E1162" w:rsidP="002E1162">
            <w:pPr>
              <w:jc w:val="both"/>
              <w:rPr>
                <w:rFonts w:ascii="Times New Roman" w:eastAsia="Times New Roman" w:hAnsi="Times New Roman" w:cs="Times New Roman"/>
                <w:sz w:val="24"/>
                <w:szCs w:val="24"/>
              </w:rPr>
            </w:pPr>
          </w:p>
          <w:p w14:paraId="17BBAFDC"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Potrivit art. 7 din Legea nr. 308/2017 și în corespundere cu art. 15 din Directiva (UE) 2015/849, măsurile simplificate sunt permise exclusiv în situațiile în care riscul este scăzut, în urma unei evaluări adecvate, dar nu și în cazul riscurilor moderate. De asemenea, Recomandarea FATF 10 permite aplicarea măsurilor simplificate de cunoaștere a clientelei numai în condiții de risc scăzut, fără a extinde această posibilitate asupra situațiilor de risc moderat.</w:t>
            </w:r>
          </w:p>
          <w:p w14:paraId="1656369C" w14:textId="77777777" w:rsidR="002E1162" w:rsidRDefault="002E1162"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sens, Recomandarea FATF 1 stabilește că intensitatea măsurilor trebuie să fie proporțională cu nivelul riscului identificat, iar simplificarea este justificată doar în cazul unui risc scăzut demonstrat. În acest context, Nota interpretativă la Recomandarea FATF 1 precizează că aplicarea abordării bazate pe risc permite autorităților competente și entităților raportoare să asigure proporționalitatea măsurilor în raport cu riscurile identificate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adopting</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risk-based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w:t>
            </w:r>
            <w:proofErr w:type="spellEnd"/>
            <w:r>
              <w:rPr>
                <w:rFonts w:ascii="Times New Roman" w:eastAsia="Times New Roman" w:hAnsi="Times New Roman" w:cs="Times New Roman"/>
                <w:sz w:val="24"/>
                <w:szCs w:val="24"/>
              </w:rPr>
              <w:t xml:space="preserve">, competent </w:t>
            </w:r>
            <w:proofErr w:type="spellStart"/>
            <w:r>
              <w:rPr>
                <w:rFonts w:ascii="Times New Roman" w:eastAsia="Times New Roman" w:hAnsi="Times New Roman" w:cs="Times New Roman"/>
                <w:sz w:val="24"/>
                <w:szCs w:val="24"/>
              </w:rPr>
              <w:t>authorities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financial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DNFBPs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ensure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prevent</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mitigate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laundering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terrorist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financing</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proportionate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identified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decisions</w:t>
            </w:r>
            <w:proofErr w:type="spellEnd"/>
            <w:r>
              <w:rPr>
                <w:rFonts w:ascii="Times New Roman" w:eastAsia="Times New Roman" w:hAnsi="Times New Roman" w:cs="Times New Roman"/>
                <w:sz w:val="24"/>
                <w:szCs w:val="24"/>
              </w:rPr>
              <w:t xml:space="preserve"> on </w:t>
            </w:r>
            <w:proofErr w:type="spellStart"/>
            <w:r>
              <w:rPr>
                <w:rFonts w:ascii="Times New Roman" w:eastAsia="Times New Roman" w:hAnsi="Times New Roman" w:cs="Times New Roman"/>
                <w:sz w:val="24"/>
                <w:szCs w:val="24"/>
              </w:rPr>
              <w:t>how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allocate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own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resources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effective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way</w:t>
            </w:r>
            <w:proofErr w:type="spellEnd"/>
            <w:r>
              <w:rPr>
                <w:rFonts w:ascii="Times New Roman" w:eastAsia="Times New Roman" w:hAnsi="Times New Roman" w:cs="Times New Roman"/>
                <w:sz w:val="24"/>
                <w:szCs w:val="24"/>
              </w:rPr>
              <w:t>.”).</w:t>
            </w:r>
          </w:p>
          <w:p w14:paraId="0479AE2E" w14:textId="77777777" w:rsidR="002E1162" w:rsidRDefault="002E1162"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aceeași Notă interpretativă subliniază că statele pot decide, în circumstanțe limitate și doar în cazul unui risc scăzut evaluat, să nu aplice anumite cerințe pentru anumite categorii de entități sau activități („</w:t>
            </w:r>
            <w:proofErr w:type="spellStart"/>
            <w:r>
              <w:rPr>
                <w:rFonts w:ascii="Times New Roman" w:eastAsia="Times New Roman" w:hAnsi="Times New Roman" w:cs="Times New Roman"/>
                <w:sz w:val="24"/>
                <w:szCs w:val="24"/>
              </w:rPr>
              <w:t>Countries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also</w:t>
            </w:r>
            <w:proofErr w:type="spellEnd"/>
            <w:r>
              <w:rPr>
                <w:rFonts w:ascii="Times New Roman" w:eastAsia="Times New Roman" w:hAnsi="Times New Roman" w:cs="Times New Roman"/>
                <w:sz w:val="24"/>
                <w:szCs w:val="24"/>
              </w:rPr>
              <w:t xml:space="preserve">, in limited </w:t>
            </w:r>
            <w:proofErr w:type="spellStart"/>
            <w:r>
              <w:rPr>
                <w:rFonts w:ascii="Times New Roman" w:eastAsia="Times New Roman" w:hAnsi="Times New Roman" w:cs="Times New Roman"/>
                <w:sz w:val="24"/>
                <w:szCs w:val="24"/>
              </w:rPr>
              <w:t>circumstances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where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w:t>
            </w:r>
            <w:proofErr w:type="spellEnd"/>
            <w:r>
              <w:rPr>
                <w:rFonts w:ascii="Times New Roman" w:eastAsia="Times New Roman" w:hAnsi="Times New Roman" w:cs="Times New Roman"/>
                <w:sz w:val="24"/>
                <w:szCs w:val="24"/>
              </w:rPr>
              <w:t xml:space="preserve"> an </w:t>
            </w:r>
            <w:proofErr w:type="spellStart"/>
            <w:r>
              <w:rPr>
                <w:rFonts w:ascii="Times New Roman" w:eastAsia="Times New Roman" w:hAnsi="Times New Roman" w:cs="Times New Roman"/>
                <w:sz w:val="24"/>
                <w:szCs w:val="24"/>
              </w:rPr>
              <w:t>assessed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money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laundering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terrorist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financing</w:t>
            </w:r>
            <w:proofErr w:type="spellEnd"/>
            <w:r>
              <w:rPr>
                <w:rFonts w:ascii="Times New Roman" w:eastAsia="Times New Roman" w:hAnsi="Times New Roman" w:cs="Times New Roman"/>
                <w:sz w:val="24"/>
                <w:szCs w:val="24"/>
              </w:rPr>
              <w:t xml:space="preserve">, decide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certain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Recommendations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a particular </w:t>
            </w:r>
            <w:proofErr w:type="spellStart"/>
            <w:r>
              <w:rPr>
                <w:rFonts w:ascii="Times New Roman" w:eastAsia="Times New Roman" w:hAnsi="Times New Roman" w:cs="Times New Roman"/>
                <w:sz w:val="24"/>
                <w:szCs w:val="24"/>
              </w:rPr>
              <w:t>type</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financial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institution</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activity</w:t>
            </w:r>
            <w:proofErr w:type="spellEnd"/>
            <w:r>
              <w:rPr>
                <w:rFonts w:ascii="Times New Roman" w:eastAsia="Times New Roman" w:hAnsi="Times New Roman" w:cs="Times New Roman"/>
                <w:sz w:val="24"/>
                <w:szCs w:val="24"/>
              </w:rPr>
              <w:t>, or DNFBP.”).</w:t>
            </w:r>
          </w:p>
          <w:p w14:paraId="555457AE" w14:textId="77777777" w:rsidR="002E1162" w:rsidRDefault="002E1162"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includerea expresă a riscului moderat în definiția propusă creează premisa aplicării unor standarde diminuate în situații care necesită, dimpotrivă, un nivel adecvat de diligență, ceea ce contravine scopului și logicii abordării bazate pe risc.</w:t>
            </w:r>
          </w:p>
          <w:p w14:paraId="6E40CB98" w14:textId="24C88A4E" w:rsidR="002E1162" w:rsidRDefault="002E1162"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46CF732A" w14:textId="77777777" w:rsidR="002E1162" w:rsidRDefault="002E1162"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1F81F04C" w14:textId="77777777" w:rsidR="002E1162" w:rsidRDefault="002E1162" w:rsidP="002E1162">
            <w:pPr>
              <w:jc w:val="both"/>
              <w:rPr>
                <w:rFonts w:ascii="Times New Roman" w:eastAsia="Times New Roman" w:hAnsi="Times New Roman" w:cs="Times New Roman"/>
                <w:sz w:val="24"/>
                <w:szCs w:val="24"/>
              </w:rPr>
            </w:pPr>
          </w:p>
          <w:p w14:paraId="56EC4583" w14:textId="77777777" w:rsidR="002E1162" w:rsidRDefault="002E1162"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argumentul la pct. 1.</w:t>
            </w:r>
          </w:p>
        </w:tc>
      </w:tr>
      <w:tr w:rsidR="00B9643D" w14:paraId="5A736C55" w14:textId="77777777" w:rsidTr="00CA3607">
        <w:tc>
          <w:tcPr>
            <w:tcW w:w="587" w:type="dxa"/>
            <w:shd w:val="clear" w:color="auto" w:fill="FFFFFF"/>
          </w:tcPr>
          <w:p w14:paraId="5F92572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0C264E95"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34A174A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p>
        </w:tc>
        <w:tc>
          <w:tcPr>
            <w:tcW w:w="6122" w:type="dxa"/>
            <w:tcBorders>
              <w:top w:val="single" w:sz="4" w:space="0" w:color="000000"/>
              <w:right w:val="single" w:sz="4" w:space="0" w:color="000000"/>
            </w:tcBorders>
            <w:shd w:val="clear" w:color="auto" w:fill="FFFFFF"/>
          </w:tcPr>
          <w:p w14:paraId="31062D2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pct. 2 și 6 din proiect, vom menționa că propunerea de completare a art. 4 din Legea nr. 308/2017 prin introducerea alin. (1/2) este redundantă și, în anumite aspecte, susceptibilă de a genera interpretări contrare cadrului internațional în materie AML/CFT.</w:t>
            </w:r>
          </w:p>
          <w:p w14:paraId="54FEE0E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primul rând, cadrul normativ național deja consacră principiul proporționalității și aplicarea abordării bazate pe risc. Astfel, potrivit art. 13 alin. (2) și alin. (3) lit. a) din Legea nr. 308/2017, politicile, controalele interne și procedurile entităților raportoare sunt stabilite în funcție de riscurile identificate și sunt proporționale cu natura și dimensiunea entității, precum și cu nivelul riscurilor de spălare a banilor și finanțare a terorismului.</w:t>
            </w:r>
          </w:p>
          <w:p w14:paraId="5106A61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Această abordare este în deplină concordanță cu art. 8 alin. (1) și (2) din Directiva (UE) 2015/849, care impune entităților obligate să identifice, să evalueze și să gestioneze riscurile și să instituie politici și controale interne proporționale cu natura și dimensiunea activității, precum și cu Recomandarea FATF </w:t>
            </w:r>
            <w:r>
              <w:rPr>
                <w:rFonts w:ascii="Times New Roman" w:eastAsia="Times New Roman" w:hAnsi="Times New Roman" w:cs="Times New Roman"/>
                <w:sz w:val="24"/>
                <w:szCs w:val="24"/>
              </w:rPr>
              <w:lastRenderedPageBreak/>
              <w:t>1, care consacră aplicarea abordării bazate pe risc (</w:t>
            </w:r>
            <w:proofErr w:type="spellStart"/>
            <w:r>
              <w:rPr>
                <w:rFonts w:ascii="Times New Roman" w:eastAsia="Times New Roman" w:hAnsi="Times New Roman" w:cs="Times New Roman"/>
                <w:sz w:val="24"/>
                <w:szCs w:val="24"/>
              </w:rPr>
              <w:t>risk-based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w:t>
            </w:r>
            <w:proofErr w:type="spellEnd"/>
            <w:r>
              <w:rPr>
                <w:rFonts w:ascii="Times New Roman" w:eastAsia="Times New Roman" w:hAnsi="Times New Roman" w:cs="Times New Roman"/>
                <w:sz w:val="24"/>
                <w:szCs w:val="24"/>
              </w:rPr>
              <w:t>).</w:t>
            </w:r>
          </w:p>
          <w:p w14:paraId="071E34E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al doilea rând, instituirea unor „cerințe simplificate” privind evaluarea riscurilor pentru entitățile raportoare care se încadrează în categoria entităților de dimensiuni mici sau care desfășoară activități cu risc redus (sau moderat, așa după cum se propune la Art. VIII pct.6 din proiect) este problematică. Atât cadrul național, cât și standardele internaționale tratează evaluarea riscurilor ca fiind fundamentul întregului sistem AML/CFT, nefiind susceptibilă de simplificare în sensul diminuării rigurozității sau plenitudinii acesteia. Conform art. 6 din Legea nr. 308/2017, evaluarea riscurilor constituie baza pentru aplicarea măsurilor proporționale de prevenire și combatere a spălării banilor și finanțării terorismului. Mai mult, alin. (7) al aceluiași articol stabilește obligația entităților raportoare de a putea demonstra autorităților competente că măsurile aplicate sunt adecvate riscurilor identificate.</w:t>
            </w:r>
          </w:p>
          <w:p w14:paraId="2CDFF0B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sens, art. 8 alin. (2) din Directiva (UE) 2015/849 impune existența unor evaluări documentate și actualizate ale riscurilor. Prin urmare, introducerea unor „cerințe simplificate” în materia evaluării riscurilor riscă să fie interpretată ca o diminuare a standardelor aplicabile, ceea ce ar contraveni acestor dispoziții. </w:t>
            </w:r>
          </w:p>
          <w:p w14:paraId="26214BF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al treilea rând, în ceea ce privește obligația de raportare, aceasta are un caracter autonom și nu este condiționată de dimensiunea sau profilul entității. Conform art. 11 din Legea nr. 308/2017, obligația de raportare intervine ori de câte ori există suspiciuni privind spălarea banilor, infracțiuni predicat sau finanțarea terorismului. Această abordare este reflectată și în art. 33 alin. (1) din Directiva (UE) 2015/849, precum și în Recomandarea FATF 20, care stabilesc obligația de raportare a tranzacțiilor suspecte indiferent de valoare (din Nota interpretativă a Recomandării FATF 20: „</w:t>
            </w:r>
            <w:proofErr w:type="spellStart"/>
            <w:r>
              <w:rPr>
                <w:rFonts w:ascii="Times New Roman" w:eastAsia="Times New Roman" w:hAnsi="Times New Roman" w:cs="Times New Roman"/>
                <w:sz w:val="24"/>
                <w:szCs w:val="24"/>
              </w:rPr>
              <w:t>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suspicious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attempted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regardless</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amount</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transaction</w:t>
            </w:r>
            <w:proofErr w:type="spellEnd"/>
            <w:r>
              <w:rPr>
                <w:rFonts w:ascii="Times New Roman" w:eastAsia="Times New Roman" w:hAnsi="Times New Roman" w:cs="Times New Roman"/>
                <w:sz w:val="24"/>
                <w:szCs w:val="24"/>
              </w:rPr>
              <w:t>.”). Prin urmare, dimensiunea sau profilul entității raportoare nu este un factor determinant al asigurării obligației de raportare.</w:t>
            </w:r>
          </w:p>
          <w:p w14:paraId="666BBC6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Trebuie de precizat că deși legea permite aplicarea unor măsuri simplificate de cunoaștere a clientelei în situații de risc scăzut (art. 7 din Legea nr. 308/2017), această flexibilitate nu se extinde asupra obligațiilor structurale esențiale, precum evaluarea riscurilor sau organizarea internă în sensul reducerii standardelor minime.</w:t>
            </w:r>
          </w:p>
          <w:p w14:paraId="4E28E4A3"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11D813C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297BE64E" w14:textId="77777777" w:rsidR="00B9643D" w:rsidRDefault="00B9643D" w:rsidP="002E1162">
            <w:pPr>
              <w:jc w:val="both"/>
              <w:rPr>
                <w:rFonts w:ascii="Times New Roman" w:eastAsia="Times New Roman" w:hAnsi="Times New Roman" w:cs="Times New Roman"/>
                <w:sz w:val="24"/>
                <w:szCs w:val="24"/>
              </w:rPr>
            </w:pPr>
          </w:p>
          <w:p w14:paraId="113F017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39284F35" w14:textId="77777777" w:rsidR="00B9643D" w:rsidRDefault="00B9643D" w:rsidP="002E1162">
            <w:pPr>
              <w:jc w:val="both"/>
              <w:rPr>
                <w:rFonts w:ascii="Times New Roman" w:eastAsia="Times New Roman" w:hAnsi="Times New Roman" w:cs="Times New Roman"/>
                <w:b/>
                <w:bCs/>
                <w:sz w:val="24"/>
                <w:szCs w:val="24"/>
              </w:rPr>
            </w:pPr>
          </w:p>
        </w:tc>
      </w:tr>
      <w:tr w:rsidR="00B9643D" w14:paraId="2F9B6BC4" w14:textId="77777777" w:rsidTr="00CA3607">
        <w:tc>
          <w:tcPr>
            <w:tcW w:w="587" w:type="dxa"/>
            <w:shd w:val="clear" w:color="auto" w:fill="FFFFFF"/>
          </w:tcPr>
          <w:p w14:paraId="190FEF0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13523DA2"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5513320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6122" w:type="dxa"/>
            <w:tcBorders>
              <w:top w:val="single" w:sz="4" w:space="0" w:color="000000"/>
              <w:right w:val="single" w:sz="4" w:space="0" w:color="000000"/>
            </w:tcBorders>
            <w:shd w:val="clear" w:color="auto" w:fill="FFFFFF"/>
          </w:tcPr>
          <w:p w14:paraId="5C7285D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referire la art. VIII pct. 3 din proiect, menționăm că nu se susține propunerea de modificare a art. 5 alin. (6) din Legea nr. 308/2017. Versiunea actuală a normei, care utilizează sintagma „prin adoptarea de măsuri adecvate și bazate pe risc”, corespunde pe deplin standardelor internaționale și europene în materie AML/CFT, reflectând fidel conceptul de abordare bazată pe risc. Astfel, Recomandarea FATF 1 prevede că instituțiile financiare trebuie să aplice măsurile de cunoaștere a clientelei, determinând amploarea acestora în baza unei abordări bazate pe risc („Financial </w:t>
            </w:r>
            <w:proofErr w:type="spellStart"/>
            <w:r>
              <w:rPr>
                <w:rFonts w:ascii="Times New Roman" w:eastAsia="Times New Roman" w:hAnsi="Times New Roman" w:cs="Times New Roman"/>
                <w:sz w:val="24"/>
                <w:szCs w:val="24"/>
              </w:rPr>
              <w:t>institutions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required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each</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CDD </w:t>
            </w:r>
            <w:proofErr w:type="spellStart"/>
            <w:r>
              <w:rPr>
                <w:rFonts w:ascii="Times New Roman" w:eastAsia="Times New Roman" w:hAnsi="Times New Roman" w:cs="Times New Roman"/>
                <w:sz w:val="24"/>
                <w:szCs w:val="24"/>
              </w:rPr>
              <w:t>measures</w:t>
            </w:r>
            <w:proofErr w:type="spellEnd"/>
            <w:r>
              <w:rPr>
                <w:rFonts w:ascii="Times New Roman" w:eastAsia="Times New Roman" w:hAnsi="Times New Roman" w:cs="Times New Roman"/>
                <w:sz w:val="24"/>
                <w:szCs w:val="24"/>
              </w:rPr>
              <w:t xml:space="preserve"> […] but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determine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extent</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such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using</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risk-based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w:t>
            </w:r>
            <w:proofErr w:type="spellEnd"/>
            <w:r>
              <w:rPr>
                <w:rFonts w:ascii="Times New Roman" w:eastAsia="Times New Roman" w:hAnsi="Times New Roman" w:cs="Times New Roman"/>
                <w:sz w:val="24"/>
                <w:szCs w:val="24"/>
              </w:rPr>
              <w:t xml:space="preserve"> (RBA) in </w:t>
            </w:r>
            <w:proofErr w:type="spellStart"/>
            <w:r>
              <w:rPr>
                <w:rFonts w:ascii="Times New Roman" w:eastAsia="Times New Roman" w:hAnsi="Times New Roman" w:cs="Times New Roman"/>
                <w:sz w:val="24"/>
                <w:szCs w:val="24"/>
              </w:rPr>
              <w:t>accordance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Interpretive</w:t>
            </w:r>
            <w:proofErr w:type="spellEnd"/>
            <w:r>
              <w:rPr>
                <w:rFonts w:ascii="Times New Roman" w:eastAsia="Times New Roman" w:hAnsi="Times New Roman" w:cs="Times New Roman"/>
                <w:sz w:val="24"/>
                <w:szCs w:val="24"/>
              </w:rPr>
              <w:t xml:space="preserve"> Notes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Recommendation</w:t>
            </w:r>
            <w:proofErr w:type="spellEnd"/>
            <w:r>
              <w:rPr>
                <w:rFonts w:ascii="Times New Roman" w:eastAsia="Times New Roman" w:hAnsi="Times New Roman" w:cs="Times New Roman"/>
                <w:sz w:val="24"/>
                <w:szCs w:val="24"/>
              </w:rPr>
              <w:t xml:space="preserve"> 1”).</w:t>
            </w:r>
          </w:p>
          <w:p w14:paraId="3085606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Subsecvent, Recomandarea FATF 1 consacră principiul fundamental potrivit căruia măsurile de prevenire și combatere a spălării banilor și finanțării terorismului trebuie să fie proporționale cu riscurile identificate, în cadrul unei abordări integrate și flexibile. Nota interpretativă la această Recomandare subliniază că aplicarea RBA permite entităților să aloce resursele în mod eficient și să adapteze măsurile în funcție de profilul de risc („</w:t>
            </w:r>
            <w:proofErr w:type="spellStart"/>
            <w:r>
              <w:rPr>
                <w:rFonts w:ascii="Times New Roman" w:eastAsia="Times New Roman" w:hAnsi="Times New Roman" w:cs="Times New Roman"/>
                <w:sz w:val="24"/>
                <w:szCs w:val="24"/>
              </w:rPr>
              <w:t>By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adopting</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risk-based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w:t>
            </w:r>
            <w:proofErr w:type="spellEnd"/>
            <w:r>
              <w:rPr>
                <w:rFonts w:ascii="Times New Roman" w:eastAsia="Times New Roman" w:hAnsi="Times New Roman" w:cs="Times New Roman"/>
                <w:sz w:val="24"/>
                <w:szCs w:val="24"/>
              </w:rPr>
              <w:t xml:space="preserve">, competent </w:t>
            </w:r>
            <w:proofErr w:type="spellStart"/>
            <w:r>
              <w:rPr>
                <w:rFonts w:ascii="Times New Roman" w:eastAsia="Times New Roman" w:hAnsi="Times New Roman" w:cs="Times New Roman"/>
                <w:sz w:val="24"/>
                <w:szCs w:val="24"/>
              </w:rPr>
              <w:t>authorities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financial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institutions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DNFBPs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ensure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measures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prevent</w:t>
            </w:r>
            <w:proofErr w:type="spellEnd"/>
            <w:r>
              <w:rPr>
                <w:rFonts w:ascii="Times New Roman" w:eastAsia="Times New Roman" w:hAnsi="Times New Roman" w:cs="Times New Roman"/>
                <w:sz w:val="24"/>
                <w:szCs w:val="24"/>
              </w:rPr>
              <w:t xml:space="preserve"> or </w:t>
            </w:r>
            <w:proofErr w:type="spellStart"/>
            <w:r>
              <w:rPr>
                <w:rFonts w:ascii="Times New Roman" w:eastAsia="Times New Roman" w:hAnsi="Times New Roman" w:cs="Times New Roman"/>
                <w:sz w:val="24"/>
                <w:szCs w:val="24"/>
              </w:rPr>
              <w:t>mitigate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money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laundering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terrorist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financing</w:t>
            </w:r>
            <w:proofErr w:type="spellEnd"/>
            <w:r>
              <w:rPr>
                <w:rFonts w:ascii="Times New Roman" w:eastAsia="Times New Roman" w:hAnsi="Times New Roman" w:cs="Times New Roman"/>
                <w:sz w:val="24"/>
                <w:szCs w:val="24"/>
              </w:rPr>
              <w:t xml:space="preserve"> are </w:t>
            </w:r>
            <w:proofErr w:type="spellStart"/>
            <w:r>
              <w:rPr>
                <w:rFonts w:ascii="Times New Roman" w:eastAsia="Times New Roman" w:hAnsi="Times New Roman" w:cs="Times New Roman"/>
                <w:sz w:val="24"/>
                <w:szCs w:val="24"/>
              </w:rPr>
              <w:t>proportionate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risks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identified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decisions</w:t>
            </w:r>
            <w:proofErr w:type="spellEnd"/>
            <w:r>
              <w:rPr>
                <w:rFonts w:ascii="Times New Roman" w:eastAsia="Times New Roman" w:hAnsi="Times New Roman" w:cs="Times New Roman"/>
                <w:sz w:val="24"/>
                <w:szCs w:val="24"/>
              </w:rPr>
              <w:t xml:space="preserve"> on </w:t>
            </w:r>
            <w:proofErr w:type="spellStart"/>
            <w:r>
              <w:rPr>
                <w:rFonts w:ascii="Times New Roman" w:eastAsia="Times New Roman" w:hAnsi="Times New Roman" w:cs="Times New Roman"/>
                <w:sz w:val="24"/>
                <w:szCs w:val="24"/>
              </w:rPr>
              <w:t>how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allocate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own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resources</w:t>
            </w:r>
            <w:proofErr w:type="spellEnd"/>
            <w:r>
              <w:rPr>
                <w:rFonts w:ascii="Times New Roman" w:eastAsia="Times New Roman" w:hAnsi="Times New Roman" w:cs="Times New Roman"/>
                <w:sz w:val="24"/>
                <w:szCs w:val="24"/>
              </w:rPr>
              <w:t xml:space="preserve"> in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effective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way</w:t>
            </w:r>
            <w:proofErr w:type="spellEnd"/>
            <w:r>
              <w:rPr>
                <w:rFonts w:ascii="Times New Roman" w:eastAsia="Times New Roman" w:hAnsi="Times New Roman" w:cs="Times New Roman"/>
                <w:sz w:val="24"/>
                <w:szCs w:val="24"/>
              </w:rPr>
              <w:t>.”).</w:t>
            </w:r>
          </w:p>
          <w:p w14:paraId="07CFF3F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nivel european, art. 13 alin. (1) din Directiva (UE) 2015/849 stabilește obligația aplicării măsurilor de cunoaștere </w:t>
            </w:r>
            <w:r>
              <w:rPr>
                <w:rFonts w:ascii="Times New Roman" w:eastAsia="Times New Roman" w:hAnsi="Times New Roman" w:cs="Times New Roman"/>
                <w:sz w:val="24"/>
                <w:szCs w:val="24"/>
              </w:rPr>
              <w:lastRenderedPageBreak/>
              <w:t>a clientelei, iar art. 13 alin. (2) prevede că entitățile obligate determină amploarea acestor măsuri în funcție de gradul de risc, în conformitate cu abordarea bazată pe risc. Totodată, art. 8 din Directivă impune instituirea unor politici și controale interne proporționale cu natura și dimensiunea entității și cu riscurile identificate.</w:t>
            </w:r>
          </w:p>
          <w:p w14:paraId="4FCFD69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Corespunzător, la nivel național, art. 5 din Legea nr. 308/2017 reglementează măsurile de precauție privind clienții în deplină concordanță cu aceste standarde, iar art. 6 stabilește obligația evaluării riscurilor ca fundament al aplicării abordării bazate pe risc. În acest context, substituirea sintagmei „bazate pe risc” cu formularea propusă („în mod proporțional cu riscurile […] ținând cont de natura, mărimea și complexitatea entității […]”) este redundantă și inferioară din punct de vedere conceptual, întrucât reduce noțiunea consacrată de „abordare bazată pe risc” la o simplă enumerare de factori și creează riscul unei interpretări restrictive, limitate la criterii prestabilite (dimensiune, natură, tipuri de produse), în detrimentul unei evaluări holistice a riscurilor. De altfel, elementele enumerate în textul propus (natura, mărimea, complexitatea entității, caracteristicile clienților, produselor și tranzacțiilor) sunt deja subsumate conceptului de abordare bazată pe risc. </w:t>
            </w:r>
          </w:p>
          <w:p w14:paraId="7368936E"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0DECD9B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5269644D" w14:textId="77777777" w:rsidR="00B9643D" w:rsidRDefault="00B9643D" w:rsidP="002E1162">
            <w:pPr>
              <w:jc w:val="both"/>
              <w:rPr>
                <w:rFonts w:ascii="Times New Roman" w:eastAsia="Times New Roman" w:hAnsi="Times New Roman" w:cs="Times New Roman"/>
                <w:sz w:val="24"/>
                <w:szCs w:val="24"/>
              </w:rPr>
            </w:pPr>
          </w:p>
          <w:p w14:paraId="3039AC8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tc>
      </w:tr>
      <w:tr w:rsidR="00B9643D" w14:paraId="46E0F191" w14:textId="77777777" w:rsidTr="00CA3607">
        <w:tc>
          <w:tcPr>
            <w:tcW w:w="587" w:type="dxa"/>
            <w:shd w:val="clear" w:color="auto" w:fill="FFFFFF"/>
          </w:tcPr>
          <w:p w14:paraId="7881F9B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2D55040C"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318906D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w:t>
            </w:r>
          </w:p>
        </w:tc>
        <w:tc>
          <w:tcPr>
            <w:tcW w:w="6122" w:type="dxa"/>
            <w:tcBorders>
              <w:top w:val="single" w:sz="4" w:space="0" w:color="000000"/>
              <w:right w:val="single" w:sz="4" w:space="0" w:color="000000"/>
            </w:tcBorders>
            <w:shd w:val="clear" w:color="auto" w:fill="FFFFFF"/>
          </w:tcPr>
          <w:p w14:paraId="70D9499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4 din proiect, prin care se modifică art. 5/1 alin. (3) nu se susține, fiind în contradicție conceptuală cu prevederile Legii nr. 308/2017. Potrivit art. 5 alin. (2) lit. b) din Legea nr. 308/2017, măsurile standarde de precauție privind clienții cuprind identificarea beneficiarului efectiv și adoptarea de măsuri rezonabile, adecvate și bazate pe risc pentru verificarea identității acestuia, utilizând documente, date și informații relevante obținute dintr-o sursă sigură, astfel încât entitatea raportoare să aibă certitudinea că știe cine este beneficiarul efectiv și înțelege structura proprietății și structura de control a clientului.</w:t>
            </w:r>
          </w:p>
          <w:p w14:paraId="5AE80E2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Subsecvent, în conformitate cu alin. (3) al aceluiași articol, în cazul în care nu este posibilă aplicarea măsurilor </w:t>
            </w:r>
            <w:r>
              <w:rPr>
                <w:rFonts w:ascii="Times New Roman" w:eastAsia="Times New Roman" w:hAnsi="Times New Roman" w:cs="Times New Roman"/>
                <w:sz w:val="24"/>
                <w:szCs w:val="24"/>
              </w:rPr>
              <w:lastRenderedPageBreak/>
              <w:t>standard de precauție privind clienții (la caz, certitudinea privind cine este beneficiarul efectiv), entitățile raportoare sunt obligate să nu efectueze nicio activitate sau tranzacție, inclusiv printr-un cont de plăți, să nu stabilească nicio relație de afaceri ori să înceteze o relație de afaceri existentă.</w:t>
            </w:r>
          </w:p>
          <w:p w14:paraId="1372C25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modificările propuse contravin normelor existente aplicabile, care, la rândul lor, corespund cerințelor cadrului european (a se vedea art. 14 alin. (4) din Directiva (UE) 2015/849).</w:t>
            </w:r>
          </w:p>
          <w:p w14:paraId="34970A01"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2167A64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2061AF95" w14:textId="77777777" w:rsidR="00B9643D" w:rsidRDefault="00B9643D" w:rsidP="002E1162">
            <w:pPr>
              <w:jc w:val="both"/>
              <w:rPr>
                <w:rFonts w:ascii="Times New Roman" w:eastAsia="Times New Roman" w:hAnsi="Times New Roman" w:cs="Times New Roman"/>
                <w:sz w:val="24"/>
                <w:szCs w:val="24"/>
              </w:rPr>
            </w:pPr>
          </w:p>
          <w:p w14:paraId="5E99A1C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0D5A7B37" w14:textId="77777777" w:rsidTr="00CA3607">
        <w:tc>
          <w:tcPr>
            <w:tcW w:w="587" w:type="dxa"/>
            <w:shd w:val="clear" w:color="auto" w:fill="FFFFFF"/>
          </w:tcPr>
          <w:p w14:paraId="3EA0151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1E556C18"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4E20A7A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w:t>
            </w:r>
          </w:p>
        </w:tc>
        <w:tc>
          <w:tcPr>
            <w:tcW w:w="6122" w:type="dxa"/>
            <w:tcBorders>
              <w:top w:val="single" w:sz="4" w:space="0" w:color="000000"/>
              <w:right w:val="single" w:sz="4" w:space="0" w:color="000000"/>
            </w:tcBorders>
            <w:shd w:val="clear" w:color="auto" w:fill="FFFFFF"/>
          </w:tcPr>
          <w:p w14:paraId="55CD018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5 din proiect, se va menționa că menținerea termenului „anual” pentru actualizarea evaluărilor riscurilor este proporțională, rezonabilă și, totodată, conformă cu cerințele Directivei (UE) 2015/849 și Recomandările FATF. Propunerea de modificare poate genera confuzii interpretative („nu mai rar de o dată la 2 ani”) și, prin urmare, considerăm oportună păstrarea redacției actuale. Propunerea de a stabili „nu mai rar de o dată la 2 ani” introduce o flexibilitate inutilă și arbitrară, care reduce claritatea și predictibilitatea obligației. Frecvența anuală este un termen deja utilizat în practică, permițând entităților să-și organizeze resursele și să respecte principiul bazat pe risc, fără a afecta calitatea evaluărilor.</w:t>
            </w:r>
          </w:p>
          <w:p w14:paraId="34C02036"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49A089B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2ED0F47F" w14:textId="77777777" w:rsidR="00B9643D" w:rsidRDefault="00B9643D" w:rsidP="002E1162">
            <w:pPr>
              <w:jc w:val="both"/>
              <w:rPr>
                <w:rFonts w:ascii="Times New Roman" w:eastAsia="Times New Roman" w:hAnsi="Times New Roman" w:cs="Times New Roman"/>
                <w:sz w:val="24"/>
                <w:szCs w:val="24"/>
              </w:rPr>
            </w:pPr>
          </w:p>
          <w:p w14:paraId="2140880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43AE3600" w14:textId="77777777" w:rsidR="00B9643D" w:rsidRDefault="00B9643D" w:rsidP="002E1162">
            <w:pPr>
              <w:jc w:val="both"/>
              <w:rPr>
                <w:rFonts w:ascii="Times New Roman" w:eastAsia="Times New Roman" w:hAnsi="Times New Roman" w:cs="Times New Roman"/>
                <w:b/>
                <w:bCs/>
                <w:sz w:val="24"/>
                <w:szCs w:val="24"/>
              </w:rPr>
            </w:pPr>
          </w:p>
        </w:tc>
      </w:tr>
      <w:tr w:rsidR="00B9643D" w14:paraId="7B1F45D4" w14:textId="77777777" w:rsidTr="00CA3607">
        <w:tc>
          <w:tcPr>
            <w:tcW w:w="587" w:type="dxa"/>
            <w:shd w:val="clear" w:color="auto" w:fill="FFFFFF"/>
          </w:tcPr>
          <w:p w14:paraId="63359EF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1B1FFCC4"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3530A3E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w:t>
            </w:r>
          </w:p>
        </w:tc>
        <w:tc>
          <w:tcPr>
            <w:tcW w:w="6122" w:type="dxa"/>
            <w:tcBorders>
              <w:top w:val="single" w:sz="4" w:space="0" w:color="000000"/>
              <w:right w:val="single" w:sz="4" w:space="0" w:color="000000"/>
            </w:tcBorders>
            <w:shd w:val="clear" w:color="auto" w:fill="FFFFFF"/>
          </w:tcPr>
          <w:p w14:paraId="260D81D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7 din proiect, menționăm că susținem păstrarea versiunii actuale mai generice a prevederii. Entitatea raportoare acționează în baza evaluării riscurilor de spălare a banilor și de finanțare a terorismului la nivel național, precum și în baza criteriilor și factorilor stabiliți de către organul cu funcții de supraveghere, nu doar în urma evaluării proprii. Prin urmare, modificarea propusă ar contrazice prevederea de la art. 7 alin. (5) și, totodată, ar fi în disonanță cu normele stabilite la art. 15 alin. (1) din Directiva (UE) 2015/849 („În cazul în care un stat membru sau o entitate obligată identifică domenii cu risc redus, statul membru respectiv poate permite entităților obligate să aplice măsuri de precauție simplificată privind clientela.”).</w:t>
            </w:r>
          </w:p>
          <w:p w14:paraId="6F3A8DD6"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3460333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6998C0BB" w14:textId="77777777" w:rsidR="00B9643D" w:rsidRDefault="00B9643D" w:rsidP="002E1162">
            <w:pPr>
              <w:jc w:val="both"/>
              <w:rPr>
                <w:rFonts w:ascii="Times New Roman" w:eastAsia="Times New Roman" w:hAnsi="Times New Roman" w:cs="Times New Roman"/>
                <w:b/>
                <w:bCs/>
                <w:sz w:val="24"/>
                <w:szCs w:val="24"/>
              </w:rPr>
            </w:pPr>
          </w:p>
          <w:p w14:paraId="2426AF4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tc>
      </w:tr>
      <w:tr w:rsidR="00B9643D" w14:paraId="61D58E48" w14:textId="77777777" w:rsidTr="00CA3607">
        <w:tc>
          <w:tcPr>
            <w:tcW w:w="587" w:type="dxa"/>
            <w:shd w:val="clear" w:color="auto" w:fill="FFFFFF"/>
          </w:tcPr>
          <w:p w14:paraId="79C6CCB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5AA7E470"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75F38EC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p>
        </w:tc>
        <w:tc>
          <w:tcPr>
            <w:tcW w:w="6122" w:type="dxa"/>
            <w:tcBorders>
              <w:top w:val="single" w:sz="4" w:space="0" w:color="000000"/>
              <w:right w:val="single" w:sz="4" w:space="0" w:color="000000"/>
            </w:tcBorders>
            <w:shd w:val="clear" w:color="auto" w:fill="FFFFFF"/>
          </w:tcPr>
          <w:p w14:paraId="1BBA40D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8 din proiect, învederăm că norma în redacția propusă conține o eroare de concept. Art. 7 din Legea nr. 308/2017 este aplicabil exclusiv în cazul unui risc redus de spălare a banilor și finanțare a terorismului. Prin urmare, nu poate fi stabilit un termen „în funcție de nivelul de risc”.</w:t>
            </w:r>
          </w:p>
          <w:p w14:paraId="53554C9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utilizarea expresiei „de regulă, este de cel puțin o lună de la stabilirea contactului inițial” creează incertitudine și lipsă de previzibilitate în aplicarea normei prin oferirea unei flexibilități ineficiente și nejustificate.</w:t>
            </w:r>
          </w:p>
          <w:p w14:paraId="0A6845A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Subsecvent, în redacția propusă pentru articolul 7 alin. (2) lit. a), cuvintele „este de cel puțin” propunem a fi substituite cu sintagma „nu depășește”.</w:t>
            </w:r>
          </w:p>
          <w:p w14:paraId="5D45CB3F" w14:textId="77777777" w:rsidR="00B9643D" w:rsidRDefault="00B9643D" w:rsidP="002E1162">
            <w:pPr>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5993221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7C8F2C35" w14:textId="77777777" w:rsidR="00B9643D" w:rsidRDefault="00B9643D" w:rsidP="002E1162">
            <w:pPr>
              <w:jc w:val="both"/>
              <w:rPr>
                <w:rFonts w:ascii="Times New Roman" w:eastAsia="Times New Roman" w:hAnsi="Times New Roman" w:cs="Times New Roman"/>
                <w:sz w:val="24"/>
                <w:szCs w:val="24"/>
              </w:rPr>
            </w:pPr>
          </w:p>
          <w:p w14:paraId="1B9FF062" w14:textId="77777777" w:rsidR="00B9643D" w:rsidRDefault="00000000" w:rsidP="002E1162">
            <w:pPr>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A se vedea argumentarea la pct. 1.</w:t>
            </w:r>
          </w:p>
        </w:tc>
      </w:tr>
      <w:tr w:rsidR="00B9643D" w14:paraId="23AABD18" w14:textId="77777777" w:rsidTr="00CA3607">
        <w:tc>
          <w:tcPr>
            <w:tcW w:w="587" w:type="dxa"/>
            <w:shd w:val="clear" w:color="auto" w:fill="FFFFFF"/>
          </w:tcPr>
          <w:p w14:paraId="58C0403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626C5293"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70A8AE0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w:t>
            </w:r>
          </w:p>
        </w:tc>
        <w:tc>
          <w:tcPr>
            <w:tcW w:w="6122" w:type="dxa"/>
            <w:tcBorders>
              <w:top w:val="single" w:sz="4" w:space="0" w:color="000000"/>
              <w:right w:val="single" w:sz="4" w:space="0" w:color="000000"/>
            </w:tcBorders>
            <w:shd w:val="clear" w:color="auto" w:fill="FFFFFF"/>
          </w:tcPr>
          <w:p w14:paraId="1228966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9 din proiect, evidențiem că modificarea propusă în proiect intră în contradicție cu prevederile de la art. 4 alin. (44) din Legea nr. 308/2017, care stipulează că entitățile raportoare, la efectuarea tranzacțiilor de către clienții rezidenți în/din adresa prestatorilor de servicii privind activele virtuale autorizați în alte state, nu admit tranzacții cu un volum ce depășește cumulativ echivalentul a 50 000 de lei pe parcursul unei luni.</w:t>
            </w:r>
          </w:p>
          <w:p w14:paraId="3A1F149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aceste condiții, cadrul normativ deja instituie o limitare imperativă a volumului tranzacțiilor, independent de nivelul de risc asociat clientului sau operațiunilor efectuate.</w:t>
            </w:r>
          </w:p>
          <w:p w14:paraId="55657B2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aplicarea unor măsuri de precauție sporită în funcție de risc, pentru situații definite prin „volum semnificativ” sau „frecvență ridicată”, devine redundantă și lipsită de aplicabilitate practică, fiind deja fixat un prag maxim permis.</w:t>
            </w:r>
          </w:p>
          <w:p w14:paraId="313398DC"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237C012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6744BE62" w14:textId="77777777" w:rsidR="00B9643D" w:rsidRDefault="00B9643D" w:rsidP="002E1162">
            <w:pPr>
              <w:jc w:val="both"/>
              <w:rPr>
                <w:rFonts w:ascii="Times New Roman" w:eastAsia="Times New Roman" w:hAnsi="Times New Roman" w:cs="Times New Roman"/>
                <w:sz w:val="24"/>
                <w:szCs w:val="24"/>
              </w:rPr>
            </w:pPr>
          </w:p>
          <w:p w14:paraId="53489C8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03B3782B" w14:textId="77777777" w:rsidTr="00CA3607">
        <w:tc>
          <w:tcPr>
            <w:tcW w:w="587" w:type="dxa"/>
            <w:shd w:val="clear" w:color="auto" w:fill="FFFFFF"/>
          </w:tcPr>
          <w:p w14:paraId="6824FC7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6DF6244A"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16DB1A8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w:t>
            </w:r>
          </w:p>
        </w:tc>
        <w:tc>
          <w:tcPr>
            <w:tcW w:w="6122" w:type="dxa"/>
            <w:tcBorders>
              <w:top w:val="single" w:sz="4" w:space="0" w:color="000000"/>
              <w:right w:val="single" w:sz="4" w:space="0" w:color="000000"/>
            </w:tcBorders>
            <w:shd w:val="clear" w:color="auto" w:fill="FFFFFF"/>
          </w:tcPr>
          <w:p w14:paraId="6E95796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referire la art. VIII pct. 10 din proiect, se menționează că modificarea propusă, prin înlocuirea sintagmei „toate datele” cu formularea „datele și documentele aferente tranzacțiilor naționale și internaționale în măsura în care este necesar pentru executarea obligațiilor lor conform prezentei </w:t>
            </w:r>
            <w:r>
              <w:rPr>
                <w:rFonts w:ascii="Times New Roman" w:eastAsia="Times New Roman" w:hAnsi="Times New Roman" w:cs="Times New Roman"/>
                <w:sz w:val="24"/>
                <w:szCs w:val="24"/>
              </w:rPr>
              <w:lastRenderedPageBreak/>
              <w:t>legi”, introduce un grad ridicat de ambiguitate și incertitudine juridică.</w:t>
            </w:r>
          </w:p>
          <w:p w14:paraId="775EF50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Potrivit art. 40 alin. (1) lit. b) din Directiva (UE) 2015/849, entitățile obligate trebuie să păstreze documente justificative și evidențe ale tranzacțiilor care sunt necesare pentru identificarea și reconstituirea acestora, pentru o perioadă de cel puțin cinci ani. În mod similar, Recomandarea FATF 11 stabilește obligația instituțiilor financiare de a păstra toate înregistrările necesare privind tranzacțiile, astfel încât acestea să permită reconstituirea fiecărei operațiuni și să poată servi drept probă în cadrul procedurilor legale („Financial </w:t>
            </w:r>
            <w:proofErr w:type="spellStart"/>
            <w:r>
              <w:rPr>
                <w:rFonts w:ascii="Times New Roman" w:eastAsia="Times New Roman" w:hAnsi="Times New Roman" w:cs="Times New Roman"/>
                <w:sz w:val="24"/>
                <w:szCs w:val="24"/>
              </w:rPr>
              <w:t>institutions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required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maintain</w:t>
            </w:r>
            <w:proofErr w:type="spellEnd"/>
            <w:r>
              <w:rPr>
                <w:rFonts w:ascii="Times New Roman" w:eastAsia="Times New Roman" w:hAnsi="Times New Roman" w:cs="Times New Roman"/>
                <w:sz w:val="24"/>
                <w:szCs w:val="24"/>
              </w:rPr>
              <w:t xml:space="preserve">, for at </w:t>
            </w:r>
            <w:proofErr w:type="spellStart"/>
            <w:r>
              <w:rPr>
                <w:rFonts w:ascii="Times New Roman" w:eastAsia="Times New Roman" w:hAnsi="Times New Roman" w:cs="Times New Roman"/>
                <w:sz w:val="24"/>
                <w:szCs w:val="24"/>
              </w:rPr>
              <w:t>least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five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years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necessary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records</w:t>
            </w:r>
            <w:proofErr w:type="spellEnd"/>
            <w:r>
              <w:rPr>
                <w:rFonts w:ascii="Times New Roman" w:eastAsia="Times New Roman" w:hAnsi="Times New Roman" w:cs="Times New Roman"/>
                <w:sz w:val="24"/>
                <w:szCs w:val="24"/>
              </w:rPr>
              <w:t xml:space="preserve"> on </w:t>
            </w:r>
            <w:proofErr w:type="spellStart"/>
            <w:r>
              <w:rPr>
                <w:rFonts w:ascii="Times New Roman" w:eastAsia="Times New Roman" w:hAnsi="Times New Roman" w:cs="Times New Roman"/>
                <w:sz w:val="24"/>
                <w:szCs w:val="24"/>
              </w:rPr>
              <w:t>transactions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both</w:t>
            </w:r>
            <w:proofErr w:type="spellEnd"/>
            <w:r>
              <w:rPr>
                <w:rFonts w:ascii="Times New Roman" w:eastAsia="Times New Roman" w:hAnsi="Times New Roman" w:cs="Times New Roman"/>
                <w:sz w:val="24"/>
                <w:szCs w:val="24"/>
              </w:rPr>
              <w:t xml:space="preserve"> domestic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international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enable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comply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swiftly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with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information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requests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from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competent </w:t>
            </w:r>
            <w:proofErr w:type="spellStart"/>
            <w:r>
              <w:rPr>
                <w:rFonts w:ascii="Times New Roman" w:eastAsia="Times New Roman" w:hAnsi="Times New Roman" w:cs="Times New Roman"/>
                <w:sz w:val="24"/>
                <w:szCs w:val="24"/>
              </w:rPr>
              <w:t>authorities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records</w:t>
            </w:r>
            <w:proofErr w:type="spellEnd"/>
            <w:r>
              <w:rPr>
                <w:rFonts w:ascii="Times New Roman" w:eastAsia="Times New Roman" w:hAnsi="Times New Roman" w:cs="Times New Roman"/>
                <w:sz w:val="24"/>
                <w:szCs w:val="24"/>
              </w:rPr>
              <w:t xml:space="preserve"> must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sufficient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permit </w:t>
            </w:r>
            <w:proofErr w:type="spellStart"/>
            <w:r>
              <w:rPr>
                <w:rFonts w:ascii="Times New Roman" w:eastAsia="Times New Roman" w:hAnsi="Times New Roman" w:cs="Times New Roman"/>
                <w:sz w:val="24"/>
                <w:szCs w:val="24"/>
              </w:rPr>
              <w:t>reconstruction</w:t>
            </w:r>
            <w:proofErr w:type="spellEnd"/>
            <w:r>
              <w:rPr>
                <w:rFonts w:ascii="Times New Roman" w:eastAsia="Times New Roman" w:hAnsi="Times New Roman" w:cs="Times New Roman"/>
                <w:sz w:val="24"/>
                <w:szCs w:val="24"/>
              </w:rPr>
              <w:t xml:space="preserve"> of individual </w:t>
            </w:r>
            <w:proofErr w:type="spellStart"/>
            <w:r>
              <w:rPr>
                <w:rFonts w:ascii="Times New Roman" w:eastAsia="Times New Roman" w:hAnsi="Times New Roman" w:cs="Times New Roman"/>
                <w:sz w:val="24"/>
                <w:szCs w:val="24"/>
              </w:rPr>
              <w:t>transactions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amounts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types</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currency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involved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so</w:t>
            </w:r>
            <w:proofErr w:type="spellEnd"/>
            <w:r>
              <w:rPr>
                <w:rFonts w:ascii="Times New Roman" w:eastAsia="Times New Roman" w:hAnsi="Times New Roman" w:cs="Times New Roman"/>
                <w:sz w:val="24"/>
                <w:szCs w:val="24"/>
              </w:rPr>
              <w:t xml:space="preserve"> as </w:t>
            </w:r>
            <w:proofErr w:type="spellStart"/>
            <w:r>
              <w:rPr>
                <w:rFonts w:ascii="Times New Roman" w:eastAsia="Times New Roman" w:hAnsi="Times New Roman" w:cs="Times New Roman"/>
                <w:sz w:val="24"/>
                <w:szCs w:val="24"/>
              </w:rPr>
              <w:t>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provide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necessary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evidence</w:t>
            </w:r>
            <w:proofErr w:type="spellEnd"/>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sz w:val="24"/>
                <w:szCs w:val="24"/>
              </w:rPr>
              <w:t>prosecution</w:t>
            </w:r>
            <w:proofErr w:type="spellEnd"/>
            <w:r>
              <w:rPr>
                <w:rFonts w:ascii="Times New Roman" w:eastAsia="Times New Roman" w:hAnsi="Times New Roman" w:cs="Times New Roman"/>
                <w:sz w:val="24"/>
                <w:szCs w:val="24"/>
              </w:rPr>
              <w:t xml:space="preserve"> of criminal </w:t>
            </w:r>
            <w:proofErr w:type="spellStart"/>
            <w:r>
              <w:rPr>
                <w:rFonts w:ascii="Times New Roman" w:eastAsia="Times New Roman" w:hAnsi="Times New Roman" w:cs="Times New Roman"/>
                <w:sz w:val="24"/>
                <w:szCs w:val="24"/>
              </w:rPr>
              <w:t>activity</w:t>
            </w:r>
            <w:proofErr w:type="spellEnd"/>
            <w:r>
              <w:rPr>
                <w:rFonts w:ascii="Times New Roman" w:eastAsia="Times New Roman" w:hAnsi="Times New Roman" w:cs="Times New Roman"/>
                <w:sz w:val="24"/>
                <w:szCs w:val="24"/>
              </w:rPr>
              <w:t>.”).</w:t>
            </w:r>
          </w:p>
          <w:p w14:paraId="10EBDA2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standardele internaționale nu limitează obligația de păstrare la acele date considerate ex ante „necesare” de către entitate, ci impun o abordare suficient de largă pentru a asigura disponibilitatea tuturor informațiilor relevante în eventualitatea unor investigații.</w:t>
            </w:r>
          </w:p>
          <w:p w14:paraId="431CC95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formularea propusă este problematică, întrucât transferă asupra entității raportoare o apreciere subiectivă privind necesitatea păstrării anumitor date, deși aceasta nu poate anticipa în mod rezonabil care informații vor fi ulterior solicitate de autorități sau vor dobândi relevanță probatorie în cadrul procedurilor penale, contravenționale sau de altă natură. Această imprecizie riscă să conducă la aplicări neuniforme și la diminuarea eficienței mecanismelor de prevenire și investigare.</w:t>
            </w:r>
          </w:p>
          <w:p w14:paraId="4264A070"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296BCB5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2765B775" w14:textId="77777777" w:rsidR="00B9643D" w:rsidRDefault="00B9643D" w:rsidP="002E1162">
            <w:pPr>
              <w:jc w:val="both"/>
              <w:rPr>
                <w:rFonts w:ascii="Times New Roman" w:eastAsia="Times New Roman" w:hAnsi="Times New Roman" w:cs="Times New Roman"/>
                <w:sz w:val="24"/>
                <w:szCs w:val="24"/>
              </w:rPr>
            </w:pPr>
          </w:p>
          <w:p w14:paraId="043BC2F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5D3D89F8" w14:textId="77777777" w:rsidTr="00CA3607">
        <w:tc>
          <w:tcPr>
            <w:tcW w:w="587" w:type="dxa"/>
            <w:shd w:val="clear" w:color="auto" w:fill="FFFFFF"/>
          </w:tcPr>
          <w:p w14:paraId="1715B57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36DF06F2"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251A49A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w:t>
            </w:r>
          </w:p>
        </w:tc>
        <w:tc>
          <w:tcPr>
            <w:tcW w:w="6122" w:type="dxa"/>
            <w:tcBorders>
              <w:top w:val="single" w:sz="4" w:space="0" w:color="000000"/>
              <w:right w:val="single" w:sz="4" w:space="0" w:color="000000"/>
            </w:tcBorders>
            <w:shd w:val="clear" w:color="auto" w:fill="FFFFFF"/>
          </w:tcPr>
          <w:p w14:paraId="7C88806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11 din proiect prin care se propune o nouă redacție pentru art. 9 alin. (2</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menționăm că norma propusă este imprecisă în aplicare. Solicitarea </w:t>
            </w:r>
            <w:r>
              <w:rPr>
                <w:rFonts w:ascii="Times New Roman" w:eastAsia="Times New Roman" w:hAnsi="Times New Roman" w:cs="Times New Roman"/>
                <w:sz w:val="24"/>
                <w:szCs w:val="24"/>
              </w:rPr>
              <w:lastRenderedPageBreak/>
              <w:t>Serviciului sau a organelor cu funcții de supraveghere a entităților raportoare are caracter obligatoriu și nu prezumă oferirea unei discreții subiective de aplicare de către entitatea raportoare („entitățile raportoare pot prelungi”). Astfel, se optează pentru păstrarea normei existente.</w:t>
            </w:r>
          </w:p>
          <w:p w14:paraId="1BB2EF79"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3A99B8C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36521FCE" w14:textId="77777777" w:rsidR="00B9643D" w:rsidRDefault="00B9643D" w:rsidP="002E1162">
            <w:pPr>
              <w:jc w:val="both"/>
              <w:rPr>
                <w:rFonts w:ascii="Times New Roman" w:eastAsia="Times New Roman" w:hAnsi="Times New Roman" w:cs="Times New Roman"/>
                <w:sz w:val="24"/>
                <w:szCs w:val="24"/>
              </w:rPr>
            </w:pPr>
          </w:p>
          <w:p w14:paraId="079AEB3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7A97AA5F" w14:textId="77777777" w:rsidTr="00CA3607">
        <w:tc>
          <w:tcPr>
            <w:tcW w:w="587" w:type="dxa"/>
            <w:shd w:val="clear" w:color="auto" w:fill="FFFFFF"/>
          </w:tcPr>
          <w:p w14:paraId="1CE2E0C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46D5615F"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03054CC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w:t>
            </w:r>
          </w:p>
        </w:tc>
        <w:tc>
          <w:tcPr>
            <w:tcW w:w="6122" w:type="dxa"/>
            <w:tcBorders>
              <w:top w:val="single" w:sz="4" w:space="0" w:color="000000"/>
              <w:right w:val="single" w:sz="4" w:space="0" w:color="000000"/>
            </w:tcBorders>
            <w:shd w:val="clear" w:color="auto" w:fill="FFFFFF"/>
          </w:tcPr>
          <w:p w14:paraId="7D5E80B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13-15 din proiect, se va menționa că, conform art. 11 din Legea nr. 308/2017, obligația de raportare intervine ori de câte ori există suspiciuni privind spălarea banilor, infracțiuni predicat sau finanțarea terorismului. Această abordare este reflectată și în art. 33 alin. (1) din Directiva (UE) 2015/849, precum și în Recomandarea FATF 20, care stabilesc obligația de raportare a tranzacțiilor suspecte indiferent de valoare (din Nota interpretativă a Recomandării FATF 20: „</w:t>
            </w:r>
            <w:proofErr w:type="spellStart"/>
            <w:r>
              <w:rPr>
                <w:rFonts w:ascii="Times New Roman" w:eastAsia="Times New Roman" w:hAnsi="Times New Roman" w:cs="Times New Roman"/>
                <w:sz w:val="24"/>
                <w:szCs w:val="24"/>
              </w:rPr>
              <w:t>All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suspicious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including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attempted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transactions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reported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regardless</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amount</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transaction</w:t>
            </w:r>
            <w:proofErr w:type="spellEnd"/>
            <w:r>
              <w:rPr>
                <w:rFonts w:ascii="Times New Roman" w:eastAsia="Times New Roman" w:hAnsi="Times New Roman" w:cs="Times New Roman"/>
                <w:sz w:val="24"/>
                <w:szCs w:val="24"/>
              </w:rPr>
              <w:t>.”).</w:t>
            </w:r>
          </w:p>
          <w:p w14:paraId="2D7E0A2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introducerea unei referințe la „riscul sporit” poate crea interpretarea eronată că obligația de raportare ar fi limitată sau aplicabilă doar în cazul clienților, produselor sau tranzacțiilor încadrate în categorii de risc ridicat. Or, natura obligației de raportare este una independentă de clasificarea riscurilor și se bazează exclusiv pe existența suspiciunii.</w:t>
            </w:r>
          </w:p>
          <w:p w14:paraId="5758B184"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009F010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6EF633FD" w14:textId="77777777" w:rsidR="00B9643D" w:rsidRDefault="00B9643D" w:rsidP="002E1162">
            <w:pPr>
              <w:jc w:val="both"/>
              <w:rPr>
                <w:rFonts w:ascii="Times New Roman" w:eastAsia="Times New Roman" w:hAnsi="Times New Roman" w:cs="Times New Roman"/>
                <w:sz w:val="24"/>
                <w:szCs w:val="24"/>
              </w:rPr>
            </w:pPr>
          </w:p>
          <w:p w14:paraId="76356CB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tc>
      </w:tr>
      <w:tr w:rsidR="00B9643D" w14:paraId="1C238607" w14:textId="77777777" w:rsidTr="00CA3607">
        <w:tc>
          <w:tcPr>
            <w:tcW w:w="587" w:type="dxa"/>
            <w:shd w:val="clear" w:color="auto" w:fill="FFFFFF"/>
          </w:tcPr>
          <w:p w14:paraId="27700A4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10463050"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6FB8389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6122" w:type="dxa"/>
            <w:tcBorders>
              <w:top w:val="single" w:sz="4" w:space="0" w:color="000000"/>
              <w:right w:val="single" w:sz="4" w:space="0" w:color="000000"/>
            </w:tcBorders>
            <w:shd w:val="clear" w:color="auto" w:fill="FFFFFF"/>
          </w:tcPr>
          <w:p w14:paraId="095FD64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16 din proiect care se referă la completarea art. 15 prin introducerea alin. (11), care interzice autorităților de supraveghere comunicare prin scrisori, circulare sau alte forme de corespondență, limitează în mod nejustificat capacitatea acestora de a acționa prompt și eficient în domeniul prevenirii și combaterii spălării banilor și finanțării terorismului.</w:t>
            </w:r>
          </w:p>
          <w:p w14:paraId="3CACC23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practică, autoritățile de supraveghere și alte autorități competente trebuie să dispună de mecanisme flexibile și operative care să le permită să reacționeze rapid la riscurile emergente, la noile tipologii și la evoluțiile din domeniu.</w:t>
            </w:r>
          </w:p>
          <w:p w14:paraId="4AA31F4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Totodată, comunicările emise sub formă de adrese, circulare sau alte tipuri de corespondență își au temeiul legal în art. 15 alin. (6) lit. c) și d) din Legea nr. 308/2017, care obligă autoritățile de supraveghere să informeze entitățile raportoare despre tipologii, riscuri, metode noi și tendințe în domeniu, precum și să identifice vulnerabilitățile și să dispună, după caz, măsuri suplimentare de prevenire. Prin urmare, interzicerea utilizării acestor instrumente de comunicare ar restrânge nejustificat rolul activ al autorităților de supraveghere și ar putea afecta eficiența sistemului de prevenire și combatere a spălării banilor și finanțării terorismului, prin reducerea capacității de adaptare rapidă la riscurile în continuă evoluție.</w:t>
            </w:r>
          </w:p>
        </w:tc>
        <w:tc>
          <w:tcPr>
            <w:tcW w:w="4479" w:type="dxa"/>
            <w:tcBorders>
              <w:top w:val="single" w:sz="4" w:space="0" w:color="000000"/>
              <w:right w:val="single" w:sz="4" w:space="0" w:color="000000"/>
            </w:tcBorders>
            <w:shd w:val="clear" w:color="auto" w:fill="FFFFFF"/>
          </w:tcPr>
          <w:p w14:paraId="6EF2DCB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7609A1EE" w14:textId="77777777" w:rsidR="00B9643D" w:rsidRDefault="00B9643D" w:rsidP="002E1162">
            <w:pPr>
              <w:jc w:val="both"/>
              <w:rPr>
                <w:rFonts w:ascii="Times New Roman" w:eastAsia="Times New Roman" w:hAnsi="Times New Roman" w:cs="Times New Roman"/>
                <w:sz w:val="24"/>
                <w:szCs w:val="24"/>
              </w:rPr>
            </w:pPr>
          </w:p>
          <w:p w14:paraId="6A961EA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5CA775FA" w14:textId="77777777" w:rsidTr="00CA3607">
        <w:tc>
          <w:tcPr>
            <w:tcW w:w="587" w:type="dxa"/>
            <w:shd w:val="clear" w:color="auto" w:fill="FFFFFF"/>
          </w:tcPr>
          <w:p w14:paraId="19D9705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45B7A37B"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3107726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c>
          <w:tcPr>
            <w:tcW w:w="6122" w:type="dxa"/>
            <w:tcBorders>
              <w:top w:val="single" w:sz="4" w:space="0" w:color="000000"/>
              <w:right w:val="single" w:sz="4" w:space="0" w:color="000000"/>
            </w:tcBorders>
            <w:shd w:val="clear" w:color="auto" w:fill="FFFFFF"/>
          </w:tcPr>
          <w:p w14:paraId="05BCFFF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VIII pct. 18 din proiect, se va menționa că completarea propusă este redundantă și generează o potențială incoerență normativă, în raport cu prevederile deja existente ale cadrului legal aplicabil. Or, potrivit alin. (3) al aceluiași articol, procedura de constatare a încălcărilor în domeniul prevenirii spălării banilor și finanțării terorismului și modul de aplicare a sancțiunilor sunt reglementate prin Legea nr. 75/2020 privind procedura de constatare a încălcărilor în domeniul prevenirii spălării banilor și finanțării terorismului și modul de aplicare a sancțiunilor.</w:t>
            </w:r>
          </w:p>
          <w:p w14:paraId="3EB5383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potrivit art. 34 alin. (2) din Legea nr. 75/2020, la adoptarea unei decizii privind aplicarea sancțiunilor și aplicarea sancțiunilor specifice domeniului de activitate, autoritățile menționate la art.3 alin.(2) vor ține cont de următorii factori:</w:t>
            </w:r>
          </w:p>
          <w:p w14:paraId="493A95B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gravitatea și durata încălcărilor constatate;</w:t>
            </w:r>
          </w:p>
          <w:p w14:paraId="678F1B8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suma veniturilor obținute ca urmare a încălcărilor sau alte beneficii pecuniare obținute de către entitatea raportoare, pierderile sau prejudiciul cauzat, în cazul în care este posibilă determinarea acestora;</w:t>
            </w:r>
          </w:p>
          <w:p w14:paraId="781FAF6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vinovăția și situația financiară ale subiectului supus sancțiunii;</w:t>
            </w:r>
          </w:p>
          <w:p w14:paraId="729A014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încălcările anterioare comise de către subiectul supus sancțiunii în perioada ultimului an de gestiune, caracterul </w:t>
            </w:r>
            <w:r>
              <w:rPr>
                <w:rFonts w:ascii="Times New Roman" w:eastAsia="Times New Roman" w:hAnsi="Times New Roman" w:cs="Times New Roman"/>
                <w:sz w:val="24"/>
                <w:szCs w:val="24"/>
              </w:rPr>
              <w:lastRenderedPageBreak/>
              <w:t>sancțiunilor aplicate, precum și nivelul de cooperare a subiectului cu Serviciul și cu alte organe cu funcții de supraveghere a entităților raportoare;</w:t>
            </w:r>
          </w:p>
          <w:p w14:paraId="1930C80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circumstanțele agravante și cele atenuante;</w:t>
            </w:r>
          </w:p>
          <w:p w14:paraId="7F75B0E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consecințele încălcărilor constatate și ale sancțiunilor planificate asupra stabilității și fiabilității pieței;</w:t>
            </w:r>
          </w:p>
          <w:p w14:paraId="6110158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alte circumstanțe relevante.</w:t>
            </w:r>
          </w:p>
          <w:p w14:paraId="6C6C858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elementele prevăzute în completarea propusă sunt deja reglementate detaliat în legislația specială aplicabilă, iar reiterarea acestora în Legea nr. 308/2017 nu aduce valoare normativă suplimentară. Dimpotrivă, aceasta poate crea riscul unor suprapuneri sau interpretări neuniforme între actele normative incidente.</w:t>
            </w:r>
          </w:p>
          <w:p w14:paraId="4117FD2B" w14:textId="77777777" w:rsidR="002E1162" w:rsidRDefault="002E1162"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50583BE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63FDF7BC" w14:textId="77777777" w:rsidR="00B9643D" w:rsidRDefault="00B9643D" w:rsidP="002E1162">
            <w:pPr>
              <w:jc w:val="both"/>
              <w:rPr>
                <w:rFonts w:ascii="Times New Roman" w:eastAsia="Times New Roman" w:hAnsi="Times New Roman" w:cs="Times New Roman"/>
                <w:sz w:val="24"/>
                <w:szCs w:val="24"/>
              </w:rPr>
            </w:pPr>
          </w:p>
          <w:p w14:paraId="2115CEB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6DE0E4D5" w14:textId="77777777" w:rsidTr="00CA3607">
        <w:tc>
          <w:tcPr>
            <w:tcW w:w="587" w:type="dxa"/>
            <w:shd w:val="clear" w:color="auto" w:fill="FFFFFF"/>
          </w:tcPr>
          <w:p w14:paraId="1F65E691" w14:textId="77777777" w:rsidR="00B9643D" w:rsidRDefault="00000000" w:rsidP="002E1162">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2688" w:type="dxa"/>
            <w:tcBorders>
              <w:bottom w:val="single" w:sz="4" w:space="0" w:color="000000"/>
            </w:tcBorders>
            <w:shd w:val="clear" w:color="auto" w:fill="FFFFFF"/>
          </w:tcPr>
          <w:p w14:paraId="234B0DF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Finanțelor</w:t>
            </w:r>
          </w:p>
          <w:p w14:paraId="1164571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(14-05/206 din 5 mai 2026)</w:t>
            </w:r>
          </w:p>
        </w:tc>
        <w:tc>
          <w:tcPr>
            <w:tcW w:w="590" w:type="dxa"/>
            <w:tcBorders>
              <w:top w:val="single" w:sz="4" w:space="0" w:color="000000"/>
            </w:tcBorders>
            <w:shd w:val="clear" w:color="auto" w:fill="FFFFFF"/>
          </w:tcPr>
          <w:p w14:paraId="516CC47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w:t>
            </w:r>
          </w:p>
        </w:tc>
        <w:tc>
          <w:tcPr>
            <w:tcW w:w="6122" w:type="dxa"/>
            <w:tcBorders>
              <w:top w:val="single" w:sz="4" w:space="0" w:color="000000"/>
              <w:right w:val="single" w:sz="4" w:space="0" w:color="000000"/>
            </w:tcBorders>
            <w:shd w:val="clear" w:color="auto" w:fill="FFFFFF"/>
          </w:tcPr>
          <w:p w14:paraId="54BA309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articolul II din proiect.</w:t>
            </w:r>
          </w:p>
          <w:p w14:paraId="05E8155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pct.1 prin care se propune ajustarea art.697 alin.(1) în scopul încadrării persoanelor fizice care practică comerț electronic în lista subiecților impunerii conform capitolului 102 din Codul fiscal nr.1163/1997, comunicăm despre susținerea propunerii menționate.</w:t>
            </w:r>
          </w:p>
          <w:p w14:paraId="33883CD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Suplimentar, evidențiem că persoanele respective rămân obligați să utilizeze echipamentul de casă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 control conectat la Sistemul </w:t>
            </w:r>
            <w:proofErr w:type="spellStart"/>
            <w:r>
              <w:rPr>
                <w:rFonts w:ascii="Times New Roman" w:eastAsia="Times New Roman" w:hAnsi="Times New Roman" w:cs="Times New Roman"/>
                <w:sz w:val="24"/>
                <w:szCs w:val="24"/>
              </w:rPr>
              <w:t>informaţional</w:t>
            </w:r>
            <w:proofErr w:type="spellEnd"/>
            <w:r>
              <w:rPr>
                <w:rFonts w:ascii="Times New Roman" w:eastAsia="Times New Roman" w:hAnsi="Times New Roman" w:cs="Times New Roman"/>
                <w:sz w:val="24"/>
                <w:szCs w:val="24"/>
              </w:rPr>
              <w:t xml:space="preserve"> automatizat ,,Monitorizarea electronică a vânzărilor" pentru documentarea comercializării bunurilor, inclusiv online.</w:t>
            </w:r>
          </w:p>
          <w:p w14:paraId="0C92FCD2"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7DF9A94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 luat act</w:t>
            </w:r>
          </w:p>
        </w:tc>
      </w:tr>
      <w:tr w:rsidR="00B9643D" w14:paraId="5FBA7AC5" w14:textId="77777777" w:rsidTr="00CA3607">
        <w:tc>
          <w:tcPr>
            <w:tcW w:w="587" w:type="dxa"/>
            <w:shd w:val="clear" w:color="auto" w:fill="FFFFFF"/>
          </w:tcPr>
          <w:p w14:paraId="67B7B4F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0DA55B3E"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1BAA1D4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p>
        </w:tc>
        <w:tc>
          <w:tcPr>
            <w:tcW w:w="6122" w:type="dxa"/>
            <w:tcBorders>
              <w:top w:val="single" w:sz="4" w:space="0" w:color="000000"/>
              <w:right w:val="single" w:sz="4" w:space="0" w:color="000000"/>
            </w:tcBorders>
            <w:shd w:val="clear" w:color="auto" w:fill="FFFFFF"/>
          </w:tcPr>
          <w:p w14:paraId="68314E9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pct.2 ce vizează ajustarea art.103 alin.(1) pct.13 din Codul fiscal, comunicăm despre susținerea propunerii date, având în vedere că aceasta are drept </w:t>
            </w:r>
            <w:proofErr w:type="spellStart"/>
            <w:r>
              <w:rPr>
                <w:rFonts w:ascii="Times New Roman" w:eastAsia="Times New Roman" w:hAnsi="Times New Roman" w:cs="Times New Roman"/>
                <w:sz w:val="24"/>
                <w:szCs w:val="24"/>
              </w:rPr>
              <w:t>scoр</w:t>
            </w:r>
            <w:proofErr w:type="spellEnd"/>
            <w:r>
              <w:rPr>
                <w:rFonts w:ascii="Times New Roman" w:eastAsia="Times New Roman" w:hAnsi="Times New Roman" w:cs="Times New Roman"/>
                <w:sz w:val="24"/>
                <w:szCs w:val="24"/>
              </w:rPr>
              <w:t xml:space="preserve"> armonizarea legislației naționale la Directiva 2006/112/CE a Consiliului din 28 noiembrie 2006 privind sistemul comun al taxei pe valoarea adăugată.</w:t>
            </w:r>
          </w:p>
          <w:p w14:paraId="46A18426"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3D57789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 luat act</w:t>
            </w:r>
          </w:p>
        </w:tc>
      </w:tr>
      <w:tr w:rsidR="00B9643D" w14:paraId="2A17108C" w14:textId="77777777" w:rsidTr="00CA3607">
        <w:tc>
          <w:tcPr>
            <w:tcW w:w="587" w:type="dxa"/>
            <w:shd w:val="clear" w:color="auto" w:fill="FFFFFF"/>
          </w:tcPr>
          <w:p w14:paraId="1004B4B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1F952EC4"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392FD2B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c>
          <w:tcPr>
            <w:tcW w:w="6122" w:type="dxa"/>
            <w:tcBorders>
              <w:top w:val="single" w:sz="4" w:space="0" w:color="000000"/>
              <w:right w:val="single" w:sz="4" w:space="0" w:color="000000"/>
            </w:tcBorders>
            <w:shd w:val="clear" w:color="auto" w:fill="FFFFFF"/>
          </w:tcPr>
          <w:p w14:paraId="7AB3BB8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pct.3 prin care se propune completarea art.291 alin.(1) </w:t>
            </w:r>
            <w:proofErr w:type="spellStart"/>
            <w:r>
              <w:rPr>
                <w:rFonts w:ascii="Times New Roman" w:eastAsia="Times New Roman" w:hAnsi="Times New Roman" w:cs="Times New Roman"/>
                <w:sz w:val="24"/>
                <w:szCs w:val="24"/>
              </w:rPr>
              <w:t>lit.e</w:t>
            </w:r>
            <w:proofErr w:type="spellEnd"/>
            <w:r>
              <w:rPr>
                <w:rFonts w:ascii="Times New Roman" w:eastAsia="Times New Roman" w:hAnsi="Times New Roman" w:cs="Times New Roman"/>
                <w:sz w:val="24"/>
                <w:szCs w:val="24"/>
              </w:rPr>
              <w:t>) din Codul fiscal, solicităm excluderea acesteia, luând în considerare următoarele argumente.</w:t>
            </w:r>
          </w:p>
          <w:p w14:paraId="5C2F00D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Cadrul normativ în vigoare tratează activitatea de comerț cu amănuntul, inclusiv cea </w:t>
            </w:r>
            <w:proofErr w:type="spellStart"/>
            <w:r>
              <w:rPr>
                <w:rFonts w:ascii="Times New Roman" w:eastAsia="Times New Roman" w:hAnsi="Times New Roman" w:cs="Times New Roman"/>
                <w:sz w:val="24"/>
                <w:szCs w:val="24"/>
              </w:rPr>
              <w:t>desfăşurată</w:t>
            </w:r>
            <w:proofErr w:type="spellEnd"/>
            <w:r>
              <w:rPr>
                <w:rFonts w:ascii="Times New Roman" w:eastAsia="Times New Roman" w:hAnsi="Times New Roman" w:cs="Times New Roman"/>
                <w:sz w:val="24"/>
                <w:szCs w:val="24"/>
              </w:rPr>
              <w:t xml:space="preserve"> prin intermediul internetului sau al caselor de comenzi, ca formă de activitate comercială organizată, încadrată în noțiunea de unitate comercială. Totodată, taxa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reprezintă o taxă locală aplicabilă activităților economice </w:t>
            </w:r>
            <w:proofErr w:type="spellStart"/>
            <w:r>
              <w:rPr>
                <w:rFonts w:ascii="Times New Roman" w:eastAsia="Times New Roman" w:hAnsi="Times New Roman" w:cs="Times New Roman"/>
                <w:sz w:val="24"/>
                <w:szCs w:val="24"/>
              </w:rPr>
              <w:t>desfăşurate</w:t>
            </w:r>
            <w:proofErr w:type="spellEnd"/>
            <w:r>
              <w:rPr>
                <w:rFonts w:ascii="Times New Roman" w:eastAsia="Times New Roman" w:hAnsi="Times New Roman" w:cs="Times New Roman"/>
                <w:sz w:val="24"/>
                <w:szCs w:val="24"/>
              </w:rPr>
              <w:t xml:space="preserve"> în cadrul acestor unități, astfel cum sunt definite de legislația în vigoare, în conformitate cu nomenclatorul unităților comerciale prevăzut în anexa nr. 5 la Legea nr. 231/2010 cu privire la comerțul interior. </w:t>
            </w:r>
          </w:p>
          <w:p w14:paraId="1240123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comerțul cu amănuntul realizat prin intermediul caselor de comenzi sau prin internet constituie o formă distinctă de activitate comercială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este recunoscut ca unitate comercială, indiferent de existența unei suprafețe comerciale fizice. Prin urmare, lipsa unei suprafețe comerciale nu reprezintă un criteriu relevant pentru excluderea de la aplicarea taxei, în condițiile în care activitatea economică este </w:t>
            </w:r>
            <w:proofErr w:type="spellStart"/>
            <w:r>
              <w:rPr>
                <w:rFonts w:ascii="Times New Roman" w:eastAsia="Times New Roman" w:hAnsi="Times New Roman" w:cs="Times New Roman"/>
                <w:sz w:val="24"/>
                <w:szCs w:val="24"/>
              </w:rPr>
              <w:t>desfăşurată</w:t>
            </w:r>
            <w:proofErr w:type="spellEnd"/>
            <w:r>
              <w:rPr>
                <w:rFonts w:ascii="Times New Roman" w:eastAsia="Times New Roman" w:hAnsi="Times New Roman" w:cs="Times New Roman"/>
                <w:sz w:val="24"/>
                <w:szCs w:val="24"/>
              </w:rPr>
              <w:t xml:space="preserve"> efectiv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generează venituri în condiții comparabile cu alte forme de comerț.</w:t>
            </w:r>
          </w:p>
          <w:p w14:paraId="3F08C21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Instituirea unei scutiri pentru această categorie de contribuabili ar conduce la un tratament fiscal diferențiat pentru activități economice similare, desfășurate prin canale diferite, afectând principiile neutralității și echității fiscale, prin crearea unui avantaj nejustificat pentru o anumită categorie de contribuabili în detrimentul altora aflați în situații comparabile, cu potențial de generare a unor distorsiuni concurențiale.</w:t>
            </w:r>
          </w:p>
          <w:p w14:paraId="4E09F57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taxa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constituie venit propriu al bugetelor locale, iar extinderea sferei scutirilor, în lipsa unei fundamentări </w:t>
            </w:r>
            <w:proofErr w:type="spellStart"/>
            <w:r>
              <w:rPr>
                <w:rFonts w:ascii="Times New Roman" w:eastAsia="Times New Roman" w:hAnsi="Times New Roman" w:cs="Times New Roman"/>
                <w:sz w:val="24"/>
                <w:szCs w:val="24"/>
              </w:rPr>
              <w:t>economico</w:t>
            </w:r>
            <w:proofErr w:type="spellEnd"/>
            <w:r>
              <w:rPr>
                <w:rFonts w:ascii="Times New Roman" w:eastAsia="Times New Roman" w:hAnsi="Times New Roman" w:cs="Times New Roman"/>
                <w:sz w:val="24"/>
                <w:szCs w:val="24"/>
              </w:rPr>
              <w:t xml:space="preserve">-financiare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 identificării surselor de compensare, ar putea avea un impact negativ asupra veniturilor acestora, contrar prevederilor art. 131 alin. (6) din Constituție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art. 27¹ alin. (5) din Legea nr. 100/2017 cu privire la actele normative.</w:t>
            </w:r>
          </w:p>
          <w:p w14:paraId="6F19E62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 asemenea, aplicarea unei astfel de scutiri ar putea genera dificultăți de administrare fiscală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riscuri de evitare a obligațiilor fiscale, inclusiv prin reorganizarea formală a activității economice în vederea încadrării în categoria exceptată, în special în cazul modelelor de afaceri mixte.</w:t>
            </w:r>
          </w:p>
          <w:p w14:paraId="4F9EB0B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potrivit art. 289 alin. (3) din Codul fiscal, taxele locale enumerate la alin. (2) se aplică de către autoritățile administrației publice locale. În </w:t>
            </w:r>
            <w:proofErr w:type="spellStart"/>
            <w:r>
              <w:rPr>
                <w:rFonts w:ascii="Times New Roman" w:eastAsia="Times New Roman" w:hAnsi="Times New Roman" w:cs="Times New Roman"/>
                <w:sz w:val="24"/>
                <w:szCs w:val="24"/>
              </w:rPr>
              <w:t>acelaşi</w:t>
            </w:r>
            <w:proofErr w:type="spellEnd"/>
            <w:r>
              <w:rPr>
                <w:rFonts w:ascii="Times New Roman" w:eastAsia="Times New Roman" w:hAnsi="Times New Roman" w:cs="Times New Roman"/>
                <w:sz w:val="24"/>
                <w:szCs w:val="24"/>
              </w:rPr>
              <w:t xml:space="preserve"> sens, art. 296 din Codul fiscal prevede că autoritatea administrației publice locale, cu efectuarea modificărilor corespunzătoare în bugetul local, poate acorda scutiri suplimentare față de cele prevăzute la art. 295, amânări la plată sau înlesniri pentru anumite categorii de contribuabili.</w:t>
            </w:r>
          </w:p>
          <w:p w14:paraId="15EF55B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aceste condiții, oportunitatea acordării unor eventuale scutiri pentru anumite categorii de activități urmează a fi apreciată la nivelul autorităților administrației publice locale, în funcție de specificul economic local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 prioritățile bugetare,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nu stabilită prin norme cu aplicabilitate generală la nivel național.</w:t>
            </w:r>
          </w:p>
          <w:p w14:paraId="19B9495F" w14:textId="77777777" w:rsidR="00B9643D" w:rsidRDefault="00000000" w:rsidP="002E1162">
            <w:pPr>
              <w:ind w:firstLine="37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Intervenţia</w:t>
            </w:r>
            <w:proofErr w:type="spellEnd"/>
            <w:r>
              <w:rPr>
                <w:rFonts w:ascii="Times New Roman" w:eastAsia="Times New Roman" w:hAnsi="Times New Roman" w:cs="Times New Roman"/>
                <w:sz w:val="24"/>
                <w:szCs w:val="24"/>
              </w:rPr>
              <w:t xml:space="preserve"> propusă nu este aliniată cadrului conceptual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mecanismelor de funcționare ale sistemului taxelor locale, care sunt orientate spre asigurarea unei baze fiscale echitabile, previzibile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uşor</w:t>
            </w:r>
            <w:proofErr w:type="spellEnd"/>
            <w:r>
              <w:rPr>
                <w:rFonts w:ascii="Times New Roman" w:eastAsia="Times New Roman" w:hAnsi="Times New Roman" w:cs="Times New Roman"/>
                <w:sz w:val="24"/>
                <w:szCs w:val="24"/>
              </w:rPr>
              <w:t xml:space="preserve"> de administrat.</w:t>
            </w:r>
          </w:p>
          <w:p w14:paraId="744071D6"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675C250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r>
              <w:rPr>
                <w:rFonts w:ascii="Times New Roman" w:eastAsia="Times New Roman" w:hAnsi="Times New Roman" w:cs="Times New Roman"/>
                <w:sz w:val="24"/>
                <w:szCs w:val="24"/>
              </w:rPr>
              <w:t xml:space="preserve"> Totodată, ținând cont de necesitatea unei evaluări integrate a impactului fiscal-bugetar și de corelarea cu regulile aplicabile în materia ajutorului de </w:t>
            </w:r>
            <w:r>
              <w:rPr>
                <w:rFonts w:ascii="Times New Roman" w:eastAsia="Times New Roman" w:hAnsi="Times New Roman" w:cs="Times New Roman"/>
                <w:sz w:val="24"/>
                <w:szCs w:val="24"/>
              </w:rPr>
              <w:lastRenderedPageBreak/>
              <w:t xml:space="preserve">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propunerile din proiectul de lege ce țin de modificarea Codului fiscal se transferă spre preluare și examinare în cadrul exercițiului de modificare a politicii bugetar-fiscale, coordonat de Ministerul Finanțelor, potrivit competenței acestuia.</w:t>
            </w:r>
            <w:r>
              <w:rPr>
                <w:rFonts w:ascii="Times New Roman" w:eastAsia="Times New Roman" w:hAnsi="Times New Roman" w:cs="Times New Roman"/>
                <w:b/>
                <w:bCs/>
                <w:sz w:val="24"/>
                <w:szCs w:val="24"/>
              </w:rPr>
              <w:t xml:space="preserve"> </w:t>
            </w:r>
          </w:p>
          <w:p w14:paraId="5504D11C" w14:textId="77777777" w:rsidR="00B9643D" w:rsidRDefault="00B9643D" w:rsidP="002E1162">
            <w:pPr>
              <w:jc w:val="both"/>
              <w:rPr>
                <w:rFonts w:ascii="Times New Roman" w:eastAsia="Times New Roman" w:hAnsi="Times New Roman" w:cs="Times New Roman"/>
                <w:b/>
                <w:bCs/>
                <w:sz w:val="24"/>
                <w:szCs w:val="24"/>
              </w:rPr>
            </w:pPr>
          </w:p>
          <w:p w14:paraId="34D7040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Măsura data este privită ca o investiție strategică și un stimulent pentru comercianți să-și consolideze prezența online, subsecvent - conformare fiscală și descurajare a activității economice informale prin taxe mai mici. Industria virtuală este cel mai mare inamic al concurenței neloiale din Moldova.</w:t>
            </w:r>
          </w:p>
          <w:p w14:paraId="37C246C0" w14:textId="77777777" w:rsidR="00B9643D" w:rsidRDefault="00B9643D" w:rsidP="002E1162">
            <w:pPr>
              <w:jc w:val="both"/>
              <w:rPr>
                <w:rFonts w:ascii="Times New Roman" w:eastAsia="Times New Roman" w:hAnsi="Times New Roman" w:cs="Times New Roman"/>
                <w:sz w:val="24"/>
                <w:szCs w:val="24"/>
              </w:rPr>
            </w:pPr>
          </w:p>
          <w:p w14:paraId="3321152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Taxa pentru unitățile comerciale și/sau de prestări servicii nu este o taxă pe venit și nici o taxă pe activitate economică în general. Prin natura și logica sa, ea este o taxă pe utilizarea infrastructurii locale - căi de acces, salubrizare, iluminat public, spații publice adiacente. Un magazin fizic utilizează efectiv această infrastructură: generează trafic pietonal și auto, ocupă sau utilizează spațiul public adiacent, pune presiune pe serviciile de salubritate locale. Un operator de comerț electronic care nu deține nicio suprafață comercială deschisă publicului pe teritoriul unității administrativ-teritoriale nu generează nici una dintre aceste sarcini asupra infrastructurii locale.</w:t>
            </w:r>
          </w:p>
          <w:p w14:paraId="17357E7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urmare, tratamentul fiscal diferențiat propus nu încalcă neutralitatea fiscală - dimpotrivă, o restabilește. Neutralitatea fiscală presupune că situații diferite sunt tratate diferit, nu că situații structural diferite </w:t>
            </w:r>
            <w:r>
              <w:rPr>
                <w:rFonts w:ascii="Times New Roman" w:eastAsia="Times New Roman" w:hAnsi="Times New Roman" w:cs="Times New Roman"/>
                <w:sz w:val="24"/>
                <w:szCs w:val="24"/>
              </w:rPr>
              <w:lastRenderedPageBreak/>
              <w:t xml:space="preserve">sunt forțate în același regim fiscal. A aplica aceeași taxă locală unui magazin fizic de pe strada principală și unui antreprenor care vinde online dintr-un apartament, fără nicio prezență fizică deschisă publicului, reprezintă ea însăși o încălcare a principiului echității fiscale, cu atât mai mult că autoritățile locale nu taxează platformele de comerț internațional, cum ar fi Amazon, Temu sau </w:t>
            </w:r>
            <w:proofErr w:type="spellStart"/>
            <w:r>
              <w:rPr>
                <w:rFonts w:ascii="Times New Roman" w:eastAsia="Times New Roman" w:hAnsi="Times New Roman" w:cs="Times New Roman"/>
                <w:sz w:val="24"/>
                <w:szCs w:val="24"/>
              </w:rPr>
              <w:t>AliExpress</w:t>
            </w:r>
            <w:proofErr w:type="spellEnd"/>
            <w:r>
              <w:rPr>
                <w:rFonts w:ascii="Times New Roman" w:eastAsia="Times New Roman" w:hAnsi="Times New Roman" w:cs="Times New Roman"/>
                <w:sz w:val="24"/>
                <w:szCs w:val="24"/>
              </w:rPr>
              <w:t xml:space="preserve">. O afaceri online locală nu lasă amprentă pe infrastructura locală, dar comunitatea va beneficia ulterior prin beneficii indirecte, dacă antreprenorul va reuși să-și consolideze afacerea.  </w:t>
            </w:r>
          </w:p>
          <w:p w14:paraId="7A417A6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Într-o țară care are nevoie de capital uman și inovație, taxa locală este încă o barieră de intrare excesivă pentru antreprenori. Eliminarea ei la această etapă ar reduce costurile fixe de operare (OPEX), permițând micilor afaceri să reinvestească profitul în marketing și tehnologie, nu în birocrație locală. Pe de altă parte, într-o economie globalizată, un magazin online din Chișinău concurează cu platforme gigant care nu plătesc taxe locale în Moldova. Taxarea excesivă a „virtualului” autohton este un handicap competitiv autoimpus.</w:t>
            </w:r>
          </w:p>
          <w:p w14:paraId="3D011C0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Problema identificată nu este una de oportunitate locală, ci una de claritate normativă națională. Absența unei norme exprese la nivel de Cod fiscal a generat o practică neuniformă și impredictibilă la nivelul APL: unele consilii locale aplică taxa magazinelor online (Chișinău, Budești), altele nu, iar în absența unui criteriu legal clar, contribuabilii nu știu ce obligații le revin. Această incertitudine juridică </w:t>
            </w:r>
            <w:r>
              <w:rPr>
                <w:rFonts w:ascii="Times New Roman" w:eastAsia="Times New Roman" w:hAnsi="Times New Roman" w:cs="Times New Roman"/>
                <w:sz w:val="24"/>
                <w:szCs w:val="24"/>
              </w:rPr>
              <w:lastRenderedPageBreak/>
              <w:t>afectează mediul de afaceri indiferent de APL în care operează și nu poate fi soluționată prin decizii locale disparate. Intervenția la nivel de Cod fiscal nu acordă o scutire de oportunitate locală — ea clarifică sfera de aplicare a noțiunii de „unitate comercială" pentru scopul acestei taxe, excluzând explicit activitățile fără prezența fizică. APL-urile rămân libere să acorde scutiri suplimentare în temeiul art. 296, dar nu mai pot aplica taxa acolo unde legea națională o exclude.</w:t>
            </w:r>
          </w:p>
          <w:p w14:paraId="6E9D205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Autorul avizului semnalează de asemenea riscul reorganizării formale a activității pentru a se încadra în categoria exceptată. Considerăm că acest risc este gestionabil și că norma propusă conține deja elementul-cheie de prevenire a abuzului: scutirea se aplică exclusiv operatorilor care nu dețin suprafețe comerciale fizice deschise publicului pe teritoriul APL. Un operator cu magazin fizic care desfășoară și activitate online nu va putea beneficia de scutire pentru activitatea sa în ansamblu — taxa rămâne aplicabilă în raport cu spațiul fizic deținut. Modelele mixte nu sunt excluse de la taxă; sunt excluse exclusiv activitățile fără nicio prezență fizică comercială. Administrarea acestui criteriu este simplă și verificabilă prin registrul notificărilor în comerț și prin inspecțiile existente.</w:t>
            </w:r>
          </w:p>
          <w:p w14:paraId="1CEDB339" w14:textId="77777777" w:rsidR="00B9643D" w:rsidRDefault="00B9643D" w:rsidP="002E1162">
            <w:pPr>
              <w:jc w:val="both"/>
              <w:rPr>
                <w:rFonts w:ascii="Times New Roman" w:eastAsia="Times New Roman" w:hAnsi="Times New Roman" w:cs="Times New Roman"/>
                <w:sz w:val="24"/>
                <w:szCs w:val="24"/>
              </w:rPr>
            </w:pPr>
          </w:p>
          <w:p w14:paraId="6601457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Autorul susține în continuare, pe fond, propunerile formulate la Art. II din proiect, apreciind că acestea răspund unor necesități reale ale mediului de afaceri din sectorul comerțului electronic: încadrarea </w:t>
            </w:r>
            <w:r>
              <w:rPr>
                <w:rFonts w:ascii="Times New Roman" w:eastAsia="Times New Roman" w:hAnsi="Times New Roman" w:cs="Times New Roman"/>
                <w:sz w:val="24"/>
                <w:szCs w:val="24"/>
              </w:rPr>
              <w:lastRenderedPageBreak/>
              <w:t>persoanelor fizice care desfășoară comerț electronic în regimul de impunere prevăzut la capitolul 10² din Codul fiscal (art. 69⁷ alin. (1)), armonizarea regimului scutirii de TVA pentru serviciile poștale universale cu Directiva 2006/112/CE a Consiliului (art. 103 alin. (1) pct. 13) și eliminarea aplicării taxei pentru unitățile comerciale și/sau de prestări servicii în cazul operatorilor de comerț electronic care nu dispun de suprafață comercială (art. 291 alin. (1) lit. e)). Autorul reține, în acest sens, că Ministerul Finanțelor a comunicat susținerea propunerilor de la pct. 1 și 2, iar Centrul de Armonizare a Legislației nu a identificat probleme de compatibilitate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Uniunii Europene.</w:t>
            </w:r>
          </w:p>
          <w:p w14:paraId="59D36D3A" w14:textId="77777777" w:rsidR="00B9643D" w:rsidRDefault="00B9643D" w:rsidP="002E1162">
            <w:pPr>
              <w:jc w:val="both"/>
              <w:rPr>
                <w:rFonts w:ascii="Times New Roman" w:eastAsia="Times New Roman" w:hAnsi="Times New Roman" w:cs="Times New Roman"/>
                <w:sz w:val="24"/>
                <w:szCs w:val="24"/>
              </w:rPr>
            </w:pPr>
          </w:p>
          <w:p w14:paraId="1F12395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prevederile Art. II se retrag din proiectul de lege nr. 629/MDED/2026 și se transmit Ministerului Finanțelor, urmând a fi promovate pe platforma acestuia, în cadrul exercițiului amplu de modificare a politicii bugetar-fiscale, împreună cu argumentarea aferentă și cu estimările de impact. Autorul își exprimă disponibilitatea de a participa la definitivarea acestora și de a susține propunerile în cadrul consultărilor organizate de Ministerul Finanțelor, cu implicarea Serviciului Fiscal de Stat, a autorităților administrației publice locale și a comunității de afaceri din domeniul comerțului electronic.</w:t>
            </w:r>
          </w:p>
          <w:p w14:paraId="192E8E55" w14:textId="77777777" w:rsidR="00B9643D" w:rsidRDefault="00B9643D" w:rsidP="002E1162">
            <w:pPr>
              <w:jc w:val="both"/>
              <w:rPr>
                <w:rFonts w:ascii="Times New Roman" w:eastAsia="Times New Roman" w:hAnsi="Times New Roman" w:cs="Times New Roman"/>
                <w:sz w:val="24"/>
                <w:szCs w:val="24"/>
              </w:rPr>
            </w:pPr>
          </w:p>
        </w:tc>
      </w:tr>
      <w:tr w:rsidR="00B9643D" w14:paraId="099DA56B" w14:textId="77777777" w:rsidTr="00CA3607">
        <w:tc>
          <w:tcPr>
            <w:tcW w:w="587" w:type="dxa"/>
            <w:shd w:val="clear" w:color="auto" w:fill="FFFFFF"/>
          </w:tcPr>
          <w:p w14:paraId="51E2912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7BE6FA73"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67230EF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p>
        </w:tc>
        <w:tc>
          <w:tcPr>
            <w:tcW w:w="6122" w:type="dxa"/>
            <w:tcBorders>
              <w:top w:val="single" w:sz="4" w:space="0" w:color="000000"/>
              <w:right w:val="single" w:sz="4" w:space="0" w:color="000000"/>
            </w:tcBorders>
            <w:shd w:val="clear" w:color="auto" w:fill="FFFFFF"/>
          </w:tcPr>
          <w:p w14:paraId="4701862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articolul IV din proiect, urmează a fi ajustat anul de adoptare a Legii ce se propune spre modificare. În această ordine de idei, atragem atenția asupra prevederilor art. 63 din </w:t>
            </w:r>
            <w:r>
              <w:rPr>
                <w:rFonts w:ascii="Times New Roman" w:eastAsia="Times New Roman" w:hAnsi="Times New Roman" w:cs="Times New Roman"/>
                <w:sz w:val="24"/>
                <w:szCs w:val="24"/>
              </w:rPr>
              <w:lastRenderedPageBreak/>
              <w:t>Legea nr. 100/2017 cu privire la actele normative, care stabilesc că modificările operate printr-un proiect de act normativ, la alte acte normative, se includ în ordine cronologică. Respectiv, ordinea legilor ce se propun spre modificare urmează a fi revăzută.</w:t>
            </w:r>
          </w:p>
          <w:p w14:paraId="20853687"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3189AC2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5EB5A81A" w14:textId="77777777" w:rsidTr="00CA3607">
        <w:tc>
          <w:tcPr>
            <w:tcW w:w="587" w:type="dxa"/>
            <w:shd w:val="clear" w:color="auto" w:fill="FFFFFF"/>
          </w:tcPr>
          <w:p w14:paraId="7FDFA02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tcBorders>
              <w:bottom w:val="single" w:sz="4" w:space="0" w:color="000000"/>
            </w:tcBorders>
            <w:shd w:val="clear" w:color="auto" w:fill="FFFFFF"/>
          </w:tcPr>
          <w:p w14:paraId="411017C4"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tcBorders>
            <w:shd w:val="clear" w:color="auto" w:fill="FFFFFF"/>
          </w:tcPr>
          <w:p w14:paraId="216C902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27</w:t>
            </w:r>
          </w:p>
        </w:tc>
        <w:tc>
          <w:tcPr>
            <w:tcW w:w="6122" w:type="dxa"/>
            <w:tcBorders>
              <w:top w:val="single" w:sz="4" w:space="0" w:color="000000"/>
              <w:right w:val="single" w:sz="4" w:space="0" w:color="000000"/>
            </w:tcBorders>
            <w:shd w:val="clear" w:color="auto" w:fill="FFFFFF"/>
          </w:tcPr>
          <w:p w14:paraId="5CE2C26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privire la articolul V din proiect, atragem atenția asupra faptului că la momentul actual, Ministerul Finanțelor, de comun cu Banca Națională a Moldovei, este în proces de promovare a 2 proiecte de legi, menite să liberalizeze treptat restricțiile aferente fluxului de operațiuni valutare, și anume:</w:t>
            </w:r>
          </w:p>
          <w:p w14:paraId="0248663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proiect de Lege pentru modificarea Legii nr.62/2008 privind reglementarea valutară (liberalizarea parțială) (nr. unic 171/MF/BNM/2026);</w:t>
            </w:r>
          </w:p>
          <w:p w14:paraId="2E856D4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proiect de Lege pentru modificarea unor acte normative (liberalizarea totală a operațiunilor valutare) (nr. unic 259/MF/BNM/2026).</w:t>
            </w:r>
          </w:p>
          <w:p w14:paraId="6C81A6C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Proiectele prenotate prevăd creșterea graduală (până la data aderării) a plafonului de autorizare de către Banca Națională a Moldovei a operațiunilor valutare, precum și substituirea regimului de autorizare a unor operațiuni valutare, cu regimul de notificare. În acest context, propunerile de modificare a Legii nr.62/2008 urmează a fi excluse din proiectul dat.</w:t>
            </w:r>
          </w:p>
          <w:p w14:paraId="4FBDD97E" w14:textId="77777777" w:rsidR="002E1162" w:rsidRDefault="002E1162"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right w:val="single" w:sz="4" w:space="0" w:color="000000"/>
            </w:tcBorders>
            <w:shd w:val="clear" w:color="auto" w:fill="FFFFFF"/>
          </w:tcPr>
          <w:p w14:paraId="414D970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retras</w:t>
            </w:r>
          </w:p>
          <w:p w14:paraId="58A8DD95" w14:textId="77777777" w:rsidR="00B9643D" w:rsidRDefault="00B9643D" w:rsidP="002E1162">
            <w:pPr>
              <w:jc w:val="both"/>
              <w:rPr>
                <w:rFonts w:ascii="Times New Roman" w:eastAsia="Times New Roman" w:hAnsi="Times New Roman" w:cs="Times New Roman"/>
                <w:b/>
                <w:bCs/>
                <w:sz w:val="24"/>
                <w:szCs w:val="24"/>
              </w:rPr>
            </w:pPr>
          </w:p>
          <w:p w14:paraId="614993B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Propunerile înaintate de MF/BNM sunt salutabile, iar propunerile autorului la Legea 62/2008 au fost retrase</w:t>
            </w:r>
          </w:p>
        </w:tc>
      </w:tr>
      <w:tr w:rsidR="00B9643D" w14:paraId="2176BF1A" w14:textId="77777777" w:rsidTr="00CA3607">
        <w:tc>
          <w:tcPr>
            <w:tcW w:w="587" w:type="dxa"/>
            <w:shd w:val="clear" w:color="auto" w:fill="FFFFFF"/>
          </w:tcPr>
          <w:p w14:paraId="79FEE39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688" w:type="dxa"/>
            <w:shd w:val="clear" w:color="auto" w:fill="FFFFFF"/>
          </w:tcPr>
          <w:p w14:paraId="426E9C4E" w14:textId="77777777" w:rsidR="00B9643D" w:rsidRDefault="00B9643D" w:rsidP="002E1162">
            <w:pPr>
              <w:jc w:val="both"/>
              <w:rPr>
                <w:rFonts w:ascii="Times New Roman" w:eastAsia="Times New Roman" w:hAnsi="Times New Roman" w:cs="Times New Roman"/>
                <w:b/>
                <w:bCs/>
                <w:sz w:val="24"/>
                <w:szCs w:val="24"/>
              </w:rPr>
            </w:pPr>
          </w:p>
        </w:tc>
        <w:tc>
          <w:tcPr>
            <w:tcW w:w="590" w:type="dxa"/>
            <w:tcBorders>
              <w:top w:val="single" w:sz="4" w:space="0" w:color="000000"/>
              <w:bottom w:val="single" w:sz="4" w:space="0" w:color="000000"/>
            </w:tcBorders>
            <w:shd w:val="clear" w:color="auto" w:fill="FFFFFF"/>
          </w:tcPr>
          <w:p w14:paraId="286F44D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6122" w:type="dxa"/>
            <w:tcBorders>
              <w:top w:val="single" w:sz="4" w:space="0" w:color="000000"/>
              <w:bottom w:val="single" w:sz="4" w:space="0" w:color="000000"/>
              <w:right w:val="single" w:sz="4" w:space="0" w:color="000000"/>
            </w:tcBorders>
            <w:shd w:val="clear" w:color="auto" w:fill="FFFFFF"/>
          </w:tcPr>
          <w:p w14:paraId="4FB194A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partea ce ține de art. VI din proiect privind completarea Legii nr. 114/2012 cu privire la serviciile de plată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moneda electronică cu prevederi privind regimul de autorizare și de activitate al societăților de plată mici, remarcăm că acestea necesită o analiză de fundamentare corespunzătoare.</w:t>
            </w:r>
          </w:p>
          <w:p w14:paraId="6AA161C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menționăm că, deși art.32 din Directiva (UE) 2015/2366 privind serviciile de plată în cadrul pieței interne, de modificare a Directivelor 2002/65/CE, 2009/110/CE și 2013/36/UE și a Regulamentului (UE) nr. 1093/2010, și de abrogare a Directivei 2007/64/CE, prevede posibilitatea stabilirii de către unele state membre a unor condiții simplificate de activitate pentru unele tipuri de </w:t>
            </w:r>
            <w:r>
              <w:rPr>
                <w:rFonts w:ascii="Times New Roman" w:eastAsia="Times New Roman" w:hAnsi="Times New Roman" w:cs="Times New Roman"/>
                <w:sz w:val="24"/>
                <w:szCs w:val="24"/>
              </w:rPr>
              <w:lastRenderedPageBreak/>
              <w:t>prestatori de servicii de plată, acestea necesită a fi stabilite reieșind din specificul și contextul național: dimensiunea pieței serviciilor de plată, volumul plăților, eventualele riscuri etc.</w:t>
            </w:r>
          </w:p>
          <w:p w14:paraId="4C30DA3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lipsa unei analize a pieței serviciilor de plată la nivel național și a unui eventual impact al modificărilor propuse, Ministerul Finanțelor se află în imposibilitate de a susține prevederile art. VI din proiect.</w:t>
            </w:r>
          </w:p>
          <w:p w14:paraId="093088C3" w14:textId="77777777" w:rsidR="00B9643D" w:rsidRDefault="00B9643D" w:rsidP="002E1162">
            <w:pPr>
              <w:ind w:firstLine="378"/>
              <w:jc w:val="both"/>
              <w:rPr>
                <w:rFonts w:ascii="Times New Roman" w:eastAsia="Times New Roman" w:hAnsi="Times New Roman" w:cs="Times New Roman"/>
                <w:sz w:val="24"/>
                <w:szCs w:val="24"/>
              </w:rPr>
            </w:pPr>
          </w:p>
        </w:tc>
        <w:tc>
          <w:tcPr>
            <w:tcW w:w="4479" w:type="dxa"/>
            <w:tcBorders>
              <w:top w:val="single" w:sz="4" w:space="0" w:color="000000"/>
              <w:bottom w:val="single" w:sz="4" w:space="0" w:color="000000"/>
              <w:right w:val="single" w:sz="4" w:space="0" w:color="000000"/>
            </w:tcBorders>
            <w:shd w:val="clear" w:color="auto" w:fill="FFFFFF"/>
          </w:tcPr>
          <w:p w14:paraId="25FB625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37F800EA" w14:textId="77777777" w:rsidR="00B9643D" w:rsidRDefault="00B9643D" w:rsidP="002E1162">
            <w:pPr>
              <w:jc w:val="both"/>
              <w:rPr>
                <w:rFonts w:ascii="Times New Roman" w:eastAsia="Times New Roman" w:hAnsi="Times New Roman" w:cs="Times New Roman"/>
                <w:sz w:val="24"/>
                <w:szCs w:val="24"/>
              </w:rPr>
            </w:pPr>
          </w:p>
          <w:p w14:paraId="4047E70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8.</w:t>
            </w:r>
          </w:p>
        </w:tc>
      </w:tr>
    </w:tbl>
    <w:p w14:paraId="638E0DD4" w14:textId="77777777" w:rsidR="00B9643D" w:rsidRDefault="00B9643D" w:rsidP="002E1162">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bl>
      <w:tblPr>
        <w:tblStyle w:val="a0"/>
        <w:tblW w:w="14466" w:type="dxa"/>
        <w:tblInd w:w="-31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9987"/>
        <w:gridCol w:w="4479"/>
      </w:tblGrid>
      <w:tr w:rsidR="00B9643D" w14:paraId="7C8667AB" w14:textId="77777777">
        <w:trPr>
          <w:trHeight w:val="473"/>
        </w:trPr>
        <w:tc>
          <w:tcPr>
            <w:tcW w:w="9987" w:type="dxa"/>
            <w:tcBorders>
              <w:top w:val="single" w:sz="12" w:space="0" w:color="000000"/>
              <w:bottom w:val="single" w:sz="12" w:space="0" w:color="000000"/>
            </w:tcBorders>
            <w:shd w:val="clear" w:color="auto" w:fill="8EAADB"/>
            <w:vAlign w:val="center"/>
          </w:tcPr>
          <w:p w14:paraId="5BB55F7F" w14:textId="77777777" w:rsidR="00B9643D" w:rsidRDefault="00000000" w:rsidP="002E116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Avizare I </w:t>
            </w:r>
          </w:p>
        </w:tc>
        <w:tc>
          <w:tcPr>
            <w:tcW w:w="4479" w:type="dxa"/>
            <w:tcBorders>
              <w:top w:val="single" w:sz="12" w:space="0" w:color="000000"/>
              <w:bottom w:val="single" w:sz="12" w:space="0" w:color="000000"/>
            </w:tcBorders>
            <w:shd w:val="clear" w:color="auto" w:fill="8EAADB"/>
            <w:vAlign w:val="center"/>
          </w:tcPr>
          <w:p w14:paraId="581D710A" w14:textId="77777777" w:rsidR="00B9643D" w:rsidRDefault="00B9643D" w:rsidP="002E1162">
            <w:pPr>
              <w:spacing w:after="0" w:line="240" w:lineRule="auto"/>
              <w:jc w:val="both"/>
              <w:rPr>
                <w:rFonts w:ascii="Times New Roman" w:eastAsia="Times New Roman" w:hAnsi="Times New Roman" w:cs="Times New Roman"/>
                <w:b/>
                <w:bCs/>
                <w:sz w:val="24"/>
                <w:szCs w:val="24"/>
              </w:rPr>
            </w:pPr>
          </w:p>
        </w:tc>
      </w:tr>
    </w:tbl>
    <w:p w14:paraId="4B43FF8F" w14:textId="77777777" w:rsidR="00B9643D" w:rsidRDefault="00B9643D" w:rsidP="002E1162">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bl>
      <w:tblPr>
        <w:tblStyle w:val="a1"/>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0"/>
        <w:gridCol w:w="2550"/>
        <w:gridCol w:w="720"/>
        <w:gridCol w:w="6075"/>
        <w:gridCol w:w="4530"/>
      </w:tblGrid>
      <w:tr w:rsidR="00B9643D" w14:paraId="6E4BF344" w14:textId="77777777" w:rsidTr="00CA3607">
        <w:tc>
          <w:tcPr>
            <w:tcW w:w="420" w:type="dxa"/>
            <w:shd w:val="clear" w:color="auto" w:fill="FFFFFF"/>
          </w:tcPr>
          <w:p w14:paraId="0AAFF54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B6186F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MMPS </w:t>
            </w:r>
          </w:p>
          <w:p w14:paraId="0782F02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 22/3525 din 29.06.2026</w:t>
            </w:r>
          </w:p>
        </w:tc>
        <w:tc>
          <w:tcPr>
            <w:tcW w:w="720" w:type="dxa"/>
            <w:tcBorders>
              <w:top w:val="single" w:sz="4" w:space="0" w:color="000000"/>
              <w:bottom w:val="single" w:sz="4" w:space="0" w:color="000000"/>
            </w:tcBorders>
            <w:shd w:val="clear" w:color="auto" w:fill="FFFFFF"/>
          </w:tcPr>
          <w:p w14:paraId="45447DE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29</w:t>
            </w:r>
          </w:p>
        </w:tc>
        <w:tc>
          <w:tcPr>
            <w:tcW w:w="6075" w:type="dxa"/>
            <w:tcBorders>
              <w:top w:val="single" w:sz="4" w:space="0" w:color="000000"/>
              <w:bottom w:val="single" w:sz="4" w:space="0" w:color="000000"/>
              <w:right w:val="single" w:sz="4" w:space="0" w:color="000000"/>
            </w:tcBorders>
            <w:shd w:val="clear" w:color="auto" w:fill="FFFFFF"/>
          </w:tcPr>
          <w:p w14:paraId="6FA00B4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Ministerul Muncii și Protecției Sociale a examinat demersul nr. DGPȘG-2242-18-69-1543 din 15 iunie 2026, referitor la examinarea și avizarea compatibilității proiectului de lege pentru modificarea unor acte normative (pentru promovarea economiei digitale și a comerțului electronic) (număr unic 629/MDED/2026), autor – Ministerul Dezvoltării Economice și Digitalizării, și, în conformitate cu competențele funcționale, comunică susținerea acestuia, cu următoarele propuneri. </w:t>
            </w:r>
          </w:p>
          <w:p w14:paraId="69DD40E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Articolul II punctul 2 din proiect expunerea în următoare redacție : „13) serviciile poștale universale prestate de furnizorul de servicii poștale universale, inclusiv distribuirea prestațiilor de asigurări sociale și a prestațiilor sociale”. </w:t>
            </w:r>
          </w:p>
          <w:p w14:paraId="68102BB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Formularea actuală utilizează noțiunile de „pensii, subvenții, indemnizații”, care reprezintă doar anumite categorii de plăți și pot fi interpretate ca o enumerare limitativă. În schimb, noțiunile de „prestații de asigurări sociale” și „prestații sociale” sunt consacrate în legislația din domeniul protecției sociale și au un caracter mai cuprinzător. </w:t>
            </w:r>
          </w:p>
          <w:p w14:paraId="4F6B16F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Astfel, utilizarea terminologiei generale asigură corelarea cu cadrul normativ din domeniul asigurărilor sociale și al asistenței sociale, evitând necesitatea modificării ulterioare a normei în cazul instituirii unor noi categorii de prestații. </w:t>
            </w:r>
          </w:p>
          <w:p w14:paraId="5A5C5CF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Totodată, noțiunea de „subvenții” nu este definită în proiect și poate genera interpretări neuniforme. În legislația națională, termenul este utilizat în diverse domenii (agricultură,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energetică, locuințe etc.), fără a avea în mod obligatoriu caracter de prestație socială. Menținerea acestuia poate crea incertitudine privind sfera beneficiarilor și serviciile vizate de normă. Or, este necesar a concretiza dacă unele subvenții sunt distribuite prin intermediul prestatorilor de servicii poștale universale. </w:t>
            </w:r>
          </w:p>
          <w:p w14:paraId="6AF6230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se constată că noțiunea de „servicii poștale universale” nu este definită în cuprinsul proiectului, nici în Legea nr. 36/2016 a comunicațiilor poștale, fapt care poate genera dificultăți de interpretare și aplicare uniformă a normei. În acest sens, se consideră oportună definirea expresă a acestei noțiuni sau instituirea unei trimiteri clare la cadrul normativ relevant în domeniu.</w:t>
            </w:r>
          </w:p>
          <w:p w14:paraId="24665C46"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5EEB14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31141EC7" w14:textId="77777777" w:rsidR="00B9643D" w:rsidRDefault="00B9643D" w:rsidP="002E1162">
            <w:pPr>
              <w:jc w:val="both"/>
              <w:rPr>
                <w:rFonts w:ascii="Times New Roman" w:eastAsia="Times New Roman" w:hAnsi="Times New Roman" w:cs="Times New Roman"/>
                <w:b/>
                <w:bCs/>
                <w:sz w:val="24"/>
                <w:szCs w:val="24"/>
              </w:rPr>
            </w:pPr>
          </w:p>
          <w:p w14:paraId="6BED894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acceptă varianta alternativă propusă de autorul avizului, respectiv instituirea unei trimiteri exprese la Legea comunicațiilor poștale nr. 36/2016.</w:t>
            </w:r>
          </w:p>
          <w:p w14:paraId="12B8C349" w14:textId="77777777" w:rsidR="00B9643D" w:rsidRDefault="00B9643D" w:rsidP="002E1162">
            <w:pPr>
              <w:jc w:val="both"/>
              <w:rPr>
                <w:rFonts w:ascii="Times New Roman" w:eastAsia="Times New Roman" w:hAnsi="Times New Roman" w:cs="Times New Roman"/>
                <w:sz w:val="24"/>
                <w:szCs w:val="24"/>
              </w:rPr>
            </w:pPr>
          </w:p>
          <w:p w14:paraId="5528947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propusă pentru proiect:</w:t>
            </w:r>
          </w:p>
          <w:p w14:paraId="10D4AE57" w14:textId="77777777" w:rsidR="00B9643D" w:rsidRDefault="00B9643D" w:rsidP="002E1162">
            <w:pPr>
              <w:jc w:val="both"/>
              <w:rPr>
                <w:rFonts w:ascii="Times New Roman" w:eastAsia="Times New Roman" w:hAnsi="Times New Roman" w:cs="Times New Roman"/>
                <w:sz w:val="24"/>
                <w:szCs w:val="24"/>
              </w:rPr>
            </w:pPr>
          </w:p>
          <w:p w14:paraId="4A3104E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serviciile poștale din sfera serviciului poștal universal, prestate de furnizorul de serviciu poștal universal desemnat în condițiile Legii comunicațiilor poștale nr. 36/2016, inclusiv distribuirea prestațiilor de asigurări sociale și a prestațiilor de asistență socială;"</w:t>
            </w:r>
          </w:p>
          <w:p w14:paraId="55965F85" w14:textId="77777777" w:rsidR="00B9643D" w:rsidRDefault="00B9643D" w:rsidP="002E1162">
            <w:pPr>
              <w:jc w:val="both"/>
              <w:rPr>
                <w:rFonts w:ascii="Times New Roman" w:eastAsia="Times New Roman" w:hAnsi="Times New Roman" w:cs="Times New Roman"/>
                <w:sz w:val="24"/>
                <w:szCs w:val="24"/>
              </w:rPr>
            </w:pPr>
          </w:p>
          <w:p w14:paraId="04DB5B58" w14:textId="77777777" w:rsidR="00B9643D" w:rsidRDefault="00000000" w:rsidP="002E116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Totodată, ținând cont de necesitatea unei evaluări integrate a impactului fiscal-bugetar și de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propunerile din proiectul de lege legate de modificarea Codului fiscal se transferă spre preluare și examinare în cadrul exercițiului </w:t>
            </w:r>
            <w:r>
              <w:rPr>
                <w:rFonts w:ascii="Times New Roman" w:eastAsia="Times New Roman" w:hAnsi="Times New Roman" w:cs="Times New Roman"/>
                <w:sz w:val="24"/>
                <w:szCs w:val="24"/>
              </w:rPr>
              <w:lastRenderedPageBreak/>
              <w:t xml:space="preserve">de modificare a politicii bugetar-fiscale, coordonat de Ministerul Finanțelor, potrivit competenței acestuia. </w:t>
            </w:r>
          </w:p>
        </w:tc>
      </w:tr>
      <w:tr w:rsidR="00B9643D" w14:paraId="14239CA6" w14:textId="77777777" w:rsidTr="00CA3607">
        <w:tc>
          <w:tcPr>
            <w:tcW w:w="420" w:type="dxa"/>
            <w:vMerge w:val="restart"/>
            <w:shd w:val="clear" w:color="auto" w:fill="FFFFFF"/>
          </w:tcPr>
          <w:p w14:paraId="72C06FA9"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val="restart"/>
            <w:shd w:val="clear" w:color="auto" w:fill="FFFFFF"/>
          </w:tcPr>
          <w:p w14:paraId="5B889F4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Energiei</w:t>
            </w:r>
          </w:p>
          <w:p w14:paraId="23525A0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nr.02-1720 din 30.06.2026</w:t>
            </w:r>
          </w:p>
        </w:tc>
        <w:tc>
          <w:tcPr>
            <w:tcW w:w="720" w:type="dxa"/>
            <w:tcBorders>
              <w:top w:val="single" w:sz="4" w:space="0" w:color="000000"/>
              <w:bottom w:val="single" w:sz="4" w:space="0" w:color="000000"/>
            </w:tcBorders>
            <w:shd w:val="clear" w:color="auto" w:fill="FFFFFF"/>
          </w:tcPr>
          <w:p w14:paraId="2953A69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c>
          <w:tcPr>
            <w:tcW w:w="6075" w:type="dxa"/>
            <w:tcBorders>
              <w:top w:val="single" w:sz="4" w:space="0" w:color="000000"/>
              <w:bottom w:val="single" w:sz="4" w:space="0" w:color="000000"/>
              <w:right w:val="single" w:sz="4" w:space="0" w:color="000000"/>
            </w:tcBorders>
            <w:shd w:val="clear" w:color="auto" w:fill="FFFFFF"/>
          </w:tcPr>
          <w:p w14:paraId="092ABA9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 urmare a examinării Proiect de lege pentru modificarea unor acte normative (pentru promovarea economiei digitale și a comerțului electronic (număr unic: 629/MDED/2026), în limita competențelor funcționale, comunicăm următoarele: </w:t>
            </w:r>
          </w:p>
          <w:p w14:paraId="4745BEA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La Art. II pct. 1. se propune substituirea sintagmei „formă organizatorica-juridică” cu sintagma „formă </w:t>
            </w:r>
            <w:proofErr w:type="spellStart"/>
            <w:r>
              <w:rPr>
                <w:rFonts w:ascii="Times New Roman" w:eastAsia="Times New Roman" w:hAnsi="Times New Roman" w:cs="Times New Roman"/>
                <w:sz w:val="24"/>
                <w:szCs w:val="24"/>
              </w:rPr>
              <w:t>organizatorico</w:t>
            </w:r>
            <w:proofErr w:type="spellEnd"/>
            <w:r>
              <w:rPr>
                <w:rFonts w:ascii="Times New Roman" w:eastAsia="Times New Roman" w:hAnsi="Times New Roman" w:cs="Times New Roman"/>
                <w:sz w:val="24"/>
                <w:szCs w:val="24"/>
              </w:rPr>
              <w:t>-juridică”.</w:t>
            </w:r>
          </w:p>
          <w:p w14:paraId="59AFC730" w14:textId="77777777" w:rsidR="00B9643D" w:rsidRDefault="00B9643D"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77950F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59AB34B0" w14:textId="77777777" w:rsidTr="00CA3607">
        <w:tc>
          <w:tcPr>
            <w:tcW w:w="420" w:type="dxa"/>
            <w:vMerge/>
            <w:shd w:val="clear" w:color="auto" w:fill="FFFFFF"/>
          </w:tcPr>
          <w:p w14:paraId="353D5762"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2550" w:type="dxa"/>
            <w:vMerge/>
            <w:shd w:val="clear" w:color="auto" w:fill="FFFFFF"/>
          </w:tcPr>
          <w:p w14:paraId="0D4E2498"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9DE947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31</w:t>
            </w:r>
          </w:p>
        </w:tc>
        <w:tc>
          <w:tcPr>
            <w:tcW w:w="6075" w:type="dxa"/>
            <w:tcBorders>
              <w:top w:val="single" w:sz="4" w:space="0" w:color="000000"/>
              <w:bottom w:val="single" w:sz="4" w:space="0" w:color="000000"/>
              <w:right w:val="single" w:sz="4" w:space="0" w:color="000000"/>
            </w:tcBorders>
            <w:shd w:val="clear" w:color="auto" w:fill="FFFFFF"/>
          </w:tcPr>
          <w:p w14:paraId="3948A91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La Art. IV se propune substituirea sintagmei ”Legea 114/2012” cu sintagma ”Legea nr. 114/2012”.</w:t>
            </w:r>
          </w:p>
          <w:p w14:paraId="3AF26A61"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0E7DA3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2CECA965" w14:textId="77777777" w:rsidTr="00CA3607">
        <w:tc>
          <w:tcPr>
            <w:tcW w:w="420" w:type="dxa"/>
            <w:vMerge/>
            <w:shd w:val="clear" w:color="auto" w:fill="FFFFFF"/>
          </w:tcPr>
          <w:p w14:paraId="1811336F"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2550" w:type="dxa"/>
            <w:vMerge/>
            <w:shd w:val="clear" w:color="auto" w:fill="FFFFFF"/>
          </w:tcPr>
          <w:p w14:paraId="66EEF30D"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7EF2FB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p>
        </w:tc>
        <w:tc>
          <w:tcPr>
            <w:tcW w:w="6075" w:type="dxa"/>
            <w:tcBorders>
              <w:top w:val="single" w:sz="4" w:space="0" w:color="000000"/>
              <w:bottom w:val="single" w:sz="4" w:space="0" w:color="000000"/>
              <w:right w:val="single" w:sz="4" w:space="0" w:color="000000"/>
            </w:tcBorders>
            <w:shd w:val="clear" w:color="auto" w:fill="FFFFFF"/>
          </w:tcPr>
          <w:p w14:paraId="6DD7B2E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La Art. IV pct. 7 se propune substituirea sintagmei „pct. 7), se completează cu alineatul l)” cu sintagma „pct. 7) se completează cu litera l)”.</w:t>
            </w:r>
          </w:p>
          <w:p w14:paraId="2E071C5C"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1D7BFF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059C0E98" w14:textId="77777777" w:rsidTr="00CA3607">
        <w:tc>
          <w:tcPr>
            <w:tcW w:w="420" w:type="dxa"/>
            <w:vMerge/>
            <w:shd w:val="clear" w:color="auto" w:fill="FFFFFF"/>
          </w:tcPr>
          <w:p w14:paraId="0E2B5DCA"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2550" w:type="dxa"/>
            <w:vMerge/>
            <w:shd w:val="clear" w:color="auto" w:fill="FFFFFF"/>
          </w:tcPr>
          <w:p w14:paraId="30B9B68C"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F9CDA1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w:t>
            </w:r>
          </w:p>
        </w:tc>
        <w:tc>
          <w:tcPr>
            <w:tcW w:w="6075" w:type="dxa"/>
            <w:tcBorders>
              <w:top w:val="single" w:sz="4" w:space="0" w:color="000000"/>
              <w:bottom w:val="single" w:sz="4" w:space="0" w:color="000000"/>
              <w:right w:val="single" w:sz="4" w:space="0" w:color="000000"/>
            </w:tcBorders>
            <w:shd w:val="clear" w:color="auto" w:fill="FFFFFF"/>
          </w:tcPr>
          <w:p w14:paraId="6A8504F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La Art. IV, pct. 8, art. 23³ alin. (4), se propune substituirea sintagmei „termenului prevăzut la alin. (4) se suspendă” cu sintagma „termenului prevăzut la alin. (3) se suspendă” sau de verificat intenția autorului.</w:t>
            </w:r>
          </w:p>
          <w:p w14:paraId="1F68B91F"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F92964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6B2E2237" w14:textId="77777777" w:rsidTr="00CA3607">
        <w:tc>
          <w:tcPr>
            <w:tcW w:w="420" w:type="dxa"/>
            <w:vMerge/>
            <w:shd w:val="clear" w:color="auto" w:fill="FFFFFF"/>
          </w:tcPr>
          <w:p w14:paraId="4EE886CE"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2550" w:type="dxa"/>
            <w:vMerge/>
            <w:shd w:val="clear" w:color="auto" w:fill="FFFFFF"/>
          </w:tcPr>
          <w:p w14:paraId="49885F68"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FC0F91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34</w:t>
            </w:r>
          </w:p>
        </w:tc>
        <w:tc>
          <w:tcPr>
            <w:tcW w:w="6075" w:type="dxa"/>
            <w:tcBorders>
              <w:top w:val="single" w:sz="4" w:space="0" w:color="000000"/>
              <w:bottom w:val="single" w:sz="4" w:space="0" w:color="000000"/>
              <w:right w:val="single" w:sz="4" w:space="0" w:color="000000"/>
            </w:tcBorders>
            <w:shd w:val="clear" w:color="auto" w:fill="FFFFFF"/>
          </w:tcPr>
          <w:p w14:paraId="35C57BF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La Art. IV, pct. 9. se propune substituirea sintagmei „documentelor furnizate de plăților” cu sintagma „documentelor furnizate de plătitor”</w:t>
            </w:r>
          </w:p>
          <w:p w14:paraId="791FC44F"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2BB014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4EA55417" w14:textId="77777777" w:rsidTr="00CA3607">
        <w:tc>
          <w:tcPr>
            <w:tcW w:w="420" w:type="dxa"/>
            <w:vMerge/>
            <w:shd w:val="clear" w:color="auto" w:fill="FFFFFF"/>
          </w:tcPr>
          <w:p w14:paraId="63E3951C"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2550" w:type="dxa"/>
            <w:vMerge/>
            <w:shd w:val="clear" w:color="auto" w:fill="FFFFFF"/>
          </w:tcPr>
          <w:p w14:paraId="2CDC3A33"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7B1870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35</w:t>
            </w:r>
          </w:p>
        </w:tc>
        <w:tc>
          <w:tcPr>
            <w:tcW w:w="6075" w:type="dxa"/>
            <w:tcBorders>
              <w:top w:val="single" w:sz="4" w:space="0" w:color="000000"/>
              <w:bottom w:val="single" w:sz="4" w:space="0" w:color="000000"/>
              <w:right w:val="single" w:sz="4" w:space="0" w:color="000000"/>
            </w:tcBorders>
            <w:shd w:val="clear" w:color="auto" w:fill="FFFFFF"/>
          </w:tcPr>
          <w:p w14:paraId="256FF95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La Art. VI, se propune substituirea sintagmei ”Legea 308/2017” cu sintagma ”Legea nr. 308/2017”</w:t>
            </w:r>
          </w:p>
          <w:p w14:paraId="1094E7FD"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B94985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13C0CB27" w14:textId="77777777" w:rsidTr="00CA3607">
        <w:tc>
          <w:tcPr>
            <w:tcW w:w="420" w:type="dxa"/>
            <w:vMerge/>
            <w:shd w:val="clear" w:color="auto" w:fill="FFFFFF"/>
          </w:tcPr>
          <w:p w14:paraId="3797D451"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2550" w:type="dxa"/>
            <w:vMerge/>
            <w:shd w:val="clear" w:color="auto" w:fill="FFFFFF"/>
          </w:tcPr>
          <w:p w14:paraId="56B8F8B9"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12AAE1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36</w:t>
            </w:r>
          </w:p>
        </w:tc>
        <w:tc>
          <w:tcPr>
            <w:tcW w:w="6075" w:type="dxa"/>
            <w:tcBorders>
              <w:top w:val="single" w:sz="4" w:space="0" w:color="000000"/>
              <w:bottom w:val="single" w:sz="4" w:space="0" w:color="000000"/>
              <w:right w:val="single" w:sz="4" w:space="0" w:color="000000"/>
            </w:tcBorders>
            <w:shd w:val="clear" w:color="auto" w:fill="FFFFFF"/>
          </w:tcPr>
          <w:p w14:paraId="164F255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La Art. VIII, pct. 1. alineatul (33 ) se propune substituirea sintagmei ”cheltuielile aferente expertize rămân” cu sintagma ”cheltuielile aferente expertizei rămân”.</w:t>
            </w:r>
          </w:p>
          <w:p w14:paraId="2D6697BB"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3D7AAD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05B195F3" w14:textId="77777777" w:rsidTr="00CA3607">
        <w:tc>
          <w:tcPr>
            <w:tcW w:w="420" w:type="dxa"/>
            <w:vMerge/>
            <w:shd w:val="clear" w:color="auto" w:fill="FFFFFF"/>
          </w:tcPr>
          <w:p w14:paraId="663E459F"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2550" w:type="dxa"/>
            <w:vMerge/>
            <w:shd w:val="clear" w:color="auto" w:fill="FFFFFF"/>
          </w:tcPr>
          <w:p w14:paraId="7E01D646"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78642C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37</w:t>
            </w:r>
          </w:p>
        </w:tc>
        <w:tc>
          <w:tcPr>
            <w:tcW w:w="6075" w:type="dxa"/>
            <w:tcBorders>
              <w:top w:val="single" w:sz="4" w:space="0" w:color="000000"/>
              <w:bottom w:val="single" w:sz="4" w:space="0" w:color="000000"/>
              <w:right w:val="single" w:sz="4" w:space="0" w:color="000000"/>
            </w:tcBorders>
            <w:shd w:val="clear" w:color="auto" w:fill="FFFFFF"/>
          </w:tcPr>
          <w:p w14:paraId="64BB9B6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De asemenea se propune completarea proiectului cu prevederi care să stabilească faptul că documentele electronice păstrate în cadrul serviciilor de arhivă electronică nu pot fi distruse automat la expirarea termenului de păstrare, fără informarea și acordul persoanei juridice care le-a transmis spre păstrare. O asemenea reglementare este necesară pentru a preveni distrugerea unor documente care, deși au depășit termenul legal de păstrare, pot fi în continuare necesare pentru litigii, controale, audituri sau alte scopuri legitime.</w:t>
            </w:r>
          </w:p>
        </w:tc>
        <w:tc>
          <w:tcPr>
            <w:tcW w:w="4530" w:type="dxa"/>
            <w:tcBorders>
              <w:top w:val="single" w:sz="4" w:space="0" w:color="000000"/>
              <w:bottom w:val="single" w:sz="4" w:space="0" w:color="000000"/>
              <w:right w:val="single" w:sz="4" w:space="0" w:color="000000"/>
            </w:tcBorders>
            <w:shd w:val="clear" w:color="auto" w:fill="FFFFFF"/>
          </w:tcPr>
          <w:p w14:paraId="0C45046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4EC78CC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nu instituie o distrugere automată la expirarea termenului de păstrare, art. 27¹ prevăzând o facultate a deținătorului, condiționată de o procedură de expertiză și distrugere aprobată de organul de stat pentru supravegherea și administrarea Fondului Arhivistic. </w:t>
            </w:r>
          </w:p>
          <w:p w14:paraId="5871B86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de inclus în proiect:</w:t>
            </w:r>
          </w:p>
          <w:p w14:paraId="1DBCA4D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art. 21¹ din Legea nr. 880/1992 cu alineate noi:</w:t>
            </w:r>
          </w:p>
          <w:p w14:paraId="690C4F8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 Furnizorul serviciului de arhivă electronică nu poate șterge sau distruge documentele electronice păstrate la expirarea termenului de păstrare fără notificarea prealabilă a persoanei care le-a transmis spre păstrare. Notificarea se transmite cu cel puțin 60 de zile înainte de data preconizată a ștergerii și indică documentele vizate, temeiul și data ștergerii, precum și modalitatea în care poate fi solicitată prelungirea păstrării ori punerea la dispoziție a documentelor.</w:t>
            </w:r>
          </w:p>
          <w:p w14:paraId="3E664C3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În termenul indicat în notificare, persoana care a transmis documentele spre păstrare </w:t>
            </w:r>
            <w:r>
              <w:rPr>
                <w:rFonts w:ascii="Times New Roman" w:eastAsia="Times New Roman" w:hAnsi="Times New Roman" w:cs="Times New Roman"/>
                <w:sz w:val="24"/>
                <w:szCs w:val="24"/>
              </w:rPr>
              <w:lastRenderedPageBreak/>
              <w:t>poate solicita prelungirea termenului de păstrare ori punerea acestora la dispoziție într-un format care permite descărcarea și utilizarea ulterioară. În lipsa unui răspuns, furnizorul menține păstrarea pentru o perioadă suplimentară de 3 luni, cu repetarea notificării, după expirarea căreia poate proceda la ștergere.</w:t>
            </w:r>
          </w:p>
          <w:p w14:paraId="1854BBB4" w14:textId="77777777" w:rsidR="002E1162" w:rsidRDefault="002E1162" w:rsidP="002E1162">
            <w:pPr>
              <w:jc w:val="both"/>
              <w:rPr>
                <w:rFonts w:ascii="Times New Roman" w:eastAsia="Times New Roman" w:hAnsi="Times New Roman" w:cs="Times New Roman"/>
                <w:sz w:val="24"/>
                <w:szCs w:val="24"/>
              </w:rPr>
            </w:pPr>
          </w:p>
        </w:tc>
      </w:tr>
      <w:tr w:rsidR="00B9643D" w14:paraId="578B9C19" w14:textId="77777777" w:rsidTr="00CA3607">
        <w:tc>
          <w:tcPr>
            <w:tcW w:w="420" w:type="dxa"/>
            <w:shd w:val="clear" w:color="auto" w:fill="FFFFFF"/>
          </w:tcPr>
          <w:p w14:paraId="08D24F8A"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val="restart"/>
            <w:shd w:val="clear" w:color="auto" w:fill="FFFFFF"/>
          </w:tcPr>
          <w:p w14:paraId="074226D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Ministerul Afacerilor Interne </w:t>
            </w:r>
          </w:p>
          <w:p w14:paraId="0FD7F6E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nr.38/2623 din 30.06.2026</w:t>
            </w:r>
          </w:p>
        </w:tc>
        <w:tc>
          <w:tcPr>
            <w:tcW w:w="720" w:type="dxa"/>
            <w:tcBorders>
              <w:top w:val="single" w:sz="4" w:space="0" w:color="000000"/>
              <w:bottom w:val="single" w:sz="4" w:space="0" w:color="000000"/>
            </w:tcBorders>
            <w:shd w:val="clear" w:color="auto" w:fill="FFFFFF"/>
          </w:tcPr>
          <w:p w14:paraId="6B286AC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38</w:t>
            </w:r>
          </w:p>
        </w:tc>
        <w:tc>
          <w:tcPr>
            <w:tcW w:w="6075" w:type="dxa"/>
            <w:tcBorders>
              <w:top w:val="single" w:sz="4" w:space="0" w:color="000000"/>
              <w:bottom w:val="single" w:sz="4" w:space="0" w:color="000000"/>
              <w:right w:val="single" w:sz="4" w:space="0" w:color="000000"/>
            </w:tcBorders>
            <w:shd w:val="clear" w:color="auto" w:fill="FFFFFF"/>
          </w:tcPr>
          <w:p w14:paraId="0895A3E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Ministerul Afacerilor Interne a examinat proiectul de lege pentru modificarea unor acte normative (pentru promovarea economiei digitale și a comerțului electronic) (număr unic 629/MDED/2026), autor – Ministerul Dezvoltării Economice și Digitalizării și, reieșind din competența funcțională, comunică următoarele. </w:t>
            </w:r>
          </w:p>
          <w:p w14:paraId="6FBE54C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 titlu,</w:t>
            </w:r>
            <w:r>
              <w:rPr>
                <w:rFonts w:ascii="Times New Roman" w:eastAsia="Times New Roman" w:hAnsi="Times New Roman" w:cs="Times New Roman"/>
                <w:sz w:val="24"/>
                <w:szCs w:val="24"/>
              </w:rPr>
              <w:t xml:space="preserve"> se recomandă revizuirea denumirii proiectului, întrucât unele intervenții legislative propuse de autor, precum declararea averii și intereselor personale sau mecanismul de examinare a investițiilor de importanță pentru securitatea statului, </w:t>
            </w:r>
            <w:proofErr w:type="spellStart"/>
            <w:r>
              <w:rPr>
                <w:rFonts w:ascii="Times New Roman" w:eastAsia="Times New Roman" w:hAnsi="Times New Roman" w:cs="Times New Roman"/>
                <w:sz w:val="24"/>
                <w:szCs w:val="24"/>
              </w:rPr>
              <w:t>exced</w:t>
            </w:r>
            <w:proofErr w:type="spellEnd"/>
            <w:r>
              <w:rPr>
                <w:rFonts w:ascii="Times New Roman" w:eastAsia="Times New Roman" w:hAnsi="Times New Roman" w:cs="Times New Roman"/>
                <w:sz w:val="24"/>
                <w:szCs w:val="24"/>
              </w:rPr>
              <w:t xml:space="preserve"> domeniul comerțului electronic, ci vizează </w:t>
            </w:r>
            <w:proofErr w:type="spellStart"/>
            <w:r>
              <w:rPr>
                <w:rFonts w:ascii="Times New Roman" w:eastAsia="Times New Roman" w:hAnsi="Times New Roman" w:cs="Times New Roman"/>
                <w:sz w:val="24"/>
                <w:szCs w:val="24"/>
              </w:rPr>
              <w:t>digitalalizarea</w:t>
            </w:r>
            <w:proofErr w:type="spellEnd"/>
            <w:r>
              <w:rPr>
                <w:rFonts w:ascii="Times New Roman" w:eastAsia="Times New Roman" w:hAnsi="Times New Roman" w:cs="Times New Roman"/>
                <w:sz w:val="24"/>
                <w:szCs w:val="24"/>
              </w:rPr>
              <w:t xml:space="preserve"> în sens larg.</w:t>
            </w:r>
          </w:p>
          <w:p w14:paraId="73C7FB8F"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A0A9B0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63EB3689" w14:textId="77777777" w:rsidR="00B9643D" w:rsidRDefault="00B9643D" w:rsidP="002E1162">
            <w:pPr>
              <w:jc w:val="both"/>
              <w:rPr>
                <w:rFonts w:ascii="Times New Roman" w:eastAsia="Times New Roman" w:hAnsi="Times New Roman" w:cs="Times New Roman"/>
                <w:sz w:val="24"/>
                <w:szCs w:val="24"/>
              </w:rPr>
            </w:pPr>
          </w:p>
          <w:p w14:paraId="5198066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propusă pentru proiect:</w:t>
            </w:r>
          </w:p>
          <w:p w14:paraId="503B6993" w14:textId="77777777" w:rsidR="00B9643D" w:rsidRDefault="00B9643D" w:rsidP="002E1162">
            <w:pPr>
              <w:jc w:val="both"/>
              <w:rPr>
                <w:rFonts w:ascii="Times New Roman" w:eastAsia="Times New Roman" w:hAnsi="Times New Roman" w:cs="Times New Roman"/>
                <w:sz w:val="24"/>
                <w:szCs w:val="24"/>
              </w:rPr>
            </w:pPr>
          </w:p>
          <w:p w14:paraId="124E0E6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„Lege pentru modificarea unor acte normative (pentru promovarea economiei digitale, a comerțului electronic și a digitalizării unor proceduri administrative)" </w:t>
            </w:r>
          </w:p>
        </w:tc>
      </w:tr>
      <w:tr w:rsidR="00B9643D" w14:paraId="297DEEFB" w14:textId="77777777" w:rsidTr="00CA3607">
        <w:tc>
          <w:tcPr>
            <w:tcW w:w="420" w:type="dxa"/>
            <w:shd w:val="clear" w:color="auto" w:fill="FFFFFF"/>
          </w:tcPr>
          <w:p w14:paraId="21F04FA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1B2BF0EA"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FC60C8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39</w:t>
            </w:r>
          </w:p>
        </w:tc>
        <w:tc>
          <w:tcPr>
            <w:tcW w:w="6075" w:type="dxa"/>
            <w:tcBorders>
              <w:top w:val="single" w:sz="4" w:space="0" w:color="000000"/>
              <w:bottom w:val="single" w:sz="4" w:space="0" w:color="000000"/>
              <w:right w:val="single" w:sz="4" w:space="0" w:color="000000"/>
            </w:tcBorders>
            <w:shd w:val="clear" w:color="auto" w:fill="FFFFFF"/>
          </w:tcPr>
          <w:p w14:paraId="3D5F35B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art. I – Legea nr. 880/1992 privind Fondul Arhivistic al Republicii Moldova. Referința la „pot utiliza servicii” are caracter facultativ și poate genera interpretări neuniforme privind aplicarea normei de către persoanele juridice de drept public și de drept privat. Corespunzător, se recomandă revizuirea normei, astfel încât să fie clar dacă aceasta instituie o posibilitate sau o condiție obligatorie pentru păstrarea documentelor electronice în arhive electronice. Referitor la „standarde minime”, considerăm judicios ca să fie menționate expres ISO sau referința la cadrul normativ care le reglementează, pentru asigurarea previzibilității normei. Textul „prin act normativ subsecvent” urmează a fi revizuit, prin indicarea expresă a categoriei actului normativ prin care vor fi stabilite cerințele de interoperabilitate între arhivele electronice și Sistemul informațional „Arhiva electronică”, </w:t>
            </w:r>
            <w:r>
              <w:rPr>
                <w:rFonts w:ascii="Times New Roman" w:eastAsia="Times New Roman" w:hAnsi="Times New Roman" w:cs="Times New Roman"/>
                <w:sz w:val="24"/>
                <w:szCs w:val="24"/>
              </w:rPr>
              <w:lastRenderedPageBreak/>
              <w:t>conform cerințelor de tehnică legislativă privind normele de trimitere. Totodată, sintagma „digitizarea conformă, în condițiile legii” este formulată generic și nu permite identificarea clară a procedurii aplicabile și a garanțiilor de control ex-ante. Prin urmare, se propune fie definirea acestei noțiuni, fie indicarea normei de trimitere care reglementează procesul de digitizare conformă. Suplimentar, potrivit Notei de fundamentare, în paralel este promovat de către Ministerul Dezvoltării Economice și Digitalizării un proiect de lege distinct privind identificarea electronică și serviciile de încredere, număr unic 395/MDED/SIS/2026, care urmează să reglementeze domeniul respectiv și să substituie Legea nr. 124/2022 2 privind identificarea electronică și serviciile de încredere. În context, autorul urmează să asigure corelarea celor două proiecte, în vederea evitării suprapunerilor normative</w:t>
            </w:r>
          </w:p>
          <w:p w14:paraId="6BDBC134"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88FD53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70F3530E" w14:textId="77777777" w:rsidR="00B9643D" w:rsidRDefault="00B9643D" w:rsidP="002E1162">
            <w:pPr>
              <w:jc w:val="both"/>
              <w:rPr>
                <w:rFonts w:ascii="Times New Roman" w:eastAsia="Times New Roman" w:hAnsi="Times New Roman" w:cs="Times New Roman"/>
                <w:b/>
                <w:bCs/>
                <w:sz w:val="24"/>
                <w:szCs w:val="24"/>
              </w:rPr>
            </w:pPr>
          </w:p>
          <w:p w14:paraId="41C6232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propusă pentru proiect:</w:t>
            </w:r>
          </w:p>
          <w:p w14:paraId="693EFB0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21¹ alineatul (1), textul propus se expune în următoarea redacție:</w:t>
            </w:r>
          </w:p>
          <w:p w14:paraId="3030814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Persoanele juridice de drept public și de drept privat au dreptul de a utiliza, pentru păstrarea documentelor electronice, servicii de arhivă electronică prestate de prestatori de servicii de încredere calificați, acreditați în condițiile legii, ori de a păstra documentele electronice în arhive electronice proprii, cu respectarea standardelor minime prevăzute la alin. (2)."</w:t>
            </w:r>
          </w:p>
          <w:p w14:paraId="4FDB41F3" w14:textId="77777777" w:rsidR="00B9643D" w:rsidRDefault="00B9643D" w:rsidP="002E1162">
            <w:pPr>
              <w:jc w:val="both"/>
              <w:rPr>
                <w:rFonts w:ascii="Times New Roman" w:eastAsia="Times New Roman" w:hAnsi="Times New Roman" w:cs="Times New Roman"/>
                <w:sz w:val="24"/>
                <w:szCs w:val="24"/>
              </w:rPr>
            </w:pPr>
          </w:p>
        </w:tc>
      </w:tr>
      <w:tr w:rsidR="00B9643D" w14:paraId="548043A5" w14:textId="77777777" w:rsidTr="00CA3607">
        <w:tc>
          <w:tcPr>
            <w:tcW w:w="420" w:type="dxa"/>
            <w:shd w:val="clear" w:color="auto" w:fill="FFFFFF"/>
          </w:tcPr>
          <w:p w14:paraId="5F45D5A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1521F934"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36206B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40</w:t>
            </w:r>
          </w:p>
        </w:tc>
        <w:tc>
          <w:tcPr>
            <w:tcW w:w="6075" w:type="dxa"/>
            <w:tcBorders>
              <w:top w:val="single" w:sz="4" w:space="0" w:color="000000"/>
              <w:bottom w:val="single" w:sz="4" w:space="0" w:color="000000"/>
              <w:right w:val="single" w:sz="4" w:space="0" w:color="000000"/>
            </w:tcBorders>
            <w:shd w:val="clear" w:color="auto" w:fill="FFFFFF"/>
          </w:tcPr>
          <w:p w14:paraId="72A7CD7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II - Codul fiscal nr. 1163/1997. Norma propusă prevede neaplicarea taxei pentru unitățile comerciale și/sau de prestări servicii în cazul unităților care desfășoară activitate de comerț electronic fără a dispune de suprafață comercială. Totodată, proiectul nu definește noțiunea de „suprafață comercială” și nu precizează regimul aplicabil entităților care desfășoară activitate mixtă, prin punct fizic de vânzare și prin mijloace electronice. Ori, lipsa unei asemenea delimitări poate genera practici neunitare de aplicare de către autoritățile administrației publice locale și serviciile fiscale. În acest sens, se recomandă completarea normei cu precizări privind aplicarea acesteia în cazul activităților comerciale mixte.</w:t>
            </w:r>
          </w:p>
        </w:tc>
        <w:tc>
          <w:tcPr>
            <w:tcW w:w="4530" w:type="dxa"/>
            <w:tcBorders>
              <w:top w:val="single" w:sz="4" w:space="0" w:color="000000"/>
              <w:bottom w:val="single" w:sz="4" w:space="0" w:color="000000"/>
              <w:right w:val="single" w:sz="4" w:space="0" w:color="000000"/>
            </w:tcBorders>
            <w:shd w:val="clear" w:color="auto" w:fill="FFFFFF"/>
          </w:tcPr>
          <w:p w14:paraId="2A81BF7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 se acceptă</w:t>
            </w:r>
          </w:p>
          <w:p w14:paraId="4E9B40D3" w14:textId="77777777" w:rsidR="00B9643D" w:rsidRDefault="00B9643D" w:rsidP="002E1162">
            <w:pPr>
              <w:jc w:val="both"/>
              <w:rPr>
                <w:rFonts w:ascii="Times New Roman" w:eastAsia="Times New Roman" w:hAnsi="Times New Roman" w:cs="Times New Roman"/>
                <w:b/>
                <w:bCs/>
                <w:sz w:val="24"/>
                <w:szCs w:val="24"/>
              </w:rPr>
            </w:pPr>
          </w:p>
          <w:p w14:paraId="3512BD8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Norma propusă în proiect face referire la Legea comerțului interior și noțiunile utilizate de aceasta.</w:t>
            </w:r>
          </w:p>
          <w:p w14:paraId="2AFD22C8" w14:textId="77777777" w:rsidR="00B9643D" w:rsidRDefault="00B9643D" w:rsidP="002E1162">
            <w:pPr>
              <w:jc w:val="both"/>
              <w:rPr>
                <w:rFonts w:ascii="Times New Roman" w:eastAsia="Times New Roman" w:hAnsi="Times New Roman" w:cs="Times New Roman"/>
                <w:sz w:val="24"/>
                <w:szCs w:val="24"/>
              </w:rPr>
            </w:pPr>
          </w:p>
          <w:p w14:paraId="0299AC62" w14:textId="77777777" w:rsidR="00B9643D" w:rsidRDefault="00000000" w:rsidP="002E1162">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ținând cont de necesitatea unei evaluări integrate a impactului fiscal-bugetar și de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propunerile din proiectul de lege ce țin de modificarea Codului fiscal se transferă spre preluare și examinare în cadrul exercițiului de modificare a politicii bugetar-fiscale, coordonat de Ministerul Finanțelor, potrivit competenței acestuia. </w:t>
            </w:r>
          </w:p>
          <w:p w14:paraId="4C2C247A" w14:textId="77777777" w:rsidR="002E1162" w:rsidRDefault="002E1162" w:rsidP="002E1162">
            <w:pPr>
              <w:pBdr>
                <w:top w:val="nil"/>
                <w:left w:val="nil"/>
                <w:bottom w:val="nil"/>
                <w:right w:val="nil"/>
                <w:between w:val="nil"/>
              </w:pBdr>
              <w:jc w:val="both"/>
              <w:rPr>
                <w:rFonts w:ascii="Times New Roman" w:eastAsia="Times New Roman" w:hAnsi="Times New Roman" w:cs="Times New Roman"/>
                <w:color w:val="000000"/>
                <w:sz w:val="24"/>
                <w:szCs w:val="24"/>
              </w:rPr>
            </w:pPr>
          </w:p>
        </w:tc>
      </w:tr>
      <w:tr w:rsidR="00B9643D" w14:paraId="2CF1FFD2" w14:textId="77777777" w:rsidTr="00CA3607">
        <w:tc>
          <w:tcPr>
            <w:tcW w:w="420" w:type="dxa"/>
            <w:shd w:val="clear" w:color="auto" w:fill="FFFFFF"/>
          </w:tcPr>
          <w:p w14:paraId="57AFFD49"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1594CC63"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871B6E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41</w:t>
            </w:r>
          </w:p>
        </w:tc>
        <w:tc>
          <w:tcPr>
            <w:tcW w:w="6075" w:type="dxa"/>
            <w:tcBorders>
              <w:top w:val="single" w:sz="4" w:space="0" w:color="000000"/>
              <w:bottom w:val="single" w:sz="4" w:space="0" w:color="000000"/>
              <w:right w:val="single" w:sz="4" w:space="0" w:color="000000"/>
            </w:tcBorders>
            <w:shd w:val="clear" w:color="auto" w:fill="FFFFFF"/>
          </w:tcPr>
          <w:p w14:paraId="54F1AF9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art. IV - Legea nr. 114/2012 privind serviciile de plată și moneda electronică. Cu referire la noțiunea „societate de plată mică”, se recomandă clarificarea sintagmei „volum </w:t>
            </w:r>
            <w:r>
              <w:rPr>
                <w:rFonts w:ascii="Times New Roman" w:eastAsia="Times New Roman" w:hAnsi="Times New Roman" w:cs="Times New Roman"/>
                <w:sz w:val="24"/>
                <w:szCs w:val="24"/>
              </w:rPr>
              <w:lastRenderedPageBreak/>
              <w:t>limitat”, inclusiv prin indicarea expresă a pragului financiar maxim care stabilesc acest plafon. La norma propusă în art. 23³ alin. (4), textul „termenului prevăzut la alin. (4)” urmează a fi substituit cu textul „termenului prevăzut la alin. (3)”, întrucât termenul de 60 de zile lucrătoare este reglementat la alin. (3). La norma propusă în art. 59 alin. (9), autorul instituie o derogare de la mecanismul de rambursare aplicabil operațiunilor de plată autorizate, prin acordarea posibilității prestatorului de servicii de plată de a refuza rambursarea în cazul în care rezultă că bunurile sau serviciile au fost livrate ori prestate corespunzător. Această soluție normativă urmează a fi analizată suplimentar prin prisma Directivei (UE) 2015/2366 a Parlamentului European și a Consiliului din 25 noiembrie 2015 privind serviciile de plată în cadrul pieței interne, întrucât mecanismul rambursării constituie o garanție importantă pentru protecția plătitorului, inclusiv în contextul comerțului electronic și evitării potențialelor riscuri de fraudă.</w:t>
            </w:r>
          </w:p>
          <w:p w14:paraId="0D827398"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099401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723DBE0D" w14:textId="77777777" w:rsidR="00B9643D" w:rsidRDefault="00B9643D" w:rsidP="002E1162">
            <w:pPr>
              <w:jc w:val="both"/>
              <w:rPr>
                <w:rFonts w:ascii="Times New Roman" w:eastAsia="Times New Roman" w:hAnsi="Times New Roman" w:cs="Times New Roman"/>
                <w:sz w:val="24"/>
                <w:szCs w:val="24"/>
              </w:rPr>
            </w:pPr>
          </w:p>
          <w:p w14:paraId="45B0DBE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tc>
      </w:tr>
      <w:tr w:rsidR="00B9643D" w14:paraId="2512C5B0" w14:textId="77777777" w:rsidTr="00CA3607">
        <w:tc>
          <w:tcPr>
            <w:tcW w:w="420" w:type="dxa"/>
            <w:shd w:val="clear" w:color="auto" w:fill="FFFFFF"/>
          </w:tcPr>
          <w:p w14:paraId="5AEFE44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401501C2"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0F14F6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42</w:t>
            </w:r>
          </w:p>
        </w:tc>
        <w:tc>
          <w:tcPr>
            <w:tcW w:w="6075" w:type="dxa"/>
            <w:tcBorders>
              <w:top w:val="single" w:sz="4" w:space="0" w:color="000000"/>
              <w:bottom w:val="single" w:sz="4" w:space="0" w:color="000000"/>
              <w:right w:val="single" w:sz="4" w:space="0" w:color="000000"/>
            </w:tcBorders>
            <w:shd w:val="clear" w:color="auto" w:fill="FFFFFF"/>
          </w:tcPr>
          <w:p w14:paraId="11EAA3E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VI –Legea nr. 308/2017 privind prevenirea și combaterea spălării banilor și finanțării terorismului. Considerăm necesară revizuirea noțiunii „entitate raportoare de dimensiuni mici”. În redacția propusă, pragurile volumului anual al operațiunilor financiare sunt stabilite prin hotărâre a Băncii Naționale a Moldovei. Ori, art. 4 din Legea nr.308/2017 stabilește o listă mai vastă de entități raportoare, nu doar cele supravegheate de Banca Națională a Moldovei (ex: avocații, notarii, administratorii autorizați, executorii judecătorești, mediatorii și alți liber profesioniști, etc.). Suplimentar, textul „adoptate în condițiile Legii nr. 100/2017 cu privire la actele normative” se va exclude, întrucât este inutil. Referitor la modificarea propusă la art. 33 alin. (4), prin reducerea termenului de suspendare de la 30 de zile lucrătoare la 10 zile lucrătoare, cu posibilitatea prelungirii o singură dată pentru cel mult 10 zile lucrătoare, considerăm necesară revizuirea acestei soluții. Reducerea termenului poate afecta capacitatea autorităților competente de a verifica tranzacțiile </w:t>
            </w:r>
            <w:r>
              <w:rPr>
                <w:rFonts w:ascii="Times New Roman" w:eastAsia="Times New Roman" w:hAnsi="Times New Roman" w:cs="Times New Roman"/>
                <w:sz w:val="24"/>
                <w:szCs w:val="24"/>
              </w:rPr>
              <w:lastRenderedPageBreak/>
              <w:t>suspecte, de a iniția măsuri procesuale și de a 3 conserva mijloace financiare, în special în cauzele cu element transfrontalier sau cu un grad sporit de complexitate. În acest sens, se recomandă fie menținerea termenului actual, fie completarea normei cu posibilitatea prelungirii termenului în cazuri complexe, la solicitarea entităților competente ( ex: organul de urmărire penală, procuror) în condițiile legii.</w:t>
            </w:r>
          </w:p>
          <w:p w14:paraId="447F4F9F"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31E6B9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21135E13" w14:textId="77777777" w:rsidR="00B9643D" w:rsidRDefault="00B9643D" w:rsidP="002E1162">
            <w:pPr>
              <w:jc w:val="both"/>
              <w:rPr>
                <w:rFonts w:ascii="Times New Roman" w:eastAsia="Times New Roman" w:hAnsi="Times New Roman" w:cs="Times New Roman"/>
                <w:sz w:val="24"/>
                <w:szCs w:val="24"/>
              </w:rPr>
            </w:pPr>
          </w:p>
          <w:p w14:paraId="7F0CB1E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tc>
      </w:tr>
      <w:tr w:rsidR="00B9643D" w14:paraId="3C174896" w14:textId="77777777" w:rsidTr="00CA3607">
        <w:tc>
          <w:tcPr>
            <w:tcW w:w="420" w:type="dxa"/>
            <w:shd w:val="clear" w:color="auto" w:fill="FFFFFF"/>
          </w:tcPr>
          <w:p w14:paraId="5C36BCB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3AF19E47"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251EAA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w:t>
            </w:r>
          </w:p>
        </w:tc>
        <w:tc>
          <w:tcPr>
            <w:tcW w:w="6075" w:type="dxa"/>
            <w:tcBorders>
              <w:top w:val="single" w:sz="4" w:space="0" w:color="000000"/>
              <w:bottom w:val="single" w:sz="4" w:space="0" w:color="000000"/>
              <w:right w:val="single" w:sz="4" w:space="0" w:color="000000"/>
            </w:tcBorders>
            <w:shd w:val="clear" w:color="auto" w:fill="FFFFFF"/>
          </w:tcPr>
          <w:p w14:paraId="7BA4C35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VII –Legea nr. 174/2021 privind mecanismul de examinare a investițiilor de importanță pentru securitatea statului. Definiția propusă pentru noțiunea „tehnologie critică” urmează a fi reformulată, </w:t>
            </w:r>
            <w:proofErr w:type="spellStart"/>
            <w:r>
              <w:rPr>
                <w:rFonts w:ascii="Times New Roman" w:eastAsia="Times New Roman" w:hAnsi="Times New Roman" w:cs="Times New Roman"/>
                <w:sz w:val="24"/>
                <w:szCs w:val="24"/>
              </w:rPr>
              <w:t>întrucît</w:t>
            </w:r>
            <w:proofErr w:type="spellEnd"/>
            <w:r>
              <w:rPr>
                <w:rFonts w:ascii="Times New Roman" w:eastAsia="Times New Roman" w:hAnsi="Times New Roman" w:cs="Times New Roman"/>
                <w:sz w:val="24"/>
                <w:szCs w:val="24"/>
              </w:rPr>
              <w:t xml:space="preserve"> este largă și face referință la Recomandarea Comisiei Europene C(2023) 6689, precum și la „actele ulterioare de modificare sau înlocuire de modificare sau înlocuire ale acesteia, adoptate în cadrul mecanismului Uniunii Europene de examinare a investițiilor străine directe”. La fel, textul „Această noțiune se interpretează în concordanță cu Legea nr. 48/2023 privind securitatea cibernetică și Legea nr. 223/2025 privind identificarea, desemnarea și protecția infrastructurilor critice naționale, precum și cu actele normative ale Republicii Moldova în domeniul securității naționale.” se va revizui sau se va exclude, deoarece este contrară uzanțelor tehnicii legislative. Prin urmare, se recomandă fie includerea unei liste concrete de domenii tehnologice relevante, fie abilitarea Guvernului de a aproba și actualiza lista tehnologiilor critice, cu consultarea autorităților competente în domeniul securității naționale, ordinii publice, infrastructurilor critice și securității cibernetice.</w:t>
            </w:r>
          </w:p>
          <w:p w14:paraId="7AE7C2CA"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828B0E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0C7B89F1" w14:textId="77777777" w:rsidTr="00CA3607">
        <w:tc>
          <w:tcPr>
            <w:tcW w:w="420" w:type="dxa"/>
            <w:shd w:val="clear" w:color="auto" w:fill="FFFFFF"/>
          </w:tcPr>
          <w:p w14:paraId="644884F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D212BAE"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C957E0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44</w:t>
            </w:r>
          </w:p>
        </w:tc>
        <w:tc>
          <w:tcPr>
            <w:tcW w:w="6075" w:type="dxa"/>
            <w:tcBorders>
              <w:top w:val="single" w:sz="4" w:space="0" w:color="000000"/>
              <w:bottom w:val="single" w:sz="4" w:space="0" w:color="000000"/>
              <w:right w:val="single" w:sz="4" w:space="0" w:color="000000"/>
            </w:tcBorders>
            <w:shd w:val="clear" w:color="auto" w:fill="FFFFFF"/>
          </w:tcPr>
          <w:p w14:paraId="65DB6AC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 ansamblu, proiectul urmează a fi revizuit sub aspect redacțional și al tehnicii legislative, uniformizarea terminologiei (ex: „furnizor”, „prestator”, „vânzător”, „comerciant”, „furnizor de servicii de intermediere online” și „beneficiar al plății” etc ), cu respectarea strictă a regulilor gramaticale, de ortografie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punctuaţie</w:t>
            </w:r>
            <w:proofErr w:type="spellEnd"/>
            <w:r>
              <w:rPr>
                <w:rFonts w:ascii="Times New Roman" w:eastAsia="Times New Roman" w:hAnsi="Times New Roman" w:cs="Times New Roman"/>
                <w:sz w:val="24"/>
                <w:szCs w:val="24"/>
              </w:rPr>
              <w:t>.</w:t>
            </w:r>
          </w:p>
          <w:p w14:paraId="5E111894"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0E8C28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ia act</w:t>
            </w:r>
          </w:p>
        </w:tc>
      </w:tr>
      <w:tr w:rsidR="00B9643D" w14:paraId="24663DA0" w14:textId="77777777" w:rsidTr="00CA3607">
        <w:tc>
          <w:tcPr>
            <w:tcW w:w="420" w:type="dxa"/>
            <w:shd w:val="clear" w:color="auto" w:fill="FFFFFF"/>
          </w:tcPr>
          <w:p w14:paraId="7A678E4E"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1CB498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Ministerul </w:t>
            </w:r>
            <w:proofErr w:type="spellStart"/>
            <w:r>
              <w:rPr>
                <w:rFonts w:ascii="Times New Roman" w:eastAsia="Times New Roman" w:hAnsi="Times New Roman" w:cs="Times New Roman"/>
                <w:b/>
                <w:bCs/>
                <w:sz w:val="24"/>
                <w:szCs w:val="24"/>
              </w:rPr>
              <w:t>Justitiei</w:t>
            </w:r>
            <w:proofErr w:type="spellEnd"/>
          </w:p>
          <w:p w14:paraId="1ED0E8B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Aviz nr.04/1-7646 din 09.07.2026</w:t>
            </w:r>
          </w:p>
        </w:tc>
        <w:tc>
          <w:tcPr>
            <w:tcW w:w="720" w:type="dxa"/>
            <w:tcBorders>
              <w:top w:val="single" w:sz="4" w:space="0" w:color="000000"/>
              <w:bottom w:val="single" w:sz="4" w:space="0" w:color="000000"/>
            </w:tcBorders>
            <w:shd w:val="clear" w:color="auto" w:fill="FFFFFF"/>
          </w:tcPr>
          <w:p w14:paraId="4F7C3CC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45</w:t>
            </w:r>
          </w:p>
        </w:tc>
        <w:tc>
          <w:tcPr>
            <w:tcW w:w="6075" w:type="dxa"/>
            <w:tcBorders>
              <w:top w:val="single" w:sz="4" w:space="0" w:color="000000"/>
              <w:bottom w:val="single" w:sz="4" w:space="0" w:color="000000"/>
              <w:right w:val="single" w:sz="4" w:space="0" w:color="000000"/>
            </w:tcBorders>
            <w:shd w:val="clear" w:color="auto" w:fill="FFFFFF"/>
          </w:tcPr>
          <w:p w14:paraId="6C353E2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Justiției a examinat proiectul de lege pentru modificarea unor acte normative (pentru promovarea economiei digitale și a comerțului electronic) (număr unic 629/MDED/2026) și, în limitele competențelor funcționale, comunică următoarele.</w:t>
            </w:r>
          </w:p>
          <w:p w14:paraId="519ECC3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Potrivit notei de fundamentare, proiectul a fost elaborat în contextul problemelor semnalate de mediul de afaceri privind dificultățile legate de interacțiunea cu autoritățile publice, dezvoltarea economiei digitale, a comerțului electronic, inclusiv cel transfrontalier, adopției soluțiilor digitale de către mediul de afaceri, etc. Scopul elaborării proiectului reprezintă reducerea costurilor operaționale, eliminarea barierelor administrative și crearea unui mediu concurențial echitabil pentru afacerile digitale. Astfel, proiectul nu prevede noi cerințe, acte permisive, metode de supraveghere și control în raport cu agenții economici.</w:t>
            </w:r>
          </w:p>
          <w:p w14:paraId="540D36A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Aferent redacției proiectului se expun următoarele observații și propuneri de îmbunătățire a calității acestuia.</w:t>
            </w:r>
          </w:p>
          <w:p w14:paraId="19F70C0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 aspect redacțional, se va ține cont că, „sintagma” reprezintă o unitate sintactică stabilă, formată din mai multe cuvinte între care există un raport de subordonare, constituind o parte a unei propoziții sau a unei fraze. La schimbarea unor cuvinte din conținutul textului unui act normativ, pentru exprimarea corectă, se menționează despre substituirea „cuvintelor” respective, iar la schimbarea unor cifre/semne și cuvinte din conținutul textului unui act normativ, pentru exprimarea corectă, se menționează despre substituirea „textului” respectiv.</w:t>
            </w:r>
          </w:p>
          <w:p w14:paraId="3595FE9A"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655366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1E15132B" w14:textId="77777777" w:rsidR="00B9643D" w:rsidRDefault="00B9643D" w:rsidP="002E1162">
            <w:pPr>
              <w:jc w:val="both"/>
              <w:rPr>
                <w:rFonts w:ascii="Times New Roman" w:eastAsia="Times New Roman" w:hAnsi="Times New Roman" w:cs="Times New Roman"/>
                <w:b/>
                <w:bCs/>
                <w:sz w:val="24"/>
                <w:szCs w:val="24"/>
              </w:rPr>
            </w:pPr>
          </w:p>
          <w:p w14:paraId="298D14D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Dispozițiile de modificare din cuprinsul proiectului urmează a fi revizuite unitar, potrivit distincției semnalate: se utilizează termenul „cuvintele" la substituirea unor cuvinte, respectiv termenul „textul" la substituirea unor cifre, semne și cuvinte, sintagma desemnând o unitate sintactică formată din mai multe cuvinte aflate în raport de subordonare. Revizuirea vizează, între altele, Art. VI punctele 3, 7 și 12, precum și celelalte dispoziții de modificare din proiect care utilizează impropriu termenul „sintagma". </w:t>
            </w:r>
          </w:p>
        </w:tc>
      </w:tr>
      <w:tr w:rsidR="00B9643D" w14:paraId="4FD2A937" w14:textId="77777777" w:rsidTr="00CA3607">
        <w:tc>
          <w:tcPr>
            <w:tcW w:w="420" w:type="dxa"/>
            <w:shd w:val="clear" w:color="auto" w:fill="FFFFFF"/>
          </w:tcPr>
          <w:p w14:paraId="0156E6B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DDDA7CF"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B7BAC4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46</w:t>
            </w:r>
          </w:p>
        </w:tc>
        <w:tc>
          <w:tcPr>
            <w:tcW w:w="6075" w:type="dxa"/>
            <w:tcBorders>
              <w:top w:val="single" w:sz="4" w:space="0" w:color="000000"/>
              <w:bottom w:val="single" w:sz="4" w:space="0" w:color="000000"/>
              <w:right w:val="single" w:sz="4" w:space="0" w:color="000000"/>
            </w:tcBorders>
            <w:shd w:val="clear" w:color="auto" w:fill="FFFFFF"/>
          </w:tcPr>
          <w:p w14:paraId="128D23B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I - (Legea nr. 880/1992 privind Fondul Arhivistic al Republicii Moldova).</w:t>
            </w:r>
          </w:p>
          <w:p w14:paraId="4BA104D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susține inițiativa de dezvoltare a mecanismelor de gestionare și păstrare a documentelor electronice, precum și digitalizarea proceselor documentare, acestea reprezentând obiective importante pentru modernizarea administrației publice. În acest context, subliniem că, în prezent, se lucrează în mod activ la actualizarea integrală a cadrului normativ, </w:t>
            </w:r>
            <w:r>
              <w:rPr>
                <w:rFonts w:ascii="Times New Roman" w:eastAsia="Times New Roman" w:hAnsi="Times New Roman" w:cs="Times New Roman"/>
                <w:sz w:val="24"/>
                <w:szCs w:val="24"/>
              </w:rPr>
              <w:lastRenderedPageBreak/>
              <w:t xml:space="preserve">având deja elaborat și aflat în proces de definitivare un nou proiect al Legii Arhivelor, menit să substituie actuala Lege nr. 880/1992 și să reglementeze inclusiv statutul juridic al documentelor electronice și al arhivei electronice naționale. Totodată, proiectul vizat necesită completări și precizări esențiale pentru asigurarea unui cadru normativ coerent, care să garanteze administrarea unitară a Fondului Arhivistic al Republicii Moldova, delimitarea clară a competențelor dintre prestatorii privați de servicii de arhivă electronică și autoritatea arhivistică de stat, precum și protecția documentelor cu valoare arhivistică cu termen permanent de </w:t>
            </w:r>
            <w:proofErr w:type="spellStart"/>
            <w:r>
              <w:rPr>
                <w:rFonts w:ascii="Times New Roman" w:eastAsia="Times New Roman" w:hAnsi="Times New Roman" w:cs="Times New Roman"/>
                <w:sz w:val="24"/>
                <w:szCs w:val="24"/>
              </w:rPr>
              <w:t>păstrare.esențiale</w:t>
            </w:r>
            <w:proofErr w:type="spellEnd"/>
            <w:r>
              <w:rPr>
                <w:rFonts w:ascii="Times New Roman" w:eastAsia="Times New Roman" w:hAnsi="Times New Roman" w:cs="Times New Roman"/>
                <w:sz w:val="24"/>
                <w:szCs w:val="24"/>
              </w:rPr>
              <w:t xml:space="preserve"> pentru asigurarea unui cadru normativ coerent, care să garanteze administrarea unitară a Fondului Arhivistic al Republicii Moldova, delimitarea clară a competențelor dintre prestatorii privați de servicii de arhivă electronică și autoritatea arhivistică de stat, precum și protecția documentelor cu valoare arhivistică cu termen permanent de păstrare.</w:t>
            </w:r>
          </w:p>
          <w:p w14:paraId="7B439D9E"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C02BDB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Se ia act </w:t>
            </w:r>
            <w:r>
              <w:rPr>
                <w:rFonts w:ascii="Times New Roman" w:eastAsia="Times New Roman" w:hAnsi="Times New Roman" w:cs="Times New Roman"/>
                <w:sz w:val="24"/>
                <w:szCs w:val="24"/>
              </w:rPr>
              <w:t xml:space="preserve">de informația privind elaborarea, de către Agenția Națională a Arhivelor, a unui nou proiect al Legii Arhivelor, aflat în definitivare, menit să substituie Legea nr. 880/1992 și să reglementeze statutul juridic al documentelor electronice și al arhivei electronice naționale, introducând noțiunea de „operator de servicii arhivistice". </w:t>
            </w:r>
          </w:p>
          <w:p w14:paraId="4035177B" w14:textId="77777777" w:rsidR="00B9643D" w:rsidRDefault="00B9643D" w:rsidP="002E1162">
            <w:pPr>
              <w:jc w:val="both"/>
              <w:rPr>
                <w:rFonts w:ascii="Times New Roman" w:eastAsia="Times New Roman" w:hAnsi="Times New Roman" w:cs="Times New Roman"/>
                <w:sz w:val="24"/>
                <w:szCs w:val="24"/>
              </w:rPr>
            </w:pPr>
          </w:p>
        </w:tc>
      </w:tr>
      <w:tr w:rsidR="00B9643D" w14:paraId="170FFFC3" w14:textId="77777777" w:rsidTr="00CA3607">
        <w:tc>
          <w:tcPr>
            <w:tcW w:w="420" w:type="dxa"/>
            <w:shd w:val="clear" w:color="auto" w:fill="FFFFFF"/>
          </w:tcPr>
          <w:p w14:paraId="5FB2938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0D24EC6"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F24ECA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47</w:t>
            </w:r>
          </w:p>
        </w:tc>
        <w:tc>
          <w:tcPr>
            <w:tcW w:w="6075" w:type="dxa"/>
            <w:tcBorders>
              <w:top w:val="single" w:sz="4" w:space="0" w:color="000000"/>
              <w:bottom w:val="single" w:sz="4" w:space="0" w:color="000000"/>
              <w:right w:val="single" w:sz="4" w:space="0" w:color="000000"/>
            </w:tcBorders>
            <w:shd w:val="clear" w:color="auto" w:fill="FFFFFF"/>
          </w:tcPr>
          <w:p w14:paraId="4696A92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21¹ alin. (1), considerăm necesară reexaminarea soluției normative propuse.</w:t>
            </w:r>
          </w:p>
          <w:p w14:paraId="1CE39D0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Atenționăm că, externalizarea serviciilor de păstrare a documentelor de arhivă către mediul privat nu se poate face exclusiv în baza unei acreditări tehnice de „prestator de servicii de încredere”, ci necesită obligatoriu inclusiv deținerea autorizației de funcționare în domeniul arhivistic.</w:t>
            </w:r>
          </w:p>
          <w:p w14:paraId="630BCBF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Astfel, acreditarea tehnică a unui prestator de servicii de încredere (conform standardelor </w:t>
            </w:r>
            <w:proofErr w:type="spellStart"/>
            <w:r>
              <w:rPr>
                <w:rFonts w:ascii="Times New Roman" w:eastAsia="Times New Roman" w:hAnsi="Times New Roman" w:cs="Times New Roman"/>
                <w:sz w:val="24"/>
                <w:szCs w:val="24"/>
              </w:rPr>
              <w:t>eIDAS</w:t>
            </w:r>
            <w:proofErr w:type="spellEnd"/>
            <w:r>
              <w:rPr>
                <w:rFonts w:ascii="Times New Roman" w:eastAsia="Times New Roman" w:hAnsi="Times New Roman" w:cs="Times New Roman"/>
                <w:sz w:val="24"/>
                <w:szCs w:val="24"/>
              </w:rPr>
              <w:t xml:space="preserve">) nu este suficientă pentru a garanta respectarea rigorilor arhivistice naționale. Din acest considerent, Agenția Națională a Arhivelor (ANA) a inclus în noul proiect al Legii Arhivelor mecanismul juridic și instituțional necesar pentru autorizarea acestor entități private. Noul proiect de lege inițiat de ANA introduce noțiunea de „operator de servicii arhivistice”, definit ca persoana fizică autorizată sau persoana juridică de drept privat abilitată să presteze servicii de prelucrare arhivistică, </w:t>
            </w:r>
            <w:r>
              <w:rPr>
                <w:rFonts w:ascii="Times New Roman" w:eastAsia="Times New Roman" w:hAnsi="Times New Roman" w:cs="Times New Roman"/>
                <w:sz w:val="24"/>
                <w:szCs w:val="24"/>
              </w:rPr>
              <w:lastRenderedPageBreak/>
              <w:t>păstrare provizorie, conservare, digitizare și utilizare a documentelor de arhivă.</w:t>
            </w:r>
          </w:p>
          <w:p w14:paraId="569BB17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context, propunem următoarea redacție la art. 21¹ alin. (1):</w:t>
            </w:r>
          </w:p>
          <w:p w14:paraId="4ED4E36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Persoanele juridice de drept public și de drept privat pot utiliza servicii de arhivă electronică pentru păstrarea documentelor electronice cu termene de păstrare temporară. Aceste servicii pot fi prestate exclusiv de prestatori de servicii de încredere calificați, acreditați în conformitate cu legea privind identificarea electronică și serviciile de încredere, care dețin concomitent calitatea de operator de servicii arhivistice, fiind autorizați în condițiile legii de către organul de stat pentru supravegherea și administrarea Fondului Arhivistic al Republicii Moldova. Documentele electronice cu termen permanent de păstrare se predau și se păstrează obligatoriu în Sistemul informațional de stat „Arhiva electronică”.</w:t>
            </w:r>
          </w:p>
          <w:p w14:paraId="58753E2B" w14:textId="701234A6"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4DEEBF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02926DCC" w14:textId="77777777" w:rsidTr="00CA3607">
        <w:tc>
          <w:tcPr>
            <w:tcW w:w="420" w:type="dxa"/>
            <w:shd w:val="clear" w:color="auto" w:fill="FFFFFF"/>
          </w:tcPr>
          <w:p w14:paraId="5BD38DD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DF46AAF"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4AD9AA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48</w:t>
            </w:r>
          </w:p>
        </w:tc>
        <w:tc>
          <w:tcPr>
            <w:tcW w:w="6075" w:type="dxa"/>
            <w:tcBorders>
              <w:top w:val="single" w:sz="4" w:space="0" w:color="000000"/>
              <w:bottom w:val="single" w:sz="4" w:space="0" w:color="000000"/>
              <w:right w:val="single" w:sz="4" w:space="0" w:color="000000"/>
            </w:tcBorders>
            <w:shd w:val="clear" w:color="auto" w:fill="FFFFFF"/>
          </w:tcPr>
          <w:p w14:paraId="13130C2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 (2), menționarea expresă a Indicatorului documentelor-tip elimină ambiguitatea sintagmei generale „legislația aplicabilă” și aliniază norma propusă cu practica națională, obligând subiecții (publici și privați) să aplice același instrument normativ arhivistic unificat pentru calcularea termenului de păstrare. Aici ne referim doar la instituțiile care sunt surse de completare a Fondului Arhivistic al Republicii Moldova. Utilizarea termenului de „arhivă electronică securizată” aliniază textul legii cu intenția autorilor stipulată în nota de fundamentare și în tabelele de concordanță ale proiectului MDED. Includerea „lizibilității” ca standard minimal și delegarea stabilirii procedurilor tehnice către Regulile arhivistice (Regulamentul Fondului Arhivistic) asigură interconectarea corectă cu noul proiect al Legii Arhivelor, prevenind dublarea reglementărilor.</w:t>
            </w:r>
          </w:p>
          <w:p w14:paraId="5CC5137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Pornind de la cele expuse, pentru a asigura o terminologie unitară, a delimita clar instrumentul de stabilire a termenelor de păstrare și a conecta standardele tehnice la cadrul normativ </w:t>
            </w:r>
            <w:r>
              <w:rPr>
                <w:rFonts w:ascii="Times New Roman" w:eastAsia="Times New Roman" w:hAnsi="Times New Roman" w:cs="Times New Roman"/>
                <w:sz w:val="24"/>
                <w:szCs w:val="24"/>
              </w:rPr>
              <w:lastRenderedPageBreak/>
              <w:t>arhivistic, recomandăm reformularea art. 21¹ alin. (2) în felul următor:</w:t>
            </w:r>
          </w:p>
          <w:p w14:paraId="6B63D410" w14:textId="5823A9E6"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Documentele electronice păstrate în cadrul unei arhive electronice securizate, pentru termenul prevăzut în Indicatorul documentelor-tip și al termenelor lor de păstrare, aplicabil documentelor echivalente pe suport de hârtie, se consideră păstrate în conformitate cu prezenta lege, cu condiția respectării standardelor minimale privind integritatea, autenticitatea, disponibilitatea, lizibilitatea și trasabilitatea documentelor, stabilite de Agenția Națională a Arhivelor prin Regulile arhivistice (Regulamentul Fondului Arhivistic) aprobate de Guvern”.</w:t>
            </w:r>
          </w:p>
          <w:p w14:paraId="6FCB6B96"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9EB4A6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00ADF569" w14:textId="77777777" w:rsidTr="00CA3607">
        <w:tc>
          <w:tcPr>
            <w:tcW w:w="420" w:type="dxa"/>
            <w:shd w:val="clear" w:color="auto" w:fill="FFFFFF"/>
          </w:tcPr>
          <w:p w14:paraId="468AE1C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9058C9B"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4EFEEF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49</w:t>
            </w:r>
          </w:p>
        </w:tc>
        <w:tc>
          <w:tcPr>
            <w:tcW w:w="6075" w:type="dxa"/>
            <w:tcBorders>
              <w:top w:val="single" w:sz="4" w:space="0" w:color="000000"/>
              <w:bottom w:val="single" w:sz="4" w:space="0" w:color="000000"/>
              <w:right w:val="single" w:sz="4" w:space="0" w:color="000000"/>
            </w:tcBorders>
            <w:shd w:val="clear" w:color="auto" w:fill="FFFFFF"/>
          </w:tcPr>
          <w:p w14:paraId="43AEB58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altă ordine de idei, pentru a asigura o integrare corectă a terminologiei sistemului OAIS (Conceptul </w:t>
            </w:r>
            <w:proofErr w:type="spellStart"/>
            <w:r>
              <w:rPr>
                <w:rFonts w:ascii="Times New Roman" w:eastAsia="Times New Roman" w:hAnsi="Times New Roman" w:cs="Times New Roman"/>
                <w:sz w:val="24"/>
                <w:szCs w:val="24"/>
              </w:rPr>
              <w:t>eArhiva</w:t>
            </w:r>
            <w:proofErr w:type="spellEnd"/>
            <w:r>
              <w:rPr>
                <w:rFonts w:ascii="Times New Roman" w:eastAsia="Times New Roman" w:hAnsi="Times New Roman" w:cs="Times New Roman"/>
                <w:sz w:val="24"/>
                <w:szCs w:val="24"/>
              </w:rPr>
              <w:t>) și pentru a racorda norma la mecanismul de reglementare din noul proiect al Legii Arhivelor, recomandăm reformularea art. 21¹ alin. (3).</w:t>
            </w:r>
          </w:p>
          <w:p w14:paraId="20778A7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Atenționăm că, completarea cu acest alineat creează un flux de viață complet și predictibil pentru documentul electronic cu valoare istorică (termen permanent), aliniind proiectul MDED la arhitectura noului proiect al Legii Arhivelor. Fixarea unui termen provizoriu de 15 ani la creator permite instituțiilor publice și private să își deservească operativ cetățenii și clienții, inclusiv prin eliberarea extraselor și copiilor. Această soluție este conformă cu legislația arhivistică și cu Codul administrativ nr. 116/2018 în perioada activă a documentului, până la transferarea documentelor de arhivă la arhiva de stat. Norma recunoaște și delimitează clar infrastructurile permise pentru faza provizorie: instituțiile vor folosi exclusiv sistemele proprii interne de gestionare a documentelor pentru păstrarea provizorie a documentelor cu termen permanent care vor fi luate la evidență de stat și monitorizate de către ANA. În același timp, dreptul de a folosi arhive electronice securizate (</w:t>
            </w:r>
            <w:proofErr w:type="spellStart"/>
            <w:r>
              <w:rPr>
                <w:rFonts w:ascii="Times New Roman" w:eastAsia="Times New Roman" w:hAnsi="Times New Roman" w:cs="Times New Roman"/>
                <w:sz w:val="24"/>
                <w:szCs w:val="24"/>
              </w:rPr>
              <w:t>externalizate</w:t>
            </w:r>
            <w:proofErr w:type="spellEnd"/>
            <w:r>
              <w:rPr>
                <w:rFonts w:ascii="Times New Roman" w:eastAsia="Times New Roman" w:hAnsi="Times New Roman" w:cs="Times New Roman"/>
                <w:sz w:val="24"/>
                <w:szCs w:val="24"/>
              </w:rPr>
              <w:t xml:space="preserve"> la prestatori privați de încredere) este limitat strict la documentele cu termen temporar de păstrare.</w:t>
            </w:r>
          </w:p>
          <w:p w14:paraId="2507991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acest sens, se propune următoarea redacție:</w:t>
            </w:r>
          </w:p>
          <w:p w14:paraId="2F8931D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Documentele electronice cu termen permanent de păstrare se păstrează provizoriu timp de 15 ani la instituția creatoare, în sistemul propriu de gestionare a documentelor, în scopul valorificării și eliberării copiilor și extraselor autentificate. La expirarea acestui termen, documentele electronice se transmit obligatoriu la păstrare de stat în Sistemul informațional „Arhiva electronică”, organul de stat asigurând siguranța cibernetică, capacitatea tehnică și de stocare necesară pentru preluarea și păstrarea permanentă a acestora.”.</w:t>
            </w:r>
          </w:p>
          <w:p w14:paraId="3D4901AF" w14:textId="77777777" w:rsidR="00B9643D" w:rsidRDefault="00B9643D" w:rsidP="002E1162">
            <w:pPr>
              <w:ind w:firstLine="378"/>
              <w:jc w:val="both"/>
              <w:rPr>
                <w:rFonts w:ascii="Times New Roman" w:eastAsia="Times New Roman" w:hAnsi="Times New Roman" w:cs="Times New Roman"/>
                <w:sz w:val="24"/>
                <w:szCs w:val="24"/>
              </w:rPr>
            </w:pPr>
          </w:p>
          <w:p w14:paraId="34D2597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privire la completarea Legii nr. 880/1992 cu articolul 271, Ministerul Justiției nu susține redacția propusă de autori și consideră oportună excluderea detaliilor procedurale din textul legii de bază. Pentru a proteja documentele de importanță națională împotriva distrugerii neautorizate sub pretextul digitizării și pentru a reflecta corect fluxul expertizei arhivistice, recomandăm reformularea art. 27¹ alin. (1) din proiect.</w:t>
            </w:r>
          </w:p>
          <w:p w14:paraId="04BFCBC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proiectul de lege propune, la art. 271 alin. (2), descrierea exactă a procedurii de distrugere a documentelor pe suport de hârtie după digitizare, impunând pași tehnici precum verificarea calității copiilor și întocmirea/păstrarea unui proces-verbal de expertiză și distrugere.</w:t>
            </w:r>
          </w:p>
          <w:p w14:paraId="4CF87F8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abordare contravine normelor de tehnică legislativă din următoarele considerente:</w:t>
            </w:r>
          </w:p>
          <w:p w14:paraId="74425F9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Legea nr. 880/1992 este un act normativ de nivel primar, care stabilește principiile generale de organizare, completare, păstrare și utilizare a Fondului Arhivistic. Legea nu are menirea de a descrie pași tehnici și administrativi detaliați. Aceeași abordare conceptuală este păstrată și în noul proiect al Legii Arhivelor, care reglementează regimul juridic general al documentelor de arhivă, fără a se substitui regulamentelor de punere în aplicare;</w:t>
            </w:r>
          </w:p>
          <w:p w14:paraId="315B4C5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conform legislației arhivistice, procedurile tehnice de acest tip sunt lăsate în seama actelor normative secundare. </w:t>
            </w:r>
            <w:r>
              <w:rPr>
                <w:rFonts w:ascii="Times New Roman" w:eastAsia="Times New Roman" w:hAnsi="Times New Roman" w:cs="Times New Roman"/>
                <w:sz w:val="24"/>
                <w:szCs w:val="24"/>
              </w:rPr>
              <w:lastRenderedPageBreak/>
              <w:t xml:space="preserve">Chiar și actuala Lege nr. 880/1992 stipulează expres la art. 27 că „Modul de distrugere a documentelor ce fac parte din Fondul Arhivistic al Republicii Moldova este stabilit de Organul de stat pentru supravegherea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administrarea Fondului Arhivistic”. De asemenea, noul proiect al Legii Arhivelor prevede, la art. 17, că detalierea procedurilor privind expertiza valorii, gestionarea, protecția și predarea documentelor se realizează prin Regulile arhivistice (Regulamentul Fondului Arhivistic) aprobate de Guvern;</w:t>
            </w:r>
          </w:p>
          <w:p w14:paraId="168BE5D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procedura exactă de distrugere a originalelor pe suport de hârtie ca urmare a creării unor arhive electronice necesită o abordare tehnologică minuțioasă. Pașii privind validarea calității copiilor digitale, </w:t>
            </w:r>
            <w:proofErr w:type="spellStart"/>
            <w:r>
              <w:rPr>
                <w:rFonts w:ascii="Times New Roman" w:eastAsia="Times New Roman" w:hAnsi="Times New Roman" w:cs="Times New Roman"/>
                <w:sz w:val="24"/>
                <w:szCs w:val="24"/>
              </w:rPr>
              <w:t>metadatele</w:t>
            </w:r>
            <w:proofErr w:type="spellEnd"/>
            <w:r>
              <w:rPr>
                <w:rFonts w:ascii="Times New Roman" w:eastAsia="Times New Roman" w:hAnsi="Times New Roman" w:cs="Times New Roman"/>
                <w:sz w:val="24"/>
                <w:szCs w:val="24"/>
              </w:rPr>
              <w:t xml:space="preserve"> necesare și modelul/aprobarea proceselor-verbale de distrugere trebuie stipulate într-un regulament specific aprobat de Guvern cu privire la digitizarea documentelor și arhivarea electronică sau în Regulile arhivistice, act care poate fi actualizat mult mai flexibil în funcție de evoluțiile tehnologice, și nicidecum incluși rigid în textul legii.</w:t>
            </w:r>
          </w:p>
          <w:p w14:paraId="200B92E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pentru a asigura un cadru normativ suplu și coerent recomandăm ca legea să consfințească exclusiv dreptul, ca normă generală, de a distruge documentele pe suport de hârtie cu termen temporar de păstrare, de până la 75 de ani, în urma unei digitizări conforme. Astfel, propunem excluderea alineatului (2) al articolului 27¹ propus, iar alineatul (1) să fie reformulat pentru a face trimitere directă la actele normative subordonate legii: „După digitizarea conformă, în condițiile legii, documentele pe suport de hârtie ce au fost digitizate, cu excepția documentelor cu termen permanent de păstrare care fac parte din Fondul Arhivistic al Republicii Moldova, pot fi distruse. Procedura exactă de expertiză a valorii arhivistice, digitizare conformă și distrugere, inclusiv modul de întocmire a proceselor-verbale, se stabilește de Agenția Națională a Arhivelor în cooperare cu Serviciul Tehnologiei Informației și Securitate Cibernetică prin Regulile arhivistice aprobate de Guvern.”.</w:t>
            </w:r>
          </w:p>
          <w:p w14:paraId="0FFD5335"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46DD38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04588929" w14:textId="77777777" w:rsidR="00B9643D" w:rsidRDefault="00B9643D" w:rsidP="002E1162">
            <w:pPr>
              <w:jc w:val="both"/>
              <w:rPr>
                <w:rFonts w:ascii="Times New Roman" w:eastAsia="Times New Roman" w:hAnsi="Times New Roman" w:cs="Times New Roman"/>
                <w:sz w:val="24"/>
                <w:szCs w:val="24"/>
              </w:rPr>
            </w:pPr>
          </w:p>
          <w:p w14:paraId="5392965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Cu referire la art. 21¹ alin. (3). Nu se acceptă substituirea redacției propuse în proiect. Alineatul (3) din proiect reglementează cerințele de interoperabilitate dintre arhivele electronice și Sistemul informațional „Arhiva electronică”, iar redacția propusă are un obiect distinct — regimul păstrării provizorii și al transferului la păstrare de stat. Preluarea acesteia ar elimina norma de interoperabilitate, care asigură tocmai mecanismul de transmitere a documentelor către arhivele de stat.</w:t>
            </w:r>
          </w:p>
          <w:p w14:paraId="399DE357" w14:textId="77777777" w:rsidR="00B9643D" w:rsidRDefault="00B9643D" w:rsidP="002E1162">
            <w:pPr>
              <w:jc w:val="both"/>
              <w:rPr>
                <w:rFonts w:ascii="Times New Roman" w:eastAsia="Times New Roman" w:hAnsi="Times New Roman" w:cs="Times New Roman"/>
                <w:sz w:val="24"/>
                <w:szCs w:val="24"/>
              </w:rPr>
            </w:pPr>
          </w:p>
          <w:p w14:paraId="79275DB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se acceptă în principiu preocupările privind delimitarea regimului documentelor cu termen permanent de păstrare, motiv pentru care articolul 21¹ se completează cu alineatul (4), cu următorul cuprins: „(4) Documentele electronice cu termen permanent de păstrare se transmit la păstrare de stat în condițiile și termenele stabilite de legislația arhivistică.”</w:t>
            </w:r>
          </w:p>
          <w:p w14:paraId="76441365" w14:textId="77777777" w:rsidR="00B9643D" w:rsidRDefault="00B9643D" w:rsidP="002E1162">
            <w:pPr>
              <w:jc w:val="both"/>
              <w:rPr>
                <w:rFonts w:ascii="Times New Roman" w:eastAsia="Times New Roman" w:hAnsi="Times New Roman" w:cs="Times New Roman"/>
                <w:sz w:val="24"/>
                <w:szCs w:val="24"/>
              </w:rPr>
            </w:pPr>
          </w:p>
          <w:p w14:paraId="2CA8EDB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Reglementarea termenului de păstrare provizorie la instituția creatoare, a infrastructurilor permise pentru faza provizorie și a obligațiilor organului de stat privind capacitatea tehnică și de stocare urmează a fi realizată în cadrul noului proiect al Legii Arhivelor, aceste soluții implicând un impact bugetar care necesită evaluare prealabilă și fiind condiționate de operaționalitatea Sistemului informațional „Arhiva electronică”.</w:t>
            </w:r>
          </w:p>
          <w:p w14:paraId="67B49890" w14:textId="77777777" w:rsidR="00B9643D" w:rsidRDefault="00B9643D" w:rsidP="002E1162">
            <w:pPr>
              <w:jc w:val="both"/>
              <w:rPr>
                <w:rFonts w:ascii="Times New Roman" w:eastAsia="Times New Roman" w:hAnsi="Times New Roman" w:cs="Times New Roman"/>
                <w:sz w:val="24"/>
                <w:szCs w:val="24"/>
              </w:rPr>
            </w:pPr>
          </w:p>
          <w:p w14:paraId="164DBBA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Cu referire la art. 27¹. Se acceptă argumentul de tehnică legislativă privind excluderea detaliilor procedurale din textul legii de bază. În consecință, alineatul (2) se exclude, iar articolul se expune în următoarea redacție:</w:t>
            </w:r>
          </w:p>
          <w:p w14:paraId="3F24F2B9" w14:textId="77777777" w:rsidR="00B9643D" w:rsidRDefault="00B9643D" w:rsidP="002E1162">
            <w:pPr>
              <w:jc w:val="both"/>
              <w:rPr>
                <w:rFonts w:ascii="Times New Roman" w:eastAsia="Times New Roman" w:hAnsi="Times New Roman" w:cs="Times New Roman"/>
                <w:sz w:val="24"/>
                <w:szCs w:val="24"/>
              </w:rPr>
            </w:pPr>
          </w:p>
          <w:p w14:paraId="0780831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27¹. Distrugerea documentelor după digitizare</w:t>
            </w:r>
          </w:p>
          <w:p w14:paraId="6832DC8E" w14:textId="77777777" w:rsidR="00B9643D" w:rsidRDefault="00B9643D" w:rsidP="002E1162">
            <w:pPr>
              <w:jc w:val="both"/>
              <w:rPr>
                <w:rFonts w:ascii="Times New Roman" w:eastAsia="Times New Roman" w:hAnsi="Times New Roman" w:cs="Times New Roman"/>
                <w:sz w:val="24"/>
                <w:szCs w:val="24"/>
              </w:rPr>
            </w:pPr>
          </w:p>
          <w:p w14:paraId="0244187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După digitizarea conformă, documentele pe suport de hârtie care au fost digitizate, precum și documentele electronice, cu excepția celor cu termen permanent de păstrare și a celor care fac parte din Fondul Arhivistic al Republicii Moldova, pot fi distruse, cu condiția asigurării integrității, autenticității și accesibilității copiilor electronice pe întreaga durată a termenului de păstrare aplicabil.</w:t>
            </w:r>
          </w:p>
          <w:p w14:paraId="096A6D43" w14:textId="77777777" w:rsidR="00B9643D" w:rsidRDefault="00B9643D" w:rsidP="002E1162">
            <w:pPr>
              <w:jc w:val="both"/>
              <w:rPr>
                <w:rFonts w:ascii="Times New Roman" w:eastAsia="Times New Roman" w:hAnsi="Times New Roman" w:cs="Times New Roman"/>
                <w:sz w:val="24"/>
                <w:szCs w:val="24"/>
              </w:rPr>
            </w:pPr>
          </w:p>
          <w:p w14:paraId="52EE5E6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Procedura de expertiză a valorii arhivistice, de digitizare conformă și de distrugere, inclusiv modul de întocmire și </w:t>
            </w:r>
            <w:r>
              <w:rPr>
                <w:rFonts w:ascii="Times New Roman" w:eastAsia="Times New Roman" w:hAnsi="Times New Roman" w:cs="Times New Roman"/>
                <w:sz w:val="24"/>
                <w:szCs w:val="24"/>
              </w:rPr>
              <w:lastRenderedPageBreak/>
              <w:t>păstrare a proceselor-verbale, se stabilește de organul de stat pentru supravegherea și administrarea Fondului Arhivistic al Republicii Moldova, în cooperare cu Serviciul Tehnologia Informației și Securitate Cibernetică, prin act normativ aprobat de Guvern.”</w:t>
            </w:r>
          </w:p>
          <w:p w14:paraId="1DA7CB88" w14:textId="77777777" w:rsidR="00B9643D" w:rsidRDefault="00B9643D" w:rsidP="002E1162">
            <w:pPr>
              <w:jc w:val="both"/>
              <w:rPr>
                <w:rFonts w:ascii="Times New Roman" w:eastAsia="Times New Roman" w:hAnsi="Times New Roman" w:cs="Times New Roman"/>
                <w:sz w:val="24"/>
                <w:szCs w:val="24"/>
              </w:rPr>
            </w:pPr>
          </w:p>
          <w:p w14:paraId="4937E73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Titlul articolului se ajustează corespunzător, întrucât norma vizează atât documentele pe suport de hârtie, cât și documentele electronice.</w:t>
            </w:r>
          </w:p>
        </w:tc>
      </w:tr>
      <w:tr w:rsidR="00B9643D" w14:paraId="2CFDDCCD" w14:textId="77777777" w:rsidTr="00CA3607">
        <w:tc>
          <w:tcPr>
            <w:tcW w:w="420" w:type="dxa"/>
            <w:shd w:val="clear" w:color="auto" w:fill="FFFFFF"/>
          </w:tcPr>
          <w:p w14:paraId="2CAC7B1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FFBC35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88150E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50</w:t>
            </w:r>
          </w:p>
        </w:tc>
        <w:tc>
          <w:tcPr>
            <w:tcW w:w="6075" w:type="dxa"/>
            <w:tcBorders>
              <w:top w:val="single" w:sz="4" w:space="0" w:color="000000"/>
              <w:bottom w:val="single" w:sz="4" w:space="0" w:color="000000"/>
              <w:right w:val="single" w:sz="4" w:space="0" w:color="000000"/>
            </w:tcBorders>
            <w:shd w:val="clear" w:color="auto" w:fill="FFFFFF"/>
          </w:tcPr>
          <w:p w14:paraId="0409BF5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IV - (Legea nr. 114/2012 cu privire la serviciile de plată și moneda electronică).</w:t>
            </w:r>
          </w:p>
          <w:p w14:paraId="04FECF3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2, cu referire la completarea art. 3 cu noțiunea de „societate de plată mică”, se consideră necesară revizuirea definiției propuse sub aspectul clarității și previzibilității normei. Astfel, sintagma „operațiuni de plată au un volum limitat” nu stabilește criterii obiective care să permită delimitarea acestei categorii de celelalte societăți de plată, fiind susceptibilă de interpretări diferite. În acest context, se recomandă ca legea să stabilească elementele esențiale de diferențiere sau, cel puțin, criteriile obiective în baza cărora o societate este calificată drept „societate de plată mică”, astfel încât destinatarii normei să poată identifica în mod previzibil regimul juridic aplicabil.</w:t>
            </w:r>
          </w:p>
          <w:p w14:paraId="3E5F4911"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882E8D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012B6DE1" w14:textId="77777777" w:rsidR="00B9643D" w:rsidRDefault="00B9643D" w:rsidP="002E1162">
            <w:pPr>
              <w:jc w:val="both"/>
              <w:rPr>
                <w:rFonts w:ascii="Times New Roman" w:eastAsia="Times New Roman" w:hAnsi="Times New Roman" w:cs="Times New Roman"/>
                <w:sz w:val="24"/>
                <w:szCs w:val="24"/>
              </w:rPr>
            </w:pPr>
          </w:p>
          <w:p w14:paraId="7A23082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pct. 8.</w:t>
            </w:r>
          </w:p>
        </w:tc>
      </w:tr>
      <w:tr w:rsidR="00B9643D" w14:paraId="7F9A7DB2" w14:textId="77777777" w:rsidTr="00CA3607">
        <w:tc>
          <w:tcPr>
            <w:tcW w:w="420" w:type="dxa"/>
            <w:shd w:val="clear" w:color="auto" w:fill="FFFFFF"/>
          </w:tcPr>
          <w:p w14:paraId="220C6EE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2066F60"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BEB943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51</w:t>
            </w:r>
          </w:p>
        </w:tc>
        <w:tc>
          <w:tcPr>
            <w:tcW w:w="6075" w:type="dxa"/>
            <w:tcBorders>
              <w:top w:val="single" w:sz="4" w:space="0" w:color="000000"/>
              <w:bottom w:val="single" w:sz="4" w:space="0" w:color="000000"/>
              <w:right w:val="single" w:sz="4" w:space="0" w:color="000000"/>
            </w:tcBorders>
            <w:shd w:val="clear" w:color="auto" w:fill="FFFFFF"/>
          </w:tcPr>
          <w:p w14:paraId="77A1A96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3, sub aspectul respectării regulilor de tehnică legislativă, se va revizui redactarea dispoziției de modificare, întrucât unitățile structurale trebuie indicate în conformitate cu normele de redactare a actelor normative. Astfel, textul „Articolul 5)” urmează a fi substituită cu textul „Articolul 5”, iar textul „litera (b¹)” urmează a fi substituită cu textul „litera b¹)”.</w:t>
            </w:r>
          </w:p>
        </w:tc>
        <w:tc>
          <w:tcPr>
            <w:tcW w:w="4530" w:type="dxa"/>
            <w:tcBorders>
              <w:top w:val="single" w:sz="4" w:space="0" w:color="000000"/>
              <w:bottom w:val="single" w:sz="4" w:space="0" w:color="000000"/>
              <w:right w:val="single" w:sz="4" w:space="0" w:color="000000"/>
            </w:tcBorders>
            <w:shd w:val="clear" w:color="auto" w:fill="FFFFFF"/>
          </w:tcPr>
          <w:p w14:paraId="0FEC500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77C5CE6A" w14:textId="77777777" w:rsidR="00B9643D" w:rsidRDefault="00B9643D" w:rsidP="002E1162">
            <w:pPr>
              <w:jc w:val="both"/>
              <w:rPr>
                <w:rFonts w:ascii="Times New Roman" w:eastAsia="Times New Roman" w:hAnsi="Times New Roman" w:cs="Times New Roman"/>
                <w:sz w:val="24"/>
                <w:szCs w:val="24"/>
              </w:rPr>
            </w:pPr>
          </w:p>
          <w:p w14:paraId="7A8C9E1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pct. 8.</w:t>
            </w:r>
          </w:p>
        </w:tc>
      </w:tr>
      <w:tr w:rsidR="00B9643D" w14:paraId="1D2A75DA" w14:textId="77777777" w:rsidTr="00CA3607">
        <w:tc>
          <w:tcPr>
            <w:tcW w:w="420" w:type="dxa"/>
            <w:shd w:val="clear" w:color="auto" w:fill="FFFFFF"/>
          </w:tcPr>
          <w:p w14:paraId="64D51AA9"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E6CAF1E"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A86F70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52</w:t>
            </w:r>
          </w:p>
        </w:tc>
        <w:tc>
          <w:tcPr>
            <w:tcW w:w="6075" w:type="dxa"/>
            <w:tcBorders>
              <w:top w:val="single" w:sz="4" w:space="0" w:color="000000"/>
              <w:bottom w:val="single" w:sz="4" w:space="0" w:color="000000"/>
              <w:right w:val="single" w:sz="4" w:space="0" w:color="000000"/>
            </w:tcBorders>
            <w:shd w:val="clear" w:color="auto" w:fill="FFFFFF"/>
          </w:tcPr>
          <w:p w14:paraId="08E0328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8, la articolul 23³ alin. (1), trimiterea la dispozițiile art. 14 alin. (2) necesită ajustare din perspectiva tehnicii legislative. În vederea asigurării clarității și uniformității redactării, se propune ca punctele la care se face trimitere să fie indicate cu paranteză după numărul acestora. Astfel, textul „art. 14 alin. (2) pct. 7 lit. a)-c), e)-h) și l), pct. 8, 12 și 14” se va substitui cu textul: „art. 14 alin. (2) pct. 7) lit. a)-c), e)-h) și l), pct. 8), 12) și 14)”.</w:t>
            </w:r>
          </w:p>
          <w:p w14:paraId="76C08FCD"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459A2C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0DC5CCEA" w14:textId="77777777" w:rsidR="00B9643D" w:rsidRDefault="00B9643D" w:rsidP="002E1162">
            <w:pPr>
              <w:jc w:val="both"/>
              <w:rPr>
                <w:rFonts w:ascii="Times New Roman" w:eastAsia="Times New Roman" w:hAnsi="Times New Roman" w:cs="Times New Roman"/>
                <w:sz w:val="24"/>
                <w:szCs w:val="24"/>
              </w:rPr>
            </w:pPr>
          </w:p>
          <w:p w14:paraId="7852D7B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pct. 8.</w:t>
            </w:r>
          </w:p>
        </w:tc>
      </w:tr>
      <w:tr w:rsidR="00B9643D" w14:paraId="2FF91DED" w14:textId="77777777" w:rsidTr="00CA3607">
        <w:tc>
          <w:tcPr>
            <w:tcW w:w="420" w:type="dxa"/>
            <w:shd w:val="clear" w:color="auto" w:fill="FFFFFF"/>
          </w:tcPr>
          <w:p w14:paraId="00F7F51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382B62B"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89373A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w:t>
            </w:r>
          </w:p>
        </w:tc>
        <w:tc>
          <w:tcPr>
            <w:tcW w:w="6075" w:type="dxa"/>
            <w:tcBorders>
              <w:top w:val="single" w:sz="4" w:space="0" w:color="000000"/>
              <w:bottom w:val="single" w:sz="4" w:space="0" w:color="000000"/>
              <w:right w:val="single" w:sz="4" w:space="0" w:color="000000"/>
            </w:tcBorders>
            <w:shd w:val="clear" w:color="auto" w:fill="FFFFFF"/>
          </w:tcPr>
          <w:p w14:paraId="1BC89F6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4, formularea „la articolul 52, alineatul (3), ultima frază se modifică și se completează cu următorul cuprins” nu corespunde conținutului intervenției legislative propuse. Întrucât se instituie o reglementare nouă, care reformulează și completează partea finală a alineatului (3), din considerente </w:t>
            </w:r>
            <w:r>
              <w:rPr>
                <w:rFonts w:ascii="Times New Roman" w:eastAsia="Times New Roman" w:hAnsi="Times New Roman" w:cs="Times New Roman"/>
                <w:sz w:val="24"/>
                <w:szCs w:val="24"/>
              </w:rPr>
              <w:lastRenderedPageBreak/>
              <w:t>de tehnică legislativă, se propune ca dispoziția de modificare să fie expusă în următoarea redacție:</w:t>
            </w:r>
          </w:p>
          <w:p w14:paraId="7A9885D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52, alineatul (3) va avea următorul cuprins:”</w:t>
            </w:r>
          </w:p>
          <w:p w14:paraId="0667510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Redarea integrală a alineatului asigură claritatea și coerența textului normativ și evită dificultățile de interpretare privind întinderea modificărilor operate.</w:t>
            </w:r>
          </w:p>
          <w:p w14:paraId="67EA3B50"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FF261D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30A0B05A" w14:textId="77777777" w:rsidR="00B9643D" w:rsidRDefault="00B9643D" w:rsidP="002E1162">
            <w:pPr>
              <w:jc w:val="both"/>
              <w:rPr>
                <w:rFonts w:ascii="Times New Roman" w:eastAsia="Times New Roman" w:hAnsi="Times New Roman" w:cs="Times New Roman"/>
                <w:sz w:val="24"/>
                <w:szCs w:val="24"/>
              </w:rPr>
            </w:pPr>
          </w:p>
          <w:p w14:paraId="1F9A437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pct. 8.</w:t>
            </w:r>
          </w:p>
          <w:p w14:paraId="7C1AECBE" w14:textId="77777777" w:rsidR="00B9643D" w:rsidRDefault="00B9643D" w:rsidP="002E1162">
            <w:pPr>
              <w:jc w:val="both"/>
              <w:rPr>
                <w:rFonts w:ascii="Times New Roman" w:eastAsia="Times New Roman" w:hAnsi="Times New Roman" w:cs="Times New Roman"/>
                <w:sz w:val="24"/>
                <w:szCs w:val="24"/>
              </w:rPr>
            </w:pPr>
          </w:p>
        </w:tc>
      </w:tr>
      <w:tr w:rsidR="00B9643D" w14:paraId="7402966B" w14:textId="77777777" w:rsidTr="00CA3607">
        <w:tc>
          <w:tcPr>
            <w:tcW w:w="420" w:type="dxa"/>
            <w:shd w:val="clear" w:color="auto" w:fill="FFFFFF"/>
          </w:tcPr>
          <w:p w14:paraId="02FDCBF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D86856A"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CB926A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54</w:t>
            </w:r>
          </w:p>
        </w:tc>
        <w:tc>
          <w:tcPr>
            <w:tcW w:w="6075" w:type="dxa"/>
            <w:tcBorders>
              <w:top w:val="single" w:sz="4" w:space="0" w:color="000000"/>
              <w:bottom w:val="single" w:sz="4" w:space="0" w:color="000000"/>
              <w:right w:val="single" w:sz="4" w:space="0" w:color="000000"/>
            </w:tcBorders>
            <w:shd w:val="clear" w:color="auto" w:fill="FFFFFF"/>
          </w:tcPr>
          <w:p w14:paraId="360D8C4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5, dispoziția de modificare urmează a fi reformulată din perspectiva tehnicii legislative. Astfel, textul „La articolul 6, alin. (1), fraza a doua, propoziția de la final” nu asigură o identificare suficient de clară a textului supus modificării. Se recomandă utilizarea formulei de modificare prin substituirea textului, după cum urmează:</w:t>
            </w:r>
          </w:p>
          <w:p w14:paraId="3F9BC13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6 alineatul (1), textul „și se actualizează anual de entitatea raportoare, iar la cerere se prezintă Serviciului sau organelor cu funcții de supraveghere a entităților raportoare” se substituie cu textul „și se actualizează periodic, dar nu mai rar de o dată la 2 ani sau ori de câte ori intervin schimbări semnificative în activitatea entității raportoare sau în profilul de risc al clienților. Pentru entitățile raportoare cu profil de risc ridicat, Serviciul poate stabili, prin acte normative, o frecvență mai ridicată de actualizare. Evaluarea se prezintă Serviciului sau organelor cu funcții de supraveghere a entităților raportoare la cererea acestora.”.</w:t>
            </w:r>
          </w:p>
          <w:p w14:paraId="40CC0418"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DC5E74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5C478C54" w14:textId="77777777" w:rsidR="00B9643D" w:rsidRDefault="00B9643D" w:rsidP="002E1162">
            <w:pPr>
              <w:jc w:val="both"/>
              <w:rPr>
                <w:rFonts w:ascii="Times New Roman" w:eastAsia="Times New Roman" w:hAnsi="Times New Roman" w:cs="Times New Roman"/>
                <w:sz w:val="24"/>
                <w:szCs w:val="24"/>
              </w:rPr>
            </w:pPr>
          </w:p>
          <w:p w14:paraId="3FDF490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pct. 8.</w:t>
            </w:r>
          </w:p>
        </w:tc>
      </w:tr>
      <w:tr w:rsidR="00B9643D" w14:paraId="70801420" w14:textId="77777777" w:rsidTr="00CA3607">
        <w:tc>
          <w:tcPr>
            <w:tcW w:w="420" w:type="dxa"/>
            <w:shd w:val="clear" w:color="auto" w:fill="FFFFFF"/>
          </w:tcPr>
          <w:p w14:paraId="22517C2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B140888"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A981DA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55</w:t>
            </w:r>
          </w:p>
        </w:tc>
        <w:tc>
          <w:tcPr>
            <w:tcW w:w="6075" w:type="dxa"/>
            <w:tcBorders>
              <w:top w:val="single" w:sz="4" w:space="0" w:color="000000"/>
              <w:bottom w:val="single" w:sz="4" w:space="0" w:color="000000"/>
              <w:right w:val="single" w:sz="4" w:space="0" w:color="000000"/>
            </w:tcBorders>
            <w:shd w:val="clear" w:color="auto" w:fill="FFFFFF"/>
          </w:tcPr>
          <w:p w14:paraId="042C09C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6, din considerente de tehnică legislativă, se propune excluderea textului „6. Articolul 6”, întrucât aceasta a fost deja indicată la pct. 5, ambele intervenții legislative vizând același articol. În consecință, dispoziția urmează a fi redactată astfel: „se completează cu alineatul (13), cu următorul cuprins:”. </w:t>
            </w:r>
            <w:proofErr w:type="spellStart"/>
            <w:r>
              <w:rPr>
                <w:rFonts w:ascii="Times New Roman" w:eastAsia="Times New Roman" w:hAnsi="Times New Roman" w:cs="Times New Roman"/>
                <w:sz w:val="24"/>
                <w:szCs w:val="24"/>
              </w:rPr>
              <w:t>Totodată,în</w:t>
            </w:r>
            <w:proofErr w:type="spellEnd"/>
            <w:r>
              <w:rPr>
                <w:rFonts w:ascii="Times New Roman" w:eastAsia="Times New Roman" w:hAnsi="Times New Roman" w:cs="Times New Roman"/>
                <w:sz w:val="24"/>
                <w:szCs w:val="24"/>
              </w:rPr>
              <w:t xml:space="preserve"> urma acestei ajustări, numerotarea elementelor structurale ale proiectului va fi adaptată corespunzător. </w:t>
            </w:r>
          </w:p>
          <w:p w14:paraId="78B56341"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1ADB68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6040A4C5" w14:textId="77777777" w:rsidR="00B9643D" w:rsidRDefault="00B9643D" w:rsidP="002E1162">
            <w:pPr>
              <w:jc w:val="both"/>
              <w:rPr>
                <w:rFonts w:ascii="Times New Roman" w:eastAsia="Times New Roman" w:hAnsi="Times New Roman" w:cs="Times New Roman"/>
                <w:sz w:val="24"/>
                <w:szCs w:val="24"/>
              </w:rPr>
            </w:pPr>
          </w:p>
          <w:p w14:paraId="2AFE153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pct. 8.</w:t>
            </w:r>
          </w:p>
        </w:tc>
      </w:tr>
      <w:tr w:rsidR="00B9643D" w14:paraId="2A6CB675" w14:textId="77777777" w:rsidTr="00CA3607">
        <w:tc>
          <w:tcPr>
            <w:tcW w:w="420" w:type="dxa"/>
            <w:shd w:val="clear" w:color="auto" w:fill="FFFFFF"/>
          </w:tcPr>
          <w:p w14:paraId="7C90FE3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175881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4F24A1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56</w:t>
            </w:r>
          </w:p>
        </w:tc>
        <w:tc>
          <w:tcPr>
            <w:tcW w:w="6075" w:type="dxa"/>
            <w:tcBorders>
              <w:top w:val="single" w:sz="4" w:space="0" w:color="000000"/>
              <w:bottom w:val="single" w:sz="4" w:space="0" w:color="000000"/>
              <w:right w:val="single" w:sz="4" w:space="0" w:color="000000"/>
            </w:tcBorders>
            <w:shd w:val="clear" w:color="auto" w:fill="FFFFFF"/>
          </w:tcPr>
          <w:p w14:paraId="0E116AF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7, dispoziția de modificare urmează a fi revizuită din perspectiva tehnicii legislative, pentru a reda cu exactitate </w:t>
            </w:r>
            <w:r>
              <w:rPr>
                <w:rFonts w:ascii="Times New Roman" w:eastAsia="Times New Roman" w:hAnsi="Times New Roman" w:cs="Times New Roman"/>
                <w:sz w:val="24"/>
                <w:szCs w:val="24"/>
              </w:rPr>
              <w:lastRenderedPageBreak/>
              <w:t>textul în vigoare. Întrucât în art. 9 alin. (23) din lege sintagma este redactată cu majusculă „Perioada de păstrare”, aceasta urmează a fi reprodusă întocmai în norma de modificare. Totodată, pentru uniformitate redacțională, se recomandă utilizarea termenului „textul” în loc de „sintagma”. În consecință, dispoziția va avea următorul cuprins:</w:t>
            </w:r>
          </w:p>
          <w:p w14:paraId="4D413D1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9 alineatul (23), după cuvintele „Perioada de păstrare” se completează cu textul „prevăzută la alin. (22)”.</w:t>
            </w:r>
          </w:p>
          <w:p w14:paraId="431F1ACD"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B540C2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transmis după competență</w:t>
            </w:r>
          </w:p>
          <w:p w14:paraId="02641529" w14:textId="77777777" w:rsidR="00B9643D" w:rsidRDefault="00B9643D" w:rsidP="002E1162">
            <w:pPr>
              <w:jc w:val="both"/>
              <w:rPr>
                <w:rFonts w:ascii="Times New Roman" w:eastAsia="Times New Roman" w:hAnsi="Times New Roman" w:cs="Times New Roman"/>
                <w:sz w:val="24"/>
                <w:szCs w:val="24"/>
              </w:rPr>
            </w:pPr>
          </w:p>
          <w:p w14:paraId="548C6E3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A se vedea pct. 8.</w:t>
            </w:r>
          </w:p>
        </w:tc>
      </w:tr>
      <w:tr w:rsidR="00B9643D" w14:paraId="68F95C9E" w14:textId="77777777" w:rsidTr="00CA3607">
        <w:tc>
          <w:tcPr>
            <w:tcW w:w="420" w:type="dxa"/>
            <w:shd w:val="clear" w:color="auto" w:fill="FFFFFF"/>
          </w:tcPr>
          <w:p w14:paraId="27A070C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1129C8A"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20C40B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57</w:t>
            </w:r>
          </w:p>
        </w:tc>
        <w:tc>
          <w:tcPr>
            <w:tcW w:w="6075" w:type="dxa"/>
            <w:tcBorders>
              <w:top w:val="single" w:sz="4" w:space="0" w:color="000000"/>
              <w:bottom w:val="single" w:sz="4" w:space="0" w:color="000000"/>
              <w:right w:val="single" w:sz="4" w:space="0" w:color="000000"/>
            </w:tcBorders>
            <w:shd w:val="clear" w:color="auto" w:fill="FFFFFF"/>
          </w:tcPr>
          <w:p w14:paraId="26900C7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8-10 se vor comasa într-un singur punct, deoarece vizează modificarea art. 11. Totodată, dispozițiile de modificare urmează a fi revizuite din perspectiva tehnicii legislative, întrucât textul propus vizează completarea în două locuri distincte ale alineatelor respective. În vederea asigurării clarității normei, se propune expunerea alin. (2), (3) și (31) din art. 11 în redacție nouă.</w:t>
            </w:r>
          </w:p>
          <w:p w14:paraId="3B1B5325"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25181C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2BED09EF" w14:textId="77777777" w:rsidR="00B9643D" w:rsidRDefault="00B9643D" w:rsidP="002E1162">
            <w:pPr>
              <w:jc w:val="both"/>
              <w:rPr>
                <w:rFonts w:ascii="Times New Roman" w:eastAsia="Times New Roman" w:hAnsi="Times New Roman" w:cs="Times New Roman"/>
                <w:sz w:val="24"/>
                <w:szCs w:val="24"/>
              </w:rPr>
            </w:pPr>
          </w:p>
          <w:p w14:paraId="3FA2F0B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pct. 8.</w:t>
            </w:r>
          </w:p>
        </w:tc>
      </w:tr>
      <w:tr w:rsidR="00B9643D" w14:paraId="4916C31A" w14:textId="77777777" w:rsidTr="00CA3607">
        <w:tc>
          <w:tcPr>
            <w:tcW w:w="420" w:type="dxa"/>
            <w:shd w:val="clear" w:color="auto" w:fill="FFFFFF"/>
          </w:tcPr>
          <w:p w14:paraId="416305D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EE31CC3"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9D325A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58</w:t>
            </w:r>
          </w:p>
        </w:tc>
        <w:tc>
          <w:tcPr>
            <w:tcW w:w="6075" w:type="dxa"/>
            <w:tcBorders>
              <w:top w:val="single" w:sz="4" w:space="0" w:color="000000"/>
              <w:bottom w:val="single" w:sz="4" w:space="0" w:color="000000"/>
              <w:right w:val="single" w:sz="4" w:space="0" w:color="000000"/>
            </w:tcBorders>
            <w:shd w:val="clear" w:color="auto" w:fill="FFFFFF"/>
          </w:tcPr>
          <w:p w14:paraId="27FC413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11, textul „adoptate în condițiile Legii nr. 100/2017 cu privire la actele normative” este redundant și nu se recomandă includerea acestuia în cuprinsul normei, întrucât procedura de adoptare a actelor normative este reglementată unitar de Legea nr. 100/2017 cu privire la actele normative și se aplică de drept tuturor actelor normative. În consecință, se propune excluderea acestui text prin norma nominalizată.</w:t>
            </w:r>
          </w:p>
          <w:p w14:paraId="74585613"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BEB120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transmis după competență</w:t>
            </w:r>
          </w:p>
          <w:p w14:paraId="041EC15A" w14:textId="77777777" w:rsidR="00B9643D" w:rsidRDefault="00B9643D" w:rsidP="002E1162">
            <w:pPr>
              <w:jc w:val="both"/>
              <w:rPr>
                <w:rFonts w:ascii="Times New Roman" w:eastAsia="Times New Roman" w:hAnsi="Times New Roman" w:cs="Times New Roman"/>
                <w:sz w:val="24"/>
                <w:szCs w:val="24"/>
              </w:rPr>
            </w:pPr>
          </w:p>
          <w:p w14:paraId="2AEC5F7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pct. 8.</w:t>
            </w:r>
          </w:p>
        </w:tc>
      </w:tr>
      <w:tr w:rsidR="00B9643D" w14:paraId="31B3A57A" w14:textId="77777777" w:rsidTr="00CA3607">
        <w:tc>
          <w:tcPr>
            <w:tcW w:w="420" w:type="dxa"/>
            <w:shd w:val="clear" w:color="auto" w:fill="FFFFFF"/>
          </w:tcPr>
          <w:p w14:paraId="09478DB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9158EF0"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B1949A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59</w:t>
            </w:r>
          </w:p>
        </w:tc>
        <w:tc>
          <w:tcPr>
            <w:tcW w:w="6075" w:type="dxa"/>
            <w:tcBorders>
              <w:top w:val="single" w:sz="4" w:space="0" w:color="000000"/>
              <w:bottom w:val="single" w:sz="4" w:space="0" w:color="000000"/>
              <w:right w:val="single" w:sz="4" w:space="0" w:color="000000"/>
            </w:tcBorders>
            <w:shd w:val="clear" w:color="auto" w:fill="FFFFFF"/>
          </w:tcPr>
          <w:p w14:paraId="442B7BE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VII - (Legea nr. 174/2021 privind mecanismul de examinare a investițiilor de importanță pentru securitatea statului).</w:t>
            </w:r>
          </w:p>
          <w:p w14:paraId="533D776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1, referitor la completarea articolului 2 cu noțiunea „tehnologie critică”, se impune reexaminarea textului din perspectiva tehnicii legislative și a previzibilității normei.</w:t>
            </w:r>
          </w:p>
          <w:p w14:paraId="7819A6F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special, formularea definiției include o trimitere la „Recomandarea Comisiei Europene C(2023) 6689 din 3 octombrie 2023 privind tehnologiile critice pentru securitatea economică a Uniunii Europene, precum și în actele ulterioare </w:t>
            </w:r>
            <w:r>
              <w:rPr>
                <w:rFonts w:ascii="Times New Roman" w:eastAsia="Times New Roman" w:hAnsi="Times New Roman" w:cs="Times New Roman"/>
                <w:sz w:val="24"/>
                <w:szCs w:val="24"/>
              </w:rPr>
              <w:lastRenderedPageBreak/>
              <w:t>de modificare sau înlocuire ale acesteia”, ceea ce introduce o normă cu caracter dinamic, dependentă de evoluția ulterioară a unui act extern al Uniunii Europene. O asemenea tehnică de redactare afectează stabilitatea și claritatea normei juridice interne și nu asigură un grad suficient de previzibilitate pentru destinatarii legii.</w:t>
            </w:r>
          </w:p>
          <w:p w14:paraId="0B28478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se atrage atenția că integrarea unor trimiteri la acte ale Uniunii Europene este oportună doar în măsura în care acestea sunt determinate și asumate în mod expres de legiuitor, fără a lăsa deschisă aplicarea automată a modificărilor ulterioare ale acestor acte.</w:t>
            </w:r>
          </w:p>
          <w:p w14:paraId="234DA7A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fel, se reține că includerea în legislația națională a unor trimiteri directe la acte ale Uniunii Europene, inclusiv la recomandări ale Comisiei Europene sau la alte acte de drept european ne-transpuse, nu constituie o tehnică legislativă adecvată.</w:t>
            </w:r>
          </w:p>
          <w:p w14:paraId="752519F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de acte nu produc efecte juridice directe în ordinea juridică internă, iar conținutul lor normativ poate fi utilizat în dreptul național numai prin transpunere expresă în legislația Republicii Moldova.</w:t>
            </w:r>
          </w:p>
          <w:p w14:paraId="2B62EFD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se recomandă fie eliminarea trimiterilor directe la „Recomandarea Comisiei Europene C(2023) 6689” și la actele sale ulterioare, fie preluarea conținutului relevant prin norme interne de transpunere, cu redarea acestuia într-o formă stabilă, clară și determinată în actul normativ național.</w:t>
            </w:r>
          </w:p>
          <w:p w14:paraId="0470C1D3"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4C85FB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460BF14D" w14:textId="77777777" w:rsidR="00B9643D" w:rsidRDefault="00B9643D" w:rsidP="002E1162">
            <w:pPr>
              <w:jc w:val="both"/>
              <w:rPr>
                <w:rFonts w:ascii="Times New Roman" w:eastAsia="Times New Roman" w:hAnsi="Times New Roman" w:cs="Times New Roman"/>
                <w:b/>
                <w:bCs/>
                <w:sz w:val="24"/>
                <w:szCs w:val="24"/>
              </w:rPr>
            </w:pPr>
          </w:p>
          <w:p w14:paraId="5334F54E" w14:textId="77777777" w:rsidR="00B9643D" w:rsidRDefault="00000000" w:rsidP="002E116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Se preia amendamentul elaborat ca urmare a avizului Agenției Servicii Publice </w:t>
            </w:r>
          </w:p>
        </w:tc>
      </w:tr>
      <w:tr w:rsidR="00B9643D" w14:paraId="4A4EA656" w14:textId="77777777" w:rsidTr="00CA3607">
        <w:tc>
          <w:tcPr>
            <w:tcW w:w="420" w:type="dxa"/>
            <w:shd w:val="clear" w:color="auto" w:fill="FFFFFF"/>
          </w:tcPr>
          <w:p w14:paraId="53E001A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3AB3BD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B2312A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w:t>
            </w:r>
          </w:p>
        </w:tc>
        <w:tc>
          <w:tcPr>
            <w:tcW w:w="6075" w:type="dxa"/>
            <w:tcBorders>
              <w:top w:val="single" w:sz="4" w:space="0" w:color="000000"/>
              <w:bottom w:val="single" w:sz="4" w:space="0" w:color="000000"/>
              <w:right w:val="single" w:sz="4" w:space="0" w:color="000000"/>
            </w:tcBorders>
            <w:shd w:val="clear" w:color="auto" w:fill="FFFFFF"/>
          </w:tcPr>
          <w:p w14:paraId="3B8F53F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2, art. 4 lit. b), se impune reexaminarea textului din perspectiva tehnicii legislative și a clarității normei juridice.</w:t>
            </w:r>
          </w:p>
          <w:p w14:paraId="049495F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primul rând, textul „exploatarea tehnologiilor informaționale în infrastructura energetică critică, după cum este definită de Legea nr. 223/2025 privind identificarea, desemnarea și protecția infrastructurii critice naționale” este problematică, întrucât actul normativ indicat nu conține o definire expresă a acestei noțiuni, ceea ce face ca trimiterea să fie imprecisă și să nu asigure identificarea clară a conceptului juridic utilizat.</w:t>
            </w:r>
          </w:p>
          <w:p w14:paraId="534A659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În al doilea rând, formularea privind „exploatarea tehnologiilor critice și produselor cu dublă utilizare, după cum acestea sunt definite de prezenta lege și de Legea nr. 213/2024 privind controlul comerțului cu mărfuri strategice, inclusiv inteligența artificială, robotica, semiconductorii, securitatea cibernetică, tehnologiile aerospațiale, de apărare, de stocare a energiei, tehnologiile cuantice și nucleare, </w:t>
            </w:r>
            <w:proofErr w:type="spellStart"/>
            <w:r>
              <w:rPr>
                <w:rFonts w:ascii="Times New Roman" w:eastAsia="Times New Roman" w:hAnsi="Times New Roman" w:cs="Times New Roman"/>
                <w:sz w:val="24"/>
                <w:szCs w:val="24"/>
              </w:rPr>
              <w:t>nanotehnologiile</w:t>
            </w:r>
            <w:proofErr w:type="spellEnd"/>
            <w:r>
              <w:rPr>
                <w:rFonts w:ascii="Times New Roman" w:eastAsia="Times New Roman" w:hAnsi="Times New Roman" w:cs="Times New Roman"/>
                <w:sz w:val="24"/>
                <w:szCs w:val="24"/>
              </w:rPr>
              <w:t xml:space="preserve"> și biotehnologiile” este neclară și susceptibilă de interpretări diferite, întrucât nu este determinat caracterul exhaustiv sau exemplificativ al enumerării și nici nu este clar delimitată sfera de aplicare între definițiile din actul supus modificării și cele din Legea nr. 213/2024.</w:t>
            </w:r>
          </w:p>
          <w:p w14:paraId="682866E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se recomandă reexaminarea dispoziției prin corectarea trimiterii la Legea nr. 223/2025 și, după caz, prin introducerea unei definiții clare în cuprinsul actului supus modificării, precum și prin reformularea prevederii referitoare la tehnologiile critice și produsele cu dublă utilizare, în vederea asigurării coerenței, preciziei și previzibilității normei juridice.</w:t>
            </w:r>
          </w:p>
          <w:p w14:paraId="70FFF72A"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6BA0B4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29CB849F" w14:textId="77777777" w:rsidTr="00CA3607">
        <w:tc>
          <w:tcPr>
            <w:tcW w:w="420" w:type="dxa"/>
            <w:shd w:val="clear" w:color="auto" w:fill="FFFFFF"/>
          </w:tcPr>
          <w:p w14:paraId="4650166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97802C7"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C0F36D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61</w:t>
            </w:r>
          </w:p>
        </w:tc>
        <w:tc>
          <w:tcPr>
            <w:tcW w:w="6075" w:type="dxa"/>
            <w:tcBorders>
              <w:top w:val="single" w:sz="4" w:space="0" w:color="000000"/>
              <w:bottom w:val="single" w:sz="4" w:space="0" w:color="000000"/>
              <w:right w:val="single" w:sz="4" w:space="0" w:color="000000"/>
            </w:tcBorders>
            <w:shd w:val="clear" w:color="auto" w:fill="FFFFFF"/>
          </w:tcPr>
          <w:p w14:paraId="4EB829A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2 și 3 se vor comasa într-un singur punct, deoarece vizează modificarea art. 4, care se recomandă a fi expus în redacție nouă, pornind de la volumul și esența modificărilor propuse.</w:t>
            </w:r>
          </w:p>
          <w:p w14:paraId="0A21D690"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F311A5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7D6FAAA0" w14:textId="77777777" w:rsidTr="00CA3607">
        <w:tc>
          <w:tcPr>
            <w:tcW w:w="420" w:type="dxa"/>
            <w:shd w:val="clear" w:color="auto" w:fill="FFFFFF"/>
          </w:tcPr>
          <w:p w14:paraId="7FAB908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3D4001A"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714D1D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62</w:t>
            </w:r>
          </w:p>
        </w:tc>
        <w:tc>
          <w:tcPr>
            <w:tcW w:w="6075" w:type="dxa"/>
            <w:tcBorders>
              <w:top w:val="single" w:sz="4" w:space="0" w:color="000000"/>
              <w:bottom w:val="single" w:sz="4" w:space="0" w:color="000000"/>
              <w:right w:val="single" w:sz="4" w:space="0" w:color="000000"/>
            </w:tcBorders>
            <w:shd w:val="clear" w:color="auto" w:fill="FFFFFF"/>
          </w:tcPr>
          <w:p w14:paraId="64C4053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VIII, referitor la Legea nr. 105/2003 privind protecția consumatorilor, se impune corectarea elementelor de identificare ale actului normativ, întrucât acestea sunt indicate eronat.</w:t>
            </w:r>
          </w:p>
          <w:p w14:paraId="4F0816F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primul rând, anul adoptării legii este indicat incorect, corect fiind Legea nr. 105/2003 privind protecția consumatorului, și nu Legea nr. 105/2023. În al doilea rând, se va ține cont că această lege a fost republicată, respectiv, în debutul sursei de publicare se va completa cu cuvintele „republicată în”.</w:t>
            </w:r>
          </w:p>
          <w:p w14:paraId="04651C35"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5F7CC0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7E5A4FC0" w14:textId="77777777" w:rsidR="00B9643D" w:rsidRDefault="00B9643D" w:rsidP="002E1162">
            <w:pPr>
              <w:jc w:val="both"/>
              <w:rPr>
                <w:rFonts w:ascii="Times New Roman" w:eastAsia="Times New Roman" w:hAnsi="Times New Roman" w:cs="Times New Roman"/>
                <w:b/>
                <w:bCs/>
                <w:sz w:val="24"/>
                <w:szCs w:val="24"/>
              </w:rPr>
            </w:pPr>
          </w:p>
          <w:p w14:paraId="69B26F9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VIII – Legea nr. 105/2003 privind protecția consumatorilor (republicată în Monitorul Oficial al Republicii Moldova, 2024, nr. 122–124, art. 195), cu modificările ulterioare, se modifică după cum urmează:" </w:t>
            </w:r>
          </w:p>
        </w:tc>
      </w:tr>
      <w:tr w:rsidR="00B9643D" w14:paraId="487AAFFA" w14:textId="77777777" w:rsidTr="00CA3607">
        <w:tc>
          <w:tcPr>
            <w:tcW w:w="420" w:type="dxa"/>
            <w:shd w:val="clear" w:color="auto" w:fill="FFFFFF"/>
          </w:tcPr>
          <w:p w14:paraId="3FF1B3DC"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68DE2F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C4870E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63</w:t>
            </w:r>
          </w:p>
        </w:tc>
        <w:tc>
          <w:tcPr>
            <w:tcW w:w="6075" w:type="dxa"/>
            <w:tcBorders>
              <w:top w:val="single" w:sz="4" w:space="0" w:color="000000"/>
              <w:bottom w:val="single" w:sz="4" w:space="0" w:color="000000"/>
              <w:right w:val="single" w:sz="4" w:space="0" w:color="000000"/>
            </w:tcBorders>
            <w:shd w:val="clear" w:color="auto" w:fill="FFFFFF"/>
          </w:tcPr>
          <w:p w14:paraId="0220F61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25, se impune reexaminarea integrală a textului alin. (32) din perspectiva tehnicii legislative, a clarității și a coerenței normative.</w:t>
            </w:r>
          </w:p>
          <w:p w14:paraId="458E6B0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primul rând, formularea „cererii de efectuarea a expertizei tehnice” este eronată din punct de vedere gramatical și juridic, corect fiind „cererii de efectuare a expertizei tehnice”.</w:t>
            </w:r>
          </w:p>
          <w:p w14:paraId="03AE04F5" w14:textId="77777777" w:rsidR="00B9643D" w:rsidRDefault="00B9643D" w:rsidP="002E1162">
            <w:pPr>
              <w:ind w:firstLine="378"/>
              <w:jc w:val="both"/>
              <w:rPr>
                <w:rFonts w:ascii="Times New Roman" w:eastAsia="Times New Roman" w:hAnsi="Times New Roman" w:cs="Times New Roman"/>
                <w:sz w:val="24"/>
                <w:szCs w:val="24"/>
              </w:rPr>
            </w:pPr>
          </w:p>
          <w:p w14:paraId="4600E1B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al doilea rând, nu este suficient de clar dacă obligația de informare prevăzută la alin. (32) intervine în toate cazurile de efectuare a expertizei tehnice sau exclusiv în situația în care inițiativa efectuării expertizei aparține vânzătorului sau prestatorului, ceea ce generează ambiguități cu privire la momentul și condițiile de aplicare a normei.</w:t>
            </w:r>
          </w:p>
          <w:p w14:paraId="2ADF80C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Adițional, la lit. b), utilizarea sintagmei „tarife uzuale ale pieței” este lipsită de un criteriu obiectiv de determinare, ceea ce poate afecta previzibilitatea normei și aplicarea sa uniformă. Or, în forma propusă, lit. b) stabilește obligația de informare a consumatorului cu privire la costul estimativ al expertizei și condiționează aceste costuri de caracterul lor „rezonabil” și de plafonarea la tarifele uzuale ale pieței, în timp ce lit. c) reglementează posibilitatea vânzătorului sau prestatorului de a solicita ulterior rambursarea cheltuielilor efective suportate pentru efectuarea expertizei, în anumite condiții.</w:t>
            </w:r>
          </w:p>
          <w:p w14:paraId="5B5CD3B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Între cele două dispoziții există o lipsă de corelare juridică, întrucât nu este clar dacă și în ce măsură costul estimativ comunicat consumatorului potrivit lit. b) are vreo relevanță juridică asupra cuantumului cheltuielilor efective care pot fi ulterior solicitate în temeiul lit. c). Această necorelare poate genera incertitudine cu privire la întinderea obligațiilor financiare ale consumatorului și la raportul dintre costul estimat și costul efectiv.</w:t>
            </w:r>
          </w:p>
          <w:p w14:paraId="3DFC32D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consecință, se recomandă reexaminarea integrală a alin. (32) prin corectarea erorilor de redactare, clarificarea etapelor procedurale, definirea mai riguroasă a noțiunilor </w:t>
            </w:r>
            <w:r>
              <w:rPr>
                <w:rFonts w:ascii="Times New Roman" w:eastAsia="Times New Roman" w:hAnsi="Times New Roman" w:cs="Times New Roman"/>
                <w:sz w:val="24"/>
                <w:szCs w:val="24"/>
              </w:rPr>
              <w:lastRenderedPageBreak/>
              <w:t>utilizate, în vederea asigurării clarității, previzibilității și aplicării unitare a dispozițiilor.</w:t>
            </w:r>
          </w:p>
          <w:p w14:paraId="133424B9"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2719AF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6B537DDA" w14:textId="77777777" w:rsidR="00B9643D" w:rsidRDefault="00B9643D" w:rsidP="002E1162">
            <w:pPr>
              <w:jc w:val="both"/>
              <w:rPr>
                <w:rFonts w:ascii="Times New Roman" w:eastAsia="Times New Roman" w:hAnsi="Times New Roman" w:cs="Times New Roman"/>
                <w:sz w:val="24"/>
                <w:szCs w:val="24"/>
              </w:rPr>
            </w:pPr>
          </w:p>
          <w:p w14:paraId="7D0FF8E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Textul propus pentru art. 25 alineatul (3²) se expune în următoarea redacție:</w:t>
            </w:r>
          </w:p>
          <w:p w14:paraId="68CC6E3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„(3²) În cazul în care efectuarea expertizei tehnice prevăzute la alin. (3) este inițiată de vânzător sau prestator, acesta informează consumatorul, pe un suport durabil, înainte de depunerea cererii de efectuare a expertizei tehnice, cu privire la:</w:t>
            </w:r>
          </w:p>
          <w:p w14:paraId="05AC112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[textul din proiect];</w:t>
            </w:r>
          </w:p>
          <w:p w14:paraId="351B370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costul estimativ al expertizei tehnice, determinat pe baza tarifelor practicate de entitatea care urmează să efectueze expertiza;</w:t>
            </w:r>
          </w:p>
          <w:p w14:paraId="701BA97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[textul din proiect privind dreptul vânzătorului sau prestatorului de a solicita rambursarea], cu precizarea că suma a cărei rambursare poate fi solicitată nu poate depăși costul estimativ comunicat potrivit lit. b), cu excepția cazului în care consumatorul a acceptat expres, pe un suport durabil, o majorare a acestuia;</w:t>
            </w:r>
          </w:p>
          <w:p w14:paraId="704024F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[textul din proiect].”</w:t>
            </w:r>
          </w:p>
          <w:p w14:paraId="67D744E3" w14:textId="77777777" w:rsidR="00B9643D" w:rsidRDefault="00B9643D" w:rsidP="002E1162">
            <w:pPr>
              <w:jc w:val="both"/>
              <w:rPr>
                <w:rFonts w:ascii="Times New Roman" w:eastAsia="Times New Roman" w:hAnsi="Times New Roman" w:cs="Times New Roman"/>
                <w:sz w:val="24"/>
                <w:szCs w:val="24"/>
              </w:rPr>
            </w:pPr>
          </w:p>
        </w:tc>
      </w:tr>
      <w:tr w:rsidR="00B9643D" w14:paraId="538E796A" w14:textId="77777777" w:rsidTr="00CA3607">
        <w:tc>
          <w:tcPr>
            <w:tcW w:w="420" w:type="dxa"/>
            <w:shd w:val="clear" w:color="auto" w:fill="FFFFFF"/>
          </w:tcPr>
          <w:p w14:paraId="25BDD8CC"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F32CED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Ministerul Finanțelor</w:t>
            </w:r>
          </w:p>
          <w:p w14:paraId="5B35176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Aviz nr. 14-05/304 din 09.07.2026</w:t>
            </w:r>
          </w:p>
        </w:tc>
        <w:tc>
          <w:tcPr>
            <w:tcW w:w="720" w:type="dxa"/>
            <w:tcBorders>
              <w:top w:val="single" w:sz="4" w:space="0" w:color="000000"/>
              <w:bottom w:val="single" w:sz="4" w:space="0" w:color="000000"/>
            </w:tcBorders>
            <w:shd w:val="clear" w:color="auto" w:fill="FFFFFF"/>
          </w:tcPr>
          <w:p w14:paraId="1ED0488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64</w:t>
            </w:r>
          </w:p>
        </w:tc>
        <w:tc>
          <w:tcPr>
            <w:tcW w:w="6075" w:type="dxa"/>
            <w:tcBorders>
              <w:top w:val="single" w:sz="4" w:space="0" w:color="000000"/>
              <w:bottom w:val="single" w:sz="4" w:space="0" w:color="000000"/>
              <w:right w:val="single" w:sz="4" w:space="0" w:color="000000"/>
            </w:tcBorders>
            <w:shd w:val="clear" w:color="auto" w:fill="FFFFFF"/>
          </w:tcPr>
          <w:p w14:paraId="377A2E2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Urmare a examinării proiectului de lege pentru modificarea unor acte normative (pentru promovarea economiei digitale și a comerțului electronic) (nr. unic 629/MDED/2026), Ministerul Finanțelor, în limita competențelor sale funcționale, comunică următoarele.</w:t>
            </w:r>
          </w:p>
          <w:p w14:paraId="6549EF0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articolul II din proiect, pct. 3, prin care se propune completarea art.291 alin.(1) lit. e) din Codul fiscal, reiterăm nesusținerea acesteia și solicitarea de excludere luând în considerare argumentele prezentate prin avizul Ministerului Finanțelor nr. 14-05/206 din 05.05.2026.</w:t>
            </w:r>
          </w:p>
          <w:p w14:paraId="6063BD5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Respectiv, reiterăm că legislația actuală tratează activitatea de comerț cu amănuntul, inclusiv cea </w:t>
            </w:r>
            <w:proofErr w:type="spellStart"/>
            <w:r>
              <w:rPr>
                <w:rFonts w:ascii="Times New Roman" w:eastAsia="Times New Roman" w:hAnsi="Times New Roman" w:cs="Times New Roman"/>
                <w:sz w:val="24"/>
                <w:szCs w:val="24"/>
              </w:rPr>
              <w:t>desfăşurată</w:t>
            </w:r>
            <w:proofErr w:type="spellEnd"/>
            <w:r>
              <w:rPr>
                <w:rFonts w:ascii="Times New Roman" w:eastAsia="Times New Roman" w:hAnsi="Times New Roman" w:cs="Times New Roman"/>
                <w:sz w:val="24"/>
                <w:szCs w:val="24"/>
              </w:rPr>
              <w:t xml:space="preserve"> prin intermediul internetului sau al caselor de comenzi, ca formă de activitate comercială organizată, încadrată în noțiunea de unitate comercială. Totodată, taxa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reprezintă o taxă locală aplicabilă activităților economice </w:t>
            </w:r>
            <w:proofErr w:type="spellStart"/>
            <w:r>
              <w:rPr>
                <w:rFonts w:ascii="Times New Roman" w:eastAsia="Times New Roman" w:hAnsi="Times New Roman" w:cs="Times New Roman"/>
                <w:sz w:val="24"/>
                <w:szCs w:val="24"/>
              </w:rPr>
              <w:t>desfăşurate</w:t>
            </w:r>
            <w:proofErr w:type="spellEnd"/>
            <w:r>
              <w:rPr>
                <w:rFonts w:ascii="Times New Roman" w:eastAsia="Times New Roman" w:hAnsi="Times New Roman" w:cs="Times New Roman"/>
                <w:sz w:val="24"/>
                <w:szCs w:val="24"/>
              </w:rPr>
              <w:t xml:space="preserve"> în cadrul acestor unități, astfel cum sunt definite de legislația în vigoare, în conformitate cu nomenclatorul unităților comerciale prevăzut în anexa nr. 5 la Legea nr. 231/2010 cu privire la comerțul interior.</w:t>
            </w:r>
          </w:p>
          <w:p w14:paraId="6D640F6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comerțul cu amănuntul realizat prin intermediul caselor de comenzi sau prin internet constituie o formă distinctă de activitate comercială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este recunoscut ca unitate comercială, indiferent de existența unei suprafețe comerciale fizice. Prin urmare, lipsa unei suprafețe comerciale nu reprezintă un criteriu relevant pentru excluderea de la aplicarea taxei, în condițiile în care activitatea economică este </w:t>
            </w:r>
            <w:proofErr w:type="spellStart"/>
            <w:r>
              <w:rPr>
                <w:rFonts w:ascii="Times New Roman" w:eastAsia="Times New Roman" w:hAnsi="Times New Roman" w:cs="Times New Roman"/>
                <w:sz w:val="24"/>
                <w:szCs w:val="24"/>
              </w:rPr>
              <w:t>desfăşurată</w:t>
            </w:r>
            <w:proofErr w:type="spellEnd"/>
            <w:r>
              <w:rPr>
                <w:rFonts w:ascii="Times New Roman" w:eastAsia="Times New Roman" w:hAnsi="Times New Roman" w:cs="Times New Roman"/>
                <w:sz w:val="24"/>
                <w:szCs w:val="24"/>
              </w:rPr>
              <w:t xml:space="preserve"> efectiv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generează venituri în condiții comparabile cu alte forme de comerț.</w:t>
            </w:r>
          </w:p>
          <w:p w14:paraId="32B0610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Instituirea unei scutiri pentru această categorie de contribuabili ar conduce la un tratament fiscal diferențiat pentru activități economice similare, desfășurate prin canale diferite, afectând principiile neutralității și echității fiscale, </w:t>
            </w:r>
            <w:r>
              <w:rPr>
                <w:rFonts w:ascii="Times New Roman" w:eastAsia="Times New Roman" w:hAnsi="Times New Roman" w:cs="Times New Roman"/>
                <w:sz w:val="24"/>
                <w:szCs w:val="24"/>
              </w:rPr>
              <w:lastRenderedPageBreak/>
              <w:t>prin crearea unui avantaj nejustificat pentru o anumită categorie de contribuabili în detrimentul altora aflați în situații comparabile, cu potențial de generare a unor distorsiuni concurențiale.</w:t>
            </w:r>
          </w:p>
          <w:p w14:paraId="3387056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taxa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constituie venit propriu al bugetelor locale, iar extinderea sferei scutirilor, în lipsa unei fundamentări </w:t>
            </w:r>
            <w:proofErr w:type="spellStart"/>
            <w:r>
              <w:rPr>
                <w:rFonts w:ascii="Times New Roman" w:eastAsia="Times New Roman" w:hAnsi="Times New Roman" w:cs="Times New Roman"/>
                <w:sz w:val="24"/>
                <w:szCs w:val="24"/>
              </w:rPr>
              <w:t>economico</w:t>
            </w:r>
            <w:proofErr w:type="spellEnd"/>
            <w:r>
              <w:rPr>
                <w:rFonts w:ascii="Times New Roman" w:eastAsia="Times New Roman" w:hAnsi="Times New Roman" w:cs="Times New Roman"/>
                <w:sz w:val="24"/>
                <w:szCs w:val="24"/>
              </w:rPr>
              <w:t xml:space="preserve">-financiare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 identificării surselor de compensare, ar putea avea un impact negativ asupra veniturilor acestora, contrar prevederilor art. 131 alin. (6) din Constituție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art. 27¹ alin. (5) din Legea nr. 100/2017 cu privire la actele normative.</w:t>
            </w:r>
          </w:p>
          <w:p w14:paraId="5DE76C0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aplicarea unei astfel de scutiri ar putea genera dificultăți de administrare fiscală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riscuri de evitare a obligațiilor fiscale, inclusiv prin reorganizarea formală a activității economice în vederea încadrării în categoria exceptată, în special în cazul modelelor de afaceri mixte.</w:t>
            </w:r>
          </w:p>
          <w:p w14:paraId="12273A8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potrivit art. 289 alin. (3) din Codul fiscal, taxele locale enumerate la alin. (2) se aplică de către autoritățile administrației publice locale. În </w:t>
            </w:r>
            <w:proofErr w:type="spellStart"/>
            <w:r>
              <w:rPr>
                <w:rFonts w:ascii="Times New Roman" w:eastAsia="Times New Roman" w:hAnsi="Times New Roman" w:cs="Times New Roman"/>
                <w:sz w:val="24"/>
                <w:szCs w:val="24"/>
              </w:rPr>
              <w:t>acelaşi</w:t>
            </w:r>
            <w:proofErr w:type="spellEnd"/>
            <w:r>
              <w:rPr>
                <w:rFonts w:ascii="Times New Roman" w:eastAsia="Times New Roman" w:hAnsi="Times New Roman" w:cs="Times New Roman"/>
                <w:sz w:val="24"/>
                <w:szCs w:val="24"/>
              </w:rPr>
              <w:t xml:space="preserve"> sens, art. 296 din Codul fiscal prevede că autoritatea administrației publice locale, cu efectuarea modificărilor corespunzătoare în bugetul local, poate acorda scutiri suplimentare față de cele prevăzute la art. 295, amânări la plată sau înlesniri pentru anumite categorii de contribuabili.</w:t>
            </w:r>
          </w:p>
          <w:p w14:paraId="05FE2B69" w14:textId="77777777" w:rsidR="00B9643D" w:rsidRDefault="00000000" w:rsidP="002E1162">
            <w:pPr>
              <w:ind w:firstLine="378"/>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Intervenţia</w:t>
            </w:r>
            <w:proofErr w:type="spellEnd"/>
            <w:r>
              <w:rPr>
                <w:rFonts w:ascii="Times New Roman" w:eastAsia="Times New Roman" w:hAnsi="Times New Roman" w:cs="Times New Roman"/>
                <w:sz w:val="24"/>
                <w:szCs w:val="24"/>
              </w:rPr>
              <w:t xml:space="preserve"> propusă nu este aliniată cadrului conceptual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mecanismelor de funcționare ale sistemului taxelor locale, care sunt orientate spre asigurarea unei baze fiscale echitabile, previzibile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uşor</w:t>
            </w:r>
            <w:proofErr w:type="spellEnd"/>
            <w:r>
              <w:rPr>
                <w:rFonts w:ascii="Times New Roman" w:eastAsia="Times New Roman" w:hAnsi="Times New Roman" w:cs="Times New Roman"/>
                <w:sz w:val="24"/>
                <w:szCs w:val="24"/>
              </w:rPr>
              <w:t xml:space="preserve"> de administrat.</w:t>
            </w:r>
          </w:p>
          <w:p w14:paraId="1E472428" w14:textId="0F3757AC"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aceste condiții, oportunitatea acordării unor eventuale scutiri pentru anumite categorii de activități urmează a fi apreciată la nivelul autorităților administrației publice locale, în funcție de specificul economic local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 prioritățile bugetare,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nu stabilită prin norme cu aplicabilitate generală la nivel național.</w:t>
            </w:r>
          </w:p>
          <w:p w14:paraId="2A42DF09"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273383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79401E38" w14:textId="77777777" w:rsidR="00B9643D" w:rsidRDefault="00B9643D" w:rsidP="002E1162">
            <w:pPr>
              <w:jc w:val="both"/>
              <w:rPr>
                <w:rFonts w:ascii="Times New Roman" w:eastAsia="Times New Roman" w:hAnsi="Times New Roman" w:cs="Times New Roman"/>
                <w:sz w:val="24"/>
                <w:szCs w:val="24"/>
              </w:rPr>
            </w:pPr>
          </w:p>
          <w:p w14:paraId="2BD449C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acceptă observațiile privind necesitatea clarificării normei sub aspectul noțiunii de suprafață comercială, al regimului aplicabil modelelor de afaceri mixte și al riscului de administrare. </w:t>
            </w:r>
          </w:p>
          <w:p w14:paraId="0A1FEFE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 se acceptă solicitarea de excludere a intervenției. Se rețin, în acest sens, următoarele considerente. Potrivit literei e) din Anexa la Titlul VII al Codului fiscal, baza impozabilă la taxa pentru unitățile comerciale și/sau de prestări servicii o constituie suprafața ocupată de unitățile de comerț, amplasarea acestora, tipul mărfurilor desfăcute și al serviciilor prestate, iar cotele se stabilesc în funcție de aceleași elemente. Suprafața ocupată nu constituie, prin urmare, un criteriu accesoriu, ci elementul principal al bazei impozabile, alături de amplasare, ambele presupunând existența unei prezențe fizice. În cazul unităților care nu dispun de suprafață comercială, elementul principal al bazei impozabile nu poate fi determinat, iar impunerea se realizează prin cote stabilite în sumă absolută, ceea ce nu suplinește lipsa elementului legal al bazei. Intervenția propusă nu instituie, în consecință, o scutire, ci delimitează obiectul impunerii, materie care ține de competența legiuitorului, potrivit principiului stabilirii prin lege a obiectului impunerii și a bazei impozabile, și răspunde unei incertitudini de aplicare preexistente.</w:t>
            </w:r>
          </w:p>
          <w:p w14:paraId="06432DC3" w14:textId="77777777" w:rsidR="00B9643D" w:rsidRDefault="00B9643D" w:rsidP="002E1162">
            <w:pPr>
              <w:jc w:val="both"/>
              <w:rPr>
                <w:rFonts w:ascii="Times New Roman" w:eastAsia="Times New Roman" w:hAnsi="Times New Roman" w:cs="Times New Roman"/>
                <w:sz w:val="24"/>
                <w:szCs w:val="24"/>
              </w:rPr>
            </w:pPr>
          </w:p>
          <w:p w14:paraId="5A3F583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Autorul susține în continuare, pe fond, propunerile formulate la Art. II din proiect, apreciind că acestea răspund unor necesități reale ale mediului de afaceri din sectorul comerțului electronic: încadrarea persoanelor fizice care desfășoară comerț electronic în regimul de impunere prevăzut la capitolul 10² din Codul fiscal (art. 69⁷ alin. (1)), armonizarea regimului scutirii de TVA pentru serviciile poștale universale cu Directiva 2006/112/CE a Consiliului (art. 103 alin. (1) pct. 13) și eliminarea aplicării taxei pentru unitățile comerciale și/sau de prestări servicii în cazul operatorilor de comerț electronic care nu dispun de suprafață comercială (art. 291 alin. (1) lit. e)). Autorul reține, în acest sens, că Ministerul Finanțelor a comunicat susținerea propunerilor de la pct. 1 și 2, iar Centrul de Armonizare a Legislației nu a identificat probleme de compatibilitate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Uniunii Europene.</w:t>
            </w:r>
          </w:p>
          <w:p w14:paraId="4B276582" w14:textId="77777777" w:rsidR="00B9643D" w:rsidRDefault="00B9643D" w:rsidP="002E1162">
            <w:pPr>
              <w:jc w:val="both"/>
              <w:rPr>
                <w:rFonts w:ascii="Times New Roman" w:eastAsia="Times New Roman" w:hAnsi="Times New Roman" w:cs="Times New Roman"/>
                <w:sz w:val="24"/>
                <w:szCs w:val="24"/>
              </w:rPr>
            </w:pPr>
          </w:p>
          <w:p w14:paraId="416E02E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TOTUȘI,</w:t>
            </w:r>
            <w:r>
              <w:rPr>
                <w:rFonts w:ascii="Times New Roman" w:eastAsia="Times New Roman" w:hAnsi="Times New Roman" w:cs="Times New Roman"/>
                <w:sz w:val="24"/>
                <w:szCs w:val="24"/>
              </w:rPr>
              <w:t xml:space="preserve"> ținând cont de necesitatea unei evaluări integrate a impactului fiscal-bugetar și de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propunerile din proiectul de lege se transferă spre preluare și examinare în cadrul exercițiului de modificare a politicii bugetar-fiscale, coordonat de Ministerul Finanțelor, potrivit competenței acestuia. </w:t>
            </w:r>
          </w:p>
          <w:p w14:paraId="3472D148" w14:textId="77777777" w:rsidR="00B9643D" w:rsidRDefault="00B9643D" w:rsidP="002E1162">
            <w:pPr>
              <w:jc w:val="both"/>
              <w:rPr>
                <w:rFonts w:ascii="Times New Roman" w:eastAsia="Times New Roman" w:hAnsi="Times New Roman" w:cs="Times New Roman"/>
                <w:sz w:val="24"/>
                <w:szCs w:val="24"/>
              </w:rPr>
            </w:pPr>
          </w:p>
          <w:p w14:paraId="64C7536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prevederile Art. II se retrag din proiectul de lege nr. 629/MDED/2026 și se transmit Ministerului Finanțelor, urmând a fi promovate pe platforma acestuia.</w:t>
            </w:r>
          </w:p>
          <w:p w14:paraId="33D37DD1" w14:textId="77777777" w:rsidR="002E1162" w:rsidRDefault="002E1162" w:rsidP="002E1162">
            <w:pPr>
              <w:jc w:val="both"/>
              <w:rPr>
                <w:rFonts w:ascii="Times New Roman" w:eastAsia="Times New Roman" w:hAnsi="Times New Roman" w:cs="Times New Roman"/>
                <w:sz w:val="24"/>
                <w:szCs w:val="24"/>
              </w:rPr>
            </w:pPr>
          </w:p>
        </w:tc>
      </w:tr>
      <w:tr w:rsidR="00B9643D" w14:paraId="555DEF2F" w14:textId="77777777" w:rsidTr="00CA3607">
        <w:tc>
          <w:tcPr>
            <w:tcW w:w="420" w:type="dxa"/>
            <w:shd w:val="clear" w:color="auto" w:fill="FFFFFF"/>
          </w:tcPr>
          <w:p w14:paraId="1BD4C41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C7314AC"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5ECE96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65</w:t>
            </w:r>
          </w:p>
        </w:tc>
        <w:tc>
          <w:tcPr>
            <w:tcW w:w="6075" w:type="dxa"/>
            <w:tcBorders>
              <w:top w:val="single" w:sz="4" w:space="0" w:color="000000"/>
              <w:bottom w:val="single" w:sz="4" w:space="0" w:color="000000"/>
              <w:right w:val="single" w:sz="4" w:space="0" w:color="000000"/>
            </w:tcBorders>
            <w:shd w:val="clear" w:color="auto" w:fill="FFFFFF"/>
          </w:tcPr>
          <w:p w14:paraId="1CC38D0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partea ce ține de art. IV din proiect, privind completarea Legii nr. 114/2012 cu privire la serviciile de plată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moneda electronică cu prevederi privind regimul de autorizare și de activitate al societăților de plată mici, reiterăm poziția expusă în avizul precedent nr. 14-05/206 din 05.05.2026.</w:t>
            </w:r>
          </w:p>
          <w:p w14:paraId="150639C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menționăm că, deși art.32 din Directiva (UE) 2015/2366 privind serviciile de plată în cadrul pieței interne, de modificare a Directivelor 2002/65/CE, 2009/110/CE și 2013/36/UE și a Regulamentului (UE) nr. 1093/2010, și de abrogare a Directivei 2007/64/CE, prevede posibilitatea stabilirii de către unele state membre a unor condiții simplificate de activitate pentru unele tipuri de prestatori de servicii de plată, acestea necesită a fi stabilite reieșind din specificul și contextul național: dimensiunea pieței serviciilor de plată, volumul plăților, eventualele riscuri etc.</w:t>
            </w:r>
          </w:p>
          <w:p w14:paraId="2AE296C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constatăm că nota de fundamentare aferentă proiectului de lege nu a fost ajustată și completată cu argumente și raționamente ce ar fundamenta propunerile înaintate, motiv din care acestea nu pot fi acceptate.</w:t>
            </w:r>
          </w:p>
          <w:p w14:paraId="51BE2455"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684AFE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ia act. Amendamentul a fost transferat după competență.</w:t>
            </w:r>
          </w:p>
          <w:p w14:paraId="2B5C7D98" w14:textId="77777777" w:rsidR="00B9643D" w:rsidRDefault="00B9643D" w:rsidP="002E1162">
            <w:pPr>
              <w:jc w:val="both"/>
              <w:rPr>
                <w:rFonts w:ascii="Times New Roman" w:eastAsia="Times New Roman" w:hAnsi="Times New Roman" w:cs="Times New Roman"/>
                <w:b/>
                <w:bCs/>
                <w:sz w:val="24"/>
                <w:szCs w:val="24"/>
              </w:rPr>
            </w:pPr>
          </w:p>
          <w:p w14:paraId="164AF9C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8.</w:t>
            </w:r>
          </w:p>
        </w:tc>
      </w:tr>
      <w:tr w:rsidR="00B9643D" w14:paraId="24690D53" w14:textId="77777777" w:rsidTr="00CA3607">
        <w:tc>
          <w:tcPr>
            <w:tcW w:w="420" w:type="dxa"/>
            <w:shd w:val="clear" w:color="auto" w:fill="FFFFFF"/>
          </w:tcPr>
          <w:p w14:paraId="0FADC36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82D29E5"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7ACFEE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66</w:t>
            </w:r>
          </w:p>
        </w:tc>
        <w:tc>
          <w:tcPr>
            <w:tcW w:w="6075" w:type="dxa"/>
            <w:tcBorders>
              <w:top w:val="single" w:sz="4" w:space="0" w:color="000000"/>
              <w:bottom w:val="single" w:sz="4" w:space="0" w:color="000000"/>
              <w:right w:val="single" w:sz="4" w:space="0" w:color="000000"/>
            </w:tcBorders>
            <w:shd w:val="clear" w:color="auto" w:fill="FFFFFF"/>
          </w:tcPr>
          <w:p w14:paraId="0141E3C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VIII din proiect, urmează a fi ajustat anul de adoptare a Legii ce se propune spre modificare (2023 se va modifica în 2003). În această ordine de idei, atragem atenția asupra prevederilor art. 63 din Legea nr. 100/2017 cu privire la actele normative, care stabilesc că modificările operate printr-un proiect de act normativ, la alte acte normative, se includ în ordine cronologică. Respectiv, ordinea legilor ce se propun spre modificare urmează a fi revăzută</w:t>
            </w:r>
          </w:p>
          <w:p w14:paraId="62BA9231"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A87523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27778984" w14:textId="77777777" w:rsidTr="00CA3607">
        <w:tc>
          <w:tcPr>
            <w:tcW w:w="420" w:type="dxa"/>
            <w:shd w:val="clear" w:color="auto" w:fill="FFFFFF"/>
          </w:tcPr>
          <w:p w14:paraId="6D30F5BA"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val="restart"/>
            <w:shd w:val="clear" w:color="auto" w:fill="FFFFFF"/>
          </w:tcPr>
          <w:p w14:paraId="0A4FD2D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Serviciul Prevenirea și Combaterea Spălării Banilor</w:t>
            </w:r>
          </w:p>
          <w:p w14:paraId="335835B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Aviz nr.01/2-30-1106 din  01.07.2026</w:t>
            </w:r>
          </w:p>
        </w:tc>
        <w:tc>
          <w:tcPr>
            <w:tcW w:w="720" w:type="dxa"/>
            <w:tcBorders>
              <w:top w:val="single" w:sz="4" w:space="0" w:color="000000"/>
              <w:bottom w:val="single" w:sz="4" w:space="0" w:color="000000"/>
            </w:tcBorders>
            <w:shd w:val="clear" w:color="auto" w:fill="FFFFFF"/>
          </w:tcPr>
          <w:p w14:paraId="5A12268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67</w:t>
            </w:r>
          </w:p>
        </w:tc>
        <w:tc>
          <w:tcPr>
            <w:tcW w:w="6075" w:type="dxa"/>
            <w:tcBorders>
              <w:top w:val="single" w:sz="4" w:space="0" w:color="000000"/>
              <w:bottom w:val="single" w:sz="4" w:space="0" w:color="000000"/>
              <w:right w:val="single" w:sz="4" w:space="0" w:color="000000"/>
            </w:tcBorders>
            <w:shd w:val="clear" w:color="auto" w:fill="FFFFFF"/>
          </w:tcPr>
          <w:p w14:paraId="055D73A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prezenta, referitor la demersul Cancelariei de Stat nr. DGPȘG-2242-18-69- 1543 din 15.06.2026 privind remiterea spre avizare repetată a proiectului de lege pentru modificarea unor acte normative (pentru promovarea economiei digitale și a comerțului electronic), număr unic 629/MDED/2026, elaborat de Ministerul Dezvoltării Economice și Digitalizării, </w:t>
            </w:r>
            <w:r>
              <w:rPr>
                <w:rFonts w:ascii="Times New Roman" w:eastAsia="Times New Roman" w:hAnsi="Times New Roman" w:cs="Times New Roman"/>
                <w:sz w:val="24"/>
                <w:szCs w:val="24"/>
              </w:rPr>
              <w:lastRenderedPageBreak/>
              <w:t>Serviciul Prevenirea și Combaterea Spălării Banilor (în continuare denumit Serviciul), intervine cu următoarele.</w:t>
            </w:r>
          </w:p>
          <w:p w14:paraId="6D2A4FE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prezenta, Serviciul comunică despre menținerea poziției exprimate în avizul nr. 01/2-30-671 din 16 aprilie 2026 și examinarea suplimentară a argumentelor formulate de autor în Sinteza obiecțiilor și propunerilor, inclusiv justificările referitoare la eliminarea pretinselor cerințe de tip „</w:t>
            </w:r>
            <w:proofErr w:type="spellStart"/>
            <w:r>
              <w:rPr>
                <w:rFonts w:ascii="Times New Roman" w:eastAsia="Times New Roman" w:hAnsi="Times New Roman" w:cs="Times New Roman"/>
                <w:sz w:val="24"/>
                <w:szCs w:val="24"/>
              </w:rPr>
              <w:t>gold-plating</w:t>
            </w:r>
            <w:proofErr w:type="spellEnd"/>
            <w:r>
              <w:rPr>
                <w:rFonts w:ascii="Times New Roman" w:eastAsia="Times New Roman" w:hAnsi="Times New Roman" w:cs="Times New Roman"/>
                <w:sz w:val="24"/>
                <w:szCs w:val="24"/>
              </w:rPr>
              <w:t>”, aplicarea principiului proporționalității, instituirea unor regimuri simplificate pentru anumite categorii de entități raportoare și reducerea termenului măsurii de sistare a activităților sau tranzacțiilor.</w:t>
            </w:r>
          </w:p>
          <w:p w14:paraId="0B48AF1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Subsecvent, analiza repetată a proiectului și argumentelor expuse de autor nu justifică reconsiderarea poziției instituționale exprimate anterior, întrucât soluțiile legislative propuse prin Art. VI nu sunt fundamentate sub aspectul necesității, proporționalității, compatibilității cu prevederile Legii nr. 308/2017 cu privire la prevenirea și combaterea spălării banilor și finanțării terorismului (în continuare – Legea nr. 308/2017) și impactului asupra eficacității sistemului național de prevenire și combatere a spălării banilor și finanțării terorismului. Modificările propuse nu reprezintă ajustări tehnice izolate, ci intervin asupra unor instituții fundamentale ale regimului național de prevenire și combatere a spălării banilor și finanțării terorismului, inclusiv evaluarea riscurilor, aplicarea măsurilor de precauție privind clienții, identificarea beneficiarului efectiv, obligațiile de raportare, păstrare a informațiilor, comunicările organelor cu funcții de supraveghere și mecanismul de sistare a activităților sau tranzacțiilor. Or, aceste instituții funcționează interdependent, iar modificarea lor fragmentară, în cadrul unui proiect legislativ al cărui obiect principal îl constituie promovarea economiei digitale și comerțului electronic, este de natură să afecteze coerența, previzibilitatea și stabilitatea cadrului normativ cu privire la prevenirea și combaterea spălării banilor și finanțării terorismului.</w:t>
            </w:r>
          </w:p>
          <w:p w14:paraId="7E7181D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timp, argumentele autorului sunt concentrate în principal asupra reducerii costurilor de conformare ale </w:t>
            </w:r>
            <w:r>
              <w:rPr>
                <w:rFonts w:ascii="Times New Roman" w:eastAsia="Times New Roman" w:hAnsi="Times New Roman" w:cs="Times New Roman"/>
                <w:sz w:val="24"/>
                <w:szCs w:val="24"/>
              </w:rPr>
              <w:lastRenderedPageBreak/>
              <w:t xml:space="preserve">mediului de afaceri, fără a evalua costurile instituționale și sistemice pe care diminuarea sau reconfigurarea obligațiilor preventive le poate produce asupra eficacității sistemului național de prevenire și combatere a spălării banilor și finanțării terorismului. </w:t>
            </w:r>
          </w:p>
          <w:p w14:paraId="638EB3F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invocarea generică a Regulamentului (UE) 2024/1624 și Directivei (UE) 2024/1640 nu este însoțită de o analiză juridică aptă să demonstreze caracterul obligatoriu, facultativ sau condiționat al soluțiilor preluate, marja de apreciere lăsată statelor, limitele aplicării acestora și compatibilitatea lor cu specificul cadrului normativ național. Faptul că anumite soluții pot fi admise în dreptul Uniunii Europene nu echivalează cu obligația de preluare punctuală și nici nu justifică modificarea fragmentară a Legii nr. 308/2017 în afara procesului național de transpunere sistemică a noului pachet legislativ european.</w:t>
            </w:r>
          </w:p>
          <w:p w14:paraId="749B515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este de reținut faptul că prin Legea nr. 308/2017, astfel cum a fost modificată în anul 2023, au fost transpuse prevederile Directivei (UE) 2018/843 a Parlamentului European și a Consiliului din 30 mai 2018 de modificare a Directivei (UE) 2015/849 privind prevenirea utilizării sistemului financiar în scopul spălării banilor sau finanțării terorismului. În aceste condiții, menținerea coerenței, stabilității și eficacității cadrului normativ instituit reprezintă o exigență derivată atât din obligațiile asumate de Republica Moldova în procesul de armonizare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Uniunii Europene, cât și din necesitatea asigurării caracterului funcțional al mecanismelor naționale de prevenire și combatere a spălării banilor și finanțării terorismului. Or, integrarea Republicii Moldova în infrastructurile europene de plăți, inclusiv în Zona Unică de Plăți în Euro (SEPA), presupune existența unui cadru normativ și instituțional conform standardelor europene, precum și funcționarea efectivă și eficientă a sistemului național de PCSB/FT. Din această perspectivă, orice intervenție legislativă asupra Legii nr. 308/2017 urmează să </w:t>
            </w:r>
            <w:r>
              <w:rPr>
                <w:rFonts w:ascii="Times New Roman" w:eastAsia="Times New Roman" w:hAnsi="Times New Roman" w:cs="Times New Roman"/>
                <w:sz w:val="24"/>
                <w:szCs w:val="24"/>
              </w:rPr>
              <w:lastRenderedPageBreak/>
              <w:t>fie riguros fundamentată și să nu afecteze coerența, stabilitatea și eficacitatea mecanismelor instituite.</w:t>
            </w:r>
          </w:p>
          <w:p w14:paraId="058D4AEF"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88066E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10F8689D" w14:textId="77777777" w:rsidR="00B9643D" w:rsidRDefault="00B9643D" w:rsidP="002E1162">
            <w:pPr>
              <w:jc w:val="both"/>
              <w:rPr>
                <w:rFonts w:ascii="Times New Roman" w:eastAsia="Times New Roman" w:hAnsi="Times New Roman" w:cs="Times New Roman"/>
                <w:sz w:val="24"/>
                <w:szCs w:val="24"/>
              </w:rPr>
            </w:pPr>
          </w:p>
          <w:p w14:paraId="24D2077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2874E4BA" w14:textId="77777777" w:rsidR="00B9643D" w:rsidRDefault="00B9643D" w:rsidP="002E1162">
            <w:pPr>
              <w:jc w:val="both"/>
              <w:rPr>
                <w:rFonts w:ascii="Times New Roman" w:eastAsia="Times New Roman" w:hAnsi="Times New Roman" w:cs="Times New Roman"/>
                <w:b/>
                <w:bCs/>
                <w:sz w:val="24"/>
                <w:szCs w:val="24"/>
              </w:rPr>
            </w:pPr>
          </w:p>
        </w:tc>
      </w:tr>
      <w:tr w:rsidR="00B9643D" w14:paraId="3106C3C6" w14:textId="77777777" w:rsidTr="00CA3607">
        <w:tc>
          <w:tcPr>
            <w:tcW w:w="420" w:type="dxa"/>
            <w:shd w:val="clear" w:color="auto" w:fill="FFFFFF"/>
          </w:tcPr>
          <w:p w14:paraId="2FE34D8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3E229700"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007BC1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68</w:t>
            </w:r>
          </w:p>
        </w:tc>
        <w:tc>
          <w:tcPr>
            <w:tcW w:w="6075" w:type="dxa"/>
            <w:tcBorders>
              <w:top w:val="single" w:sz="4" w:space="0" w:color="000000"/>
              <w:bottom w:val="single" w:sz="4" w:space="0" w:color="000000"/>
              <w:right w:val="single" w:sz="4" w:space="0" w:color="000000"/>
            </w:tcBorders>
            <w:shd w:val="clear" w:color="auto" w:fill="FFFFFF"/>
          </w:tcPr>
          <w:p w14:paraId="53C8413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Serviciul formulează următoarele obiecții asupra Art. VI din proiect.</w:t>
            </w:r>
          </w:p>
          <w:p w14:paraId="447B641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La pct. 1, Art. VI</w:t>
            </w:r>
            <w:r>
              <w:rPr>
                <w:rFonts w:ascii="Times New Roman" w:eastAsia="Times New Roman" w:hAnsi="Times New Roman" w:cs="Times New Roman"/>
                <w:sz w:val="24"/>
                <w:szCs w:val="24"/>
              </w:rPr>
              <w:t>, completarea art. 3 din Legea nr. 308/2017 cu noțiunea de „entitate raportoare de dimensiuni mici” nu este justificată și nu este compatibilă cu logica reglementării în domeniul cu privire la prevenirea și combaterea spălării banilor și finanțării terorismului. Or, în domeniul PCSB/FT, criteriul determinant îl constituie profilul de risc al entității evaluat în funcție de natura activității desfășurate, produsele și serviciile oferite, tipologia clienților, canalele de distribuție, volumul și caracterul tranzacțiilor, expunerea geografică și vulnerabilitățile sectoriale, iar nu dimensiunea economică a entității. Or, Regulamentul (UE) 2024/1624 stabilește categoriile entităților obligate prin raportare la activitatea desfășurată și expunerea la riscuri de spălare a banilor și finanțare a terorismului, fără a condiționa aplicarea obligațiilor preventive de încadrarea entității în categoria întreprinderilor micro sau mici. Mai mult decât atât, apartenența la categoria IMM nu constituie un indicator al riscului redus.</w:t>
            </w:r>
          </w:p>
          <w:p w14:paraId="4CBB1F7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același sens, Evaluarea Națională a Riscurilor de Spălare a Banilor și Finanțare a Terorismului pentru perioada 2022-2024 evidențiază riscurile prin raportare la sectoare de activitate și vulnerabilități specifice, fără a utiliza dimensiunea 3 economică drept criteriu de diferențiere a obligațiilor preventive. Dimpotrivă, anumite sectoare în care pot activa inclusiv operatori economici de dimensiuni reduse, cum sunt prestatorii de servicii de plată, sunt evaluate ca prezentând nivel mediu-înalt de risc, ceea ce confirmă că dimensiunea economică nu poate fundamenta instituirea unui regim juridic derogatoriu. Totodată, includerea riscului „moderat” în definiția unei entități care ar putea beneficia de cerințe simplificate este incompatibilă cu logica măsurilor simplificate, acestea fiind admisibile doar în situații de risc </w:t>
            </w:r>
            <w:r>
              <w:rPr>
                <w:rFonts w:ascii="Times New Roman" w:eastAsia="Times New Roman" w:hAnsi="Times New Roman" w:cs="Times New Roman"/>
                <w:sz w:val="24"/>
                <w:szCs w:val="24"/>
              </w:rPr>
              <w:lastRenderedPageBreak/>
              <w:t>redus demonstrat. Prin urmare, pct. 1 din Art. VI urmează a fi exclus.</w:t>
            </w:r>
          </w:p>
          <w:p w14:paraId="41B30E05"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D2D9DF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2A12303A" w14:textId="77777777" w:rsidR="00B9643D" w:rsidRDefault="00B9643D" w:rsidP="002E1162">
            <w:pPr>
              <w:jc w:val="both"/>
              <w:rPr>
                <w:rFonts w:ascii="Times New Roman" w:eastAsia="Times New Roman" w:hAnsi="Times New Roman" w:cs="Times New Roman"/>
                <w:sz w:val="24"/>
                <w:szCs w:val="24"/>
              </w:rPr>
            </w:pPr>
          </w:p>
          <w:p w14:paraId="16D0E19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666AFA07" w14:textId="77777777" w:rsidR="00B9643D" w:rsidRDefault="00B9643D" w:rsidP="002E1162">
            <w:pPr>
              <w:jc w:val="both"/>
              <w:rPr>
                <w:rFonts w:ascii="Times New Roman" w:eastAsia="Times New Roman" w:hAnsi="Times New Roman" w:cs="Times New Roman"/>
                <w:b/>
                <w:bCs/>
                <w:sz w:val="24"/>
                <w:szCs w:val="24"/>
              </w:rPr>
            </w:pPr>
          </w:p>
        </w:tc>
      </w:tr>
      <w:tr w:rsidR="00B9643D" w14:paraId="692CB4F1" w14:textId="77777777" w:rsidTr="00CA3607">
        <w:tc>
          <w:tcPr>
            <w:tcW w:w="420" w:type="dxa"/>
            <w:shd w:val="clear" w:color="auto" w:fill="FFFFFF"/>
          </w:tcPr>
          <w:p w14:paraId="6B91459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3F288B33"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171046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69</w:t>
            </w:r>
          </w:p>
        </w:tc>
        <w:tc>
          <w:tcPr>
            <w:tcW w:w="6075" w:type="dxa"/>
            <w:tcBorders>
              <w:top w:val="single" w:sz="4" w:space="0" w:color="000000"/>
              <w:bottom w:val="single" w:sz="4" w:space="0" w:color="000000"/>
              <w:right w:val="single" w:sz="4" w:space="0" w:color="000000"/>
            </w:tcBorders>
            <w:shd w:val="clear" w:color="auto" w:fill="FFFFFF"/>
          </w:tcPr>
          <w:p w14:paraId="37C304A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2, Art. VI, completarea art. 4, cu alin. (12 ) nu este corelată cu obiectul de reglementare al articolului, or art. 4 stabilește categoriile de entități raportoare și alți subiecți obligați să comunice informații Serviciului, fără a reglementa organizarea internă, funcția de conformitate sau documentarea evaluării riscurilor. Prin conținutul său, norma propusă vizează materii reglementate deja de art. 6 și art. 13 din Legea nr. 308/2017, ceea ce conduce la dispersarea nejustificată a regulilor privind conformitatea internă și paralelisme normative. Totodată, norma se întemeiază pe noțiunea de „entitate raportoare de dimensiuni mici” a cărei includere nu este justificată. </w:t>
            </w:r>
          </w:p>
          <w:p w14:paraId="69A43C0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pct. 2 din Art. VI urmează a fi exclus.</w:t>
            </w:r>
          </w:p>
          <w:p w14:paraId="4F96C366"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5D3117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transferat după competență</w:t>
            </w:r>
          </w:p>
          <w:p w14:paraId="6D530F20" w14:textId="77777777" w:rsidR="00B9643D" w:rsidRDefault="00B9643D" w:rsidP="002E1162">
            <w:pPr>
              <w:jc w:val="both"/>
              <w:rPr>
                <w:rFonts w:ascii="Times New Roman" w:eastAsia="Times New Roman" w:hAnsi="Times New Roman" w:cs="Times New Roman"/>
                <w:sz w:val="24"/>
                <w:szCs w:val="24"/>
              </w:rPr>
            </w:pPr>
          </w:p>
          <w:p w14:paraId="26781E3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12712E34" w14:textId="77777777" w:rsidTr="00CA3607">
        <w:tc>
          <w:tcPr>
            <w:tcW w:w="420" w:type="dxa"/>
            <w:shd w:val="clear" w:color="auto" w:fill="FFFFFF"/>
          </w:tcPr>
          <w:p w14:paraId="732676E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25ABCD8A"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AF8F05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70</w:t>
            </w:r>
          </w:p>
        </w:tc>
        <w:tc>
          <w:tcPr>
            <w:tcW w:w="6075" w:type="dxa"/>
            <w:tcBorders>
              <w:top w:val="single" w:sz="4" w:space="0" w:color="000000"/>
              <w:bottom w:val="single" w:sz="4" w:space="0" w:color="000000"/>
              <w:right w:val="single" w:sz="4" w:space="0" w:color="000000"/>
            </w:tcBorders>
            <w:shd w:val="clear" w:color="auto" w:fill="FFFFFF"/>
          </w:tcPr>
          <w:p w14:paraId="4B28FED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 pct. 3, Art. VI</w:t>
            </w:r>
            <w:r>
              <w:rPr>
                <w:rFonts w:ascii="Times New Roman" w:eastAsia="Times New Roman" w:hAnsi="Times New Roman" w:cs="Times New Roman"/>
                <w:sz w:val="24"/>
                <w:szCs w:val="24"/>
              </w:rPr>
              <w:t xml:space="preserve">, modificarea art. 5, alin. (6) nu introduce o soluție normativă nouă, or principiile abordării bazate pe risc și proporționalității sunt deja consacrate de Legea nr. 308/2017, inclusiv prin art. 6 și art. 13, fiind dezvoltate prin actele normative subordonate adoptate în aplicarea legii. Formulări precum „cu titlu orientativ și neexhaustiv” au caracter explicativ, nu dispozitiv, totodată acestea nu instituie drepturi, obligații sau efecte juridice noi. Mai mult decât atât, inserarea unor asemenea precizări contravine exigențelor Legii nr. 100/2017 cu privire la actele normative privind claritatea, concizia și caracterul prescriptiv al normei juridice. Or, enumerarea criteriilor privind natura, mărimea, complexitatea entității raportoare, caracteristicile clienților, produselor, serviciilor, tranzacțiilor și canalelor de distribuție este deja incidentă mecanismului de evaluare a riscurilor. </w:t>
            </w:r>
          </w:p>
          <w:p w14:paraId="7EC551A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pct. 3 din Art. VI urmează a fi exclus.</w:t>
            </w:r>
          </w:p>
          <w:p w14:paraId="72DA3B72"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927853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transferat după competență</w:t>
            </w:r>
          </w:p>
          <w:p w14:paraId="3C2E721C" w14:textId="77777777" w:rsidR="00B9643D" w:rsidRDefault="00B9643D" w:rsidP="002E1162">
            <w:pPr>
              <w:jc w:val="both"/>
              <w:rPr>
                <w:rFonts w:ascii="Times New Roman" w:eastAsia="Times New Roman" w:hAnsi="Times New Roman" w:cs="Times New Roman"/>
                <w:sz w:val="24"/>
                <w:szCs w:val="24"/>
              </w:rPr>
            </w:pPr>
          </w:p>
          <w:p w14:paraId="5CDC81E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4A334B57" w14:textId="77777777" w:rsidTr="00CA3607">
        <w:tc>
          <w:tcPr>
            <w:tcW w:w="420" w:type="dxa"/>
            <w:shd w:val="clear" w:color="auto" w:fill="FFFFFF"/>
          </w:tcPr>
          <w:p w14:paraId="1B0630D9"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578CB1E6"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B919FD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71</w:t>
            </w:r>
          </w:p>
        </w:tc>
        <w:tc>
          <w:tcPr>
            <w:tcW w:w="6075" w:type="dxa"/>
            <w:tcBorders>
              <w:top w:val="single" w:sz="4" w:space="0" w:color="000000"/>
              <w:bottom w:val="single" w:sz="4" w:space="0" w:color="000000"/>
              <w:right w:val="single" w:sz="4" w:space="0" w:color="000000"/>
            </w:tcBorders>
            <w:shd w:val="clear" w:color="auto" w:fill="FFFFFF"/>
          </w:tcPr>
          <w:p w14:paraId="2CACF7E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 pct. 4, Art. VI</w:t>
            </w:r>
            <w:r>
              <w:rPr>
                <w:rFonts w:ascii="Times New Roman" w:eastAsia="Times New Roman" w:hAnsi="Times New Roman" w:cs="Times New Roman"/>
                <w:sz w:val="24"/>
                <w:szCs w:val="24"/>
              </w:rPr>
              <w:t xml:space="preserve"> modificarea art. 52 , alin. (3), la fel nu se susține. Deși autorul invocă armonizarea cu noul cadru </w:t>
            </w:r>
            <w:r>
              <w:rPr>
                <w:rFonts w:ascii="Times New Roman" w:eastAsia="Times New Roman" w:hAnsi="Times New Roman" w:cs="Times New Roman"/>
                <w:sz w:val="24"/>
                <w:szCs w:val="24"/>
              </w:rPr>
              <w:lastRenderedPageBreak/>
              <w:t>european, soluția propusă nu constituie o transpunere fidelă a mecanismului de gestionare a neconcordanțelor privind beneficiarul efectiv. Or, Regulamentul (UE) 2024/1624 reglementează identificarea și raportarea neconcordanțelor referitoare la beneficiarul efectiv fără a institui în cadrul acestei proceduri un regim distinct privind restricționarea operațiunilor, suspendarea relației de afaceri sau refuzul tranzacțiilor. Astfel că, aspectele respective țin de aplicarea măsurilor de precauție privind clienții și de gestionarea riscurilor, fiind reglementate distinct în cadrul sistemului cu privire la prevenirea și combaterea spălării banilor și finanțării terorismului. În aceeași ordine de idei, Serviciul în calitate de autor al proiectului noii legi privind prevenirea și combaterea spălării banilor și finanțării terorismului aflat în proces de transpunere a Regulamentului (UE) 2024/1624 și Directivei (UE) 2024/1640, a realizat reglementarea mecanismelor de identificare a beneficiarului efectiv. Considerăm că, intervenția fragmentată asupra Legii nr. 308/2017 creează riscul 4 apariției unor necorelări cu inițiativa legislativă promovată în cadrul procesului național de transpunere.</w:t>
            </w:r>
          </w:p>
          <w:p w14:paraId="7779950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Prin urmare, pct. 4 din Art. VI urmează a fi exclus.</w:t>
            </w:r>
          </w:p>
          <w:p w14:paraId="02AF571A" w14:textId="77777777" w:rsidR="002E1162" w:rsidRDefault="002E1162" w:rsidP="002E1162">
            <w:pPr>
              <w:ind w:firstLine="378"/>
              <w:jc w:val="both"/>
              <w:rPr>
                <w:rFonts w:ascii="Times New Roman" w:eastAsia="Times New Roman" w:hAnsi="Times New Roman" w:cs="Times New Roman"/>
                <w:b/>
                <w:bCs/>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BAD2F6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5E013E2B" w14:textId="77777777" w:rsidR="00B9643D" w:rsidRDefault="00B9643D" w:rsidP="002E1162">
            <w:pPr>
              <w:jc w:val="both"/>
              <w:rPr>
                <w:rFonts w:ascii="Times New Roman" w:eastAsia="Times New Roman" w:hAnsi="Times New Roman" w:cs="Times New Roman"/>
                <w:sz w:val="24"/>
                <w:szCs w:val="24"/>
              </w:rPr>
            </w:pPr>
          </w:p>
          <w:p w14:paraId="70BAD2B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A se vedea argumentarea la pct. 1.</w:t>
            </w:r>
          </w:p>
        </w:tc>
      </w:tr>
      <w:tr w:rsidR="00B9643D" w14:paraId="718DEE46" w14:textId="77777777" w:rsidTr="00CA3607">
        <w:tc>
          <w:tcPr>
            <w:tcW w:w="420" w:type="dxa"/>
            <w:shd w:val="clear" w:color="auto" w:fill="FFFFFF"/>
          </w:tcPr>
          <w:p w14:paraId="2CDE28B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61CDB639"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BD4813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72</w:t>
            </w:r>
          </w:p>
        </w:tc>
        <w:tc>
          <w:tcPr>
            <w:tcW w:w="6075" w:type="dxa"/>
            <w:tcBorders>
              <w:top w:val="single" w:sz="4" w:space="0" w:color="000000"/>
              <w:bottom w:val="single" w:sz="4" w:space="0" w:color="000000"/>
              <w:right w:val="single" w:sz="4" w:space="0" w:color="000000"/>
            </w:tcBorders>
            <w:shd w:val="clear" w:color="auto" w:fill="FFFFFF"/>
          </w:tcPr>
          <w:p w14:paraId="126D48D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5, Art. VI, modificarea propusă nu se susține, Serviciul menționează că obligația privind actualizarea evaluării riscurilor a fost transpusă în proiectul noii legi privind prevenirea și combaterea spălării banilor și finanțării terorismului elaborat pentru transpunerea noului pachet al Uniunii Europene în domeniul PCSB/FT, astfel că obligația privind actualizarea evaluării riscurilor a fost transpusă fidel.</w:t>
            </w:r>
          </w:p>
          <w:p w14:paraId="3EB42A7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Prin urmare, se propune excluderea pct. 5 din Art. VI.</w:t>
            </w:r>
          </w:p>
          <w:p w14:paraId="0590F6C5" w14:textId="77777777" w:rsidR="002E1162" w:rsidRDefault="002E1162" w:rsidP="002E1162">
            <w:pPr>
              <w:ind w:firstLine="378"/>
              <w:jc w:val="both"/>
              <w:rPr>
                <w:rFonts w:ascii="Times New Roman" w:eastAsia="Times New Roman" w:hAnsi="Times New Roman" w:cs="Times New Roman"/>
                <w:b/>
                <w:bCs/>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55784B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transferat după competență</w:t>
            </w:r>
          </w:p>
          <w:p w14:paraId="298A125B" w14:textId="77777777" w:rsidR="00B9643D" w:rsidRDefault="00B9643D" w:rsidP="002E1162">
            <w:pPr>
              <w:jc w:val="both"/>
              <w:rPr>
                <w:rFonts w:ascii="Times New Roman" w:eastAsia="Times New Roman" w:hAnsi="Times New Roman" w:cs="Times New Roman"/>
                <w:sz w:val="24"/>
                <w:szCs w:val="24"/>
              </w:rPr>
            </w:pPr>
          </w:p>
          <w:p w14:paraId="30EEEC4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58EC0523" w14:textId="77777777" w:rsidR="00B9643D" w:rsidRDefault="00B9643D" w:rsidP="002E1162">
            <w:pPr>
              <w:jc w:val="both"/>
              <w:rPr>
                <w:rFonts w:ascii="Times New Roman" w:eastAsia="Times New Roman" w:hAnsi="Times New Roman" w:cs="Times New Roman"/>
                <w:b/>
                <w:bCs/>
                <w:sz w:val="24"/>
                <w:szCs w:val="24"/>
              </w:rPr>
            </w:pPr>
          </w:p>
        </w:tc>
      </w:tr>
      <w:tr w:rsidR="00B9643D" w14:paraId="56FE1A57" w14:textId="77777777" w:rsidTr="00CA3607">
        <w:tc>
          <w:tcPr>
            <w:tcW w:w="420" w:type="dxa"/>
            <w:shd w:val="clear" w:color="auto" w:fill="FFFFFF"/>
          </w:tcPr>
          <w:p w14:paraId="6CFAD61C"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6DF4D28D"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43E581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73</w:t>
            </w:r>
          </w:p>
        </w:tc>
        <w:tc>
          <w:tcPr>
            <w:tcW w:w="6075" w:type="dxa"/>
            <w:tcBorders>
              <w:top w:val="single" w:sz="4" w:space="0" w:color="000000"/>
              <w:bottom w:val="single" w:sz="4" w:space="0" w:color="000000"/>
              <w:right w:val="single" w:sz="4" w:space="0" w:color="000000"/>
            </w:tcBorders>
            <w:shd w:val="clear" w:color="auto" w:fill="FFFFFF"/>
          </w:tcPr>
          <w:p w14:paraId="46C667B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 pct. 6, Art. VI</w:t>
            </w:r>
            <w:r>
              <w:rPr>
                <w:rFonts w:ascii="Times New Roman" w:eastAsia="Times New Roman" w:hAnsi="Times New Roman" w:cs="Times New Roman"/>
                <w:sz w:val="24"/>
                <w:szCs w:val="24"/>
              </w:rPr>
              <w:t xml:space="preserve">, completarea art. 6, cu alin. (13) nu se susține, or Regulamentul (UE) 2024/1624 consacră principiul proporționalității, însă nu instituie categoria juridică de „entitate raportoare de dimensiuni mici” și nu condiționează aplicarea obligațiilor în domeniul PCSB/FT de încadrarea </w:t>
            </w:r>
            <w:r>
              <w:rPr>
                <w:rFonts w:ascii="Times New Roman" w:eastAsia="Times New Roman" w:hAnsi="Times New Roman" w:cs="Times New Roman"/>
                <w:sz w:val="24"/>
                <w:szCs w:val="24"/>
              </w:rPr>
              <w:lastRenderedPageBreak/>
              <w:t xml:space="preserve">entității într-o asemenea categorie. Cadrul normativ european impune adaptarea obligațiilor la natura, dimensiunea, complexitatea și profilul de risc al entității obligate, fără crearea unui regim derogatoriu distinct pentru o categorie definită prin criterii economice. Este de notat că, Serviciul a transpus principiul proporționalității în proiectul noii legi fără instituirea unei asemenea categorii juridice și fără diminuarea obligațiilor privind evaluarea riscurilor și organizarea conformității interne într-un mod distinct. </w:t>
            </w:r>
          </w:p>
          <w:p w14:paraId="17CB6F8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pct. 6 din Art. VI urmează a fi exclus.</w:t>
            </w:r>
          </w:p>
          <w:p w14:paraId="44858689"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187124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45D620B0" w14:textId="77777777" w:rsidR="00B9643D" w:rsidRDefault="00B9643D" w:rsidP="002E1162">
            <w:pPr>
              <w:jc w:val="both"/>
              <w:rPr>
                <w:rFonts w:ascii="Times New Roman" w:eastAsia="Times New Roman" w:hAnsi="Times New Roman" w:cs="Times New Roman"/>
                <w:sz w:val="24"/>
                <w:szCs w:val="24"/>
              </w:rPr>
            </w:pPr>
          </w:p>
          <w:p w14:paraId="42B0DE6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1651B0F3" w14:textId="77777777" w:rsidR="00B9643D" w:rsidRDefault="00B9643D" w:rsidP="002E1162">
            <w:pPr>
              <w:jc w:val="both"/>
              <w:rPr>
                <w:rFonts w:ascii="Times New Roman" w:eastAsia="Times New Roman" w:hAnsi="Times New Roman" w:cs="Times New Roman"/>
                <w:b/>
                <w:bCs/>
                <w:sz w:val="24"/>
                <w:szCs w:val="24"/>
              </w:rPr>
            </w:pPr>
          </w:p>
        </w:tc>
      </w:tr>
      <w:tr w:rsidR="00B9643D" w14:paraId="583F3806" w14:textId="77777777" w:rsidTr="00CA3607">
        <w:tc>
          <w:tcPr>
            <w:tcW w:w="420" w:type="dxa"/>
            <w:shd w:val="clear" w:color="auto" w:fill="FFFFFF"/>
          </w:tcPr>
          <w:p w14:paraId="6D45610E"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19A9540B"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009EA8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74</w:t>
            </w:r>
          </w:p>
        </w:tc>
        <w:tc>
          <w:tcPr>
            <w:tcW w:w="6075" w:type="dxa"/>
            <w:tcBorders>
              <w:top w:val="single" w:sz="4" w:space="0" w:color="000000"/>
              <w:bottom w:val="single" w:sz="4" w:space="0" w:color="000000"/>
              <w:right w:val="single" w:sz="4" w:space="0" w:color="000000"/>
            </w:tcBorders>
            <w:shd w:val="clear" w:color="auto" w:fill="FFFFFF"/>
          </w:tcPr>
          <w:p w14:paraId="6776662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7, Art. VI, completarea art. 9, alin. (23 ) cu sintagma „prevăzută la alin. (22 )” nu produce efect juridic distinct. Din interpretarea sistematică a art. 9 rezultă că perioada vizată este cea prevăzută la alin. (22 ), iar precizarea are caracter redacțional și nu elimină o neclaritate de interpretare.</w:t>
            </w:r>
          </w:p>
          <w:p w14:paraId="133F139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În consecință, pct. 7 din Art. VI urmează a fi exclus.</w:t>
            </w:r>
          </w:p>
          <w:p w14:paraId="4438BEDA" w14:textId="77777777" w:rsidR="002E1162" w:rsidRDefault="002E1162" w:rsidP="002E1162">
            <w:pPr>
              <w:ind w:firstLine="378"/>
              <w:jc w:val="both"/>
              <w:rPr>
                <w:rFonts w:ascii="Times New Roman" w:eastAsia="Times New Roman" w:hAnsi="Times New Roman" w:cs="Times New Roman"/>
                <w:b/>
                <w:bCs/>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FFE9A3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transferat după competență</w:t>
            </w:r>
          </w:p>
          <w:p w14:paraId="75702FAF" w14:textId="77777777" w:rsidR="00B9643D" w:rsidRDefault="00B9643D" w:rsidP="002E1162">
            <w:pPr>
              <w:jc w:val="both"/>
              <w:rPr>
                <w:rFonts w:ascii="Times New Roman" w:eastAsia="Times New Roman" w:hAnsi="Times New Roman" w:cs="Times New Roman"/>
                <w:sz w:val="24"/>
                <w:szCs w:val="24"/>
              </w:rPr>
            </w:pPr>
          </w:p>
          <w:p w14:paraId="6BE253B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64B393F0" w14:textId="77777777" w:rsidR="00B9643D" w:rsidRDefault="00B9643D" w:rsidP="002E1162">
            <w:pPr>
              <w:jc w:val="both"/>
              <w:rPr>
                <w:rFonts w:ascii="Times New Roman" w:eastAsia="Times New Roman" w:hAnsi="Times New Roman" w:cs="Times New Roman"/>
                <w:b/>
                <w:bCs/>
                <w:sz w:val="24"/>
                <w:szCs w:val="24"/>
              </w:rPr>
            </w:pPr>
          </w:p>
        </w:tc>
      </w:tr>
      <w:tr w:rsidR="00B9643D" w14:paraId="1E4E2D9E" w14:textId="77777777" w:rsidTr="00CA3607">
        <w:tc>
          <w:tcPr>
            <w:tcW w:w="420" w:type="dxa"/>
            <w:shd w:val="clear" w:color="auto" w:fill="FFFFFF"/>
          </w:tcPr>
          <w:p w14:paraId="0C55363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3C0DB55F"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4F3CBB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75</w:t>
            </w:r>
          </w:p>
        </w:tc>
        <w:tc>
          <w:tcPr>
            <w:tcW w:w="6075" w:type="dxa"/>
            <w:tcBorders>
              <w:top w:val="single" w:sz="4" w:space="0" w:color="000000"/>
              <w:bottom w:val="single" w:sz="4" w:space="0" w:color="000000"/>
              <w:right w:val="single" w:sz="4" w:space="0" w:color="000000"/>
            </w:tcBorders>
            <w:shd w:val="clear" w:color="auto" w:fill="FFFFFF"/>
          </w:tcPr>
          <w:p w14:paraId="47DBDD6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8, 9 și 10, Art. VI, completările propuse la art. 11, alin. (2), (3) și (31 ) nu se susțin, întrucât modifică regimul juridic al obligațiilor de raportare prin includerea unui criteriu suplimentar dependent de evaluarea riscurilor efectuată de entitatea raportoare. Or, sintagma potrivit căreia raportarea se aplică „pentru categoriile de clienți sau produse care, potrivit evaluării riscurilor, pot prezenta un risc sporit” este susceptibilă să genereze interpretarea că obligațiile prevăzute de art. 11 se aplică doar în ipoteza existenței unui risc sporit, ceea ce contravine structurii și finalității Legii nr. 308/2017. În acest context, se subliniază că obligația de raportare a activităților sau tranzacțiilor suspecte se aplică ori de câte ori există suspiciuni de spălare a banilor, infracțiuni predicat sau finanțare a terorismului, indiferent de valoarea tranzacției, categoria clientului sau nivelul de risc atribuit anterior. În același timp, precizarea că dispozițiile nu aduc atingere obligației de raportare a tranzacțiilor suspecte reiterează o </w:t>
            </w:r>
            <w:r>
              <w:rPr>
                <w:rFonts w:ascii="Times New Roman" w:eastAsia="Times New Roman" w:hAnsi="Times New Roman" w:cs="Times New Roman"/>
                <w:sz w:val="24"/>
                <w:szCs w:val="24"/>
              </w:rPr>
              <w:lastRenderedPageBreak/>
              <w:t xml:space="preserve">obligație deja reglementată la art. 11, alin. (1), având caracter explicativ și generând paralelism normativ. </w:t>
            </w:r>
          </w:p>
          <w:p w14:paraId="127DA05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pct. 8, 9 și 10 din Art. VI urmează a fi excluse.</w:t>
            </w:r>
          </w:p>
          <w:p w14:paraId="58C9F78F"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72B10C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2A3058DF" w14:textId="77777777" w:rsidR="00B9643D" w:rsidRDefault="00B9643D" w:rsidP="002E1162">
            <w:pPr>
              <w:jc w:val="both"/>
              <w:rPr>
                <w:rFonts w:ascii="Times New Roman" w:eastAsia="Times New Roman" w:hAnsi="Times New Roman" w:cs="Times New Roman"/>
                <w:sz w:val="24"/>
                <w:szCs w:val="24"/>
              </w:rPr>
            </w:pPr>
          </w:p>
          <w:p w14:paraId="1BCE390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516EAF76" w14:textId="77777777" w:rsidR="00B9643D" w:rsidRDefault="00B9643D" w:rsidP="002E1162">
            <w:pPr>
              <w:jc w:val="both"/>
              <w:rPr>
                <w:rFonts w:ascii="Times New Roman" w:eastAsia="Times New Roman" w:hAnsi="Times New Roman" w:cs="Times New Roman"/>
                <w:b/>
                <w:bCs/>
                <w:sz w:val="24"/>
                <w:szCs w:val="24"/>
              </w:rPr>
            </w:pPr>
          </w:p>
        </w:tc>
      </w:tr>
      <w:tr w:rsidR="00B9643D" w14:paraId="59764FB2" w14:textId="77777777" w:rsidTr="00CA3607">
        <w:tc>
          <w:tcPr>
            <w:tcW w:w="420" w:type="dxa"/>
            <w:shd w:val="clear" w:color="auto" w:fill="FFFFFF"/>
          </w:tcPr>
          <w:p w14:paraId="3838C18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7464CADA"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9C70E9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76</w:t>
            </w:r>
          </w:p>
        </w:tc>
        <w:tc>
          <w:tcPr>
            <w:tcW w:w="6075" w:type="dxa"/>
            <w:tcBorders>
              <w:top w:val="single" w:sz="4" w:space="0" w:color="000000"/>
              <w:bottom w:val="single" w:sz="4" w:space="0" w:color="000000"/>
              <w:right w:val="single" w:sz="4" w:space="0" w:color="000000"/>
            </w:tcBorders>
            <w:shd w:val="clear" w:color="auto" w:fill="FFFFFF"/>
          </w:tcPr>
          <w:p w14:paraId="4487D1B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11, Art. VI, completarea art. 15, cu alin. (11 ) nu se susține, or regimul juridic al actelor normative, actelor administrative individuale și operațiunilor administrative este deja reglementat de cadrul normativ general, inclusiv de Legea nr. 100/2017, iar principiul legalității exclude posibilitatea instituirii unor obligații cu caracter normativ prin scrisori, adrese, circulare sau alte forme de corespondență care 5 nu au natura juridică a unui act normativ. Or, reiterarea acestor reguli în Legea nr. 308/2017 nu răspunde unei necesități justificate de reglementare. Mai mult decât atât, noțiuni precum „alte forme de corespondență individuală ori colectivă” sunt insuficient determinate și pot genera incertitudine cu privire la comunicările emise de autoritățile competente în exercitarea atribuțiilor de supraveghere, îndrumare, avertizare, informare și cooperare. Delimitarea dintre actele normative și comunicările administrative rezultă deja din regimul juridic general și din competențele conferite Serviciului prin art. 15, alin. (6) din Legea nr. 308/2017. </w:t>
            </w:r>
          </w:p>
          <w:p w14:paraId="56519A1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pct. 11 din Art. VI urmează a fi exclus.</w:t>
            </w:r>
          </w:p>
          <w:p w14:paraId="2985DE15"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FA59BB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transferat după competență</w:t>
            </w:r>
          </w:p>
          <w:p w14:paraId="5F540F14" w14:textId="77777777" w:rsidR="00B9643D" w:rsidRDefault="00B9643D" w:rsidP="002E1162">
            <w:pPr>
              <w:jc w:val="both"/>
              <w:rPr>
                <w:rFonts w:ascii="Times New Roman" w:eastAsia="Times New Roman" w:hAnsi="Times New Roman" w:cs="Times New Roman"/>
                <w:sz w:val="24"/>
                <w:szCs w:val="24"/>
              </w:rPr>
            </w:pPr>
          </w:p>
          <w:p w14:paraId="36D34A4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62D67C95" w14:textId="77777777" w:rsidR="00B9643D" w:rsidRDefault="00B9643D" w:rsidP="002E1162">
            <w:pPr>
              <w:jc w:val="both"/>
              <w:rPr>
                <w:rFonts w:ascii="Times New Roman" w:eastAsia="Times New Roman" w:hAnsi="Times New Roman" w:cs="Times New Roman"/>
                <w:b/>
                <w:bCs/>
                <w:sz w:val="24"/>
                <w:szCs w:val="24"/>
              </w:rPr>
            </w:pPr>
          </w:p>
        </w:tc>
      </w:tr>
      <w:tr w:rsidR="00B9643D" w14:paraId="62924D56" w14:textId="77777777" w:rsidTr="00CA3607">
        <w:tc>
          <w:tcPr>
            <w:tcW w:w="420" w:type="dxa"/>
            <w:shd w:val="clear" w:color="auto" w:fill="FFFFFF"/>
          </w:tcPr>
          <w:p w14:paraId="2ADC4B4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60401CE2"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6A0F84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77</w:t>
            </w:r>
          </w:p>
        </w:tc>
        <w:tc>
          <w:tcPr>
            <w:tcW w:w="6075" w:type="dxa"/>
            <w:tcBorders>
              <w:top w:val="single" w:sz="4" w:space="0" w:color="000000"/>
              <w:bottom w:val="single" w:sz="4" w:space="0" w:color="000000"/>
              <w:right w:val="single" w:sz="4" w:space="0" w:color="000000"/>
            </w:tcBorders>
            <w:shd w:val="clear" w:color="auto" w:fill="FFFFFF"/>
          </w:tcPr>
          <w:p w14:paraId="3860632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12, Art. VI, modificarea propusă nu se susține, astfel că Serviciul reiterează că în cadrul proiectului noii legi privind prevenirea și combaterea spălării banilor și finanțării terorismului elaborat pentru transpunerea Regulamentului (UE) 2024/1624 și Directivei (UE) 2024/1640, mecanismul privind sistarea activităților sau tranzacțiilor a fost revizuit și transpus în mod corespunzător, inclusiv sub aspectul duratei aplicării măsurii, în concordanță cu exigențele noului pachet legislativ european. Prin urmare, promovarea unei modificări punctuale a art. 33, alin. (4) din Legea nr. 308/2017, anterior adoptării noului cadru legislativ nu este justificată și riscă să genereze necorelări între reglementările naționale aflate în </w:t>
            </w:r>
            <w:r>
              <w:rPr>
                <w:rFonts w:ascii="Times New Roman" w:eastAsia="Times New Roman" w:hAnsi="Times New Roman" w:cs="Times New Roman"/>
                <w:sz w:val="24"/>
                <w:szCs w:val="24"/>
              </w:rPr>
              <w:lastRenderedPageBreak/>
              <w:t xml:space="preserve">proces de armonizare. Totodată, soluția promovată prin prezentul proiect diferă de soluția normativă adoptată de Serviciu în cadrul proiectului de transpunere a noului pachet legislativ european, ceea ce este susceptibil să genereze necorelări legislative și să afecteze caracterul unitar al procesului de armonizare a cadrului normativ național. </w:t>
            </w:r>
          </w:p>
          <w:p w14:paraId="3FAB1F4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aceste condiții, modificarea propusă nu se susține, fiind propusă excluderea pct. 12 din Art. VI.</w:t>
            </w:r>
          </w:p>
          <w:p w14:paraId="64C98A77"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2D1DE4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68485A73" w14:textId="77777777" w:rsidR="00B9643D" w:rsidRDefault="00B9643D" w:rsidP="002E1162">
            <w:pPr>
              <w:jc w:val="both"/>
              <w:rPr>
                <w:rFonts w:ascii="Times New Roman" w:eastAsia="Times New Roman" w:hAnsi="Times New Roman" w:cs="Times New Roman"/>
                <w:sz w:val="24"/>
                <w:szCs w:val="24"/>
              </w:rPr>
            </w:pPr>
          </w:p>
          <w:p w14:paraId="3AC2CAC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5DE984A3" w14:textId="77777777" w:rsidR="00B9643D" w:rsidRDefault="00B9643D" w:rsidP="002E1162">
            <w:pPr>
              <w:jc w:val="both"/>
              <w:rPr>
                <w:rFonts w:ascii="Times New Roman" w:eastAsia="Times New Roman" w:hAnsi="Times New Roman" w:cs="Times New Roman"/>
                <w:b/>
                <w:bCs/>
                <w:sz w:val="24"/>
                <w:szCs w:val="24"/>
              </w:rPr>
            </w:pPr>
          </w:p>
        </w:tc>
      </w:tr>
      <w:tr w:rsidR="00B9643D" w14:paraId="4C1B8615" w14:textId="77777777" w:rsidTr="00CA3607">
        <w:tc>
          <w:tcPr>
            <w:tcW w:w="420" w:type="dxa"/>
            <w:shd w:val="clear" w:color="auto" w:fill="FFFFFF"/>
          </w:tcPr>
          <w:p w14:paraId="21ADBA3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20CD2E31"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A71C45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78</w:t>
            </w:r>
          </w:p>
        </w:tc>
        <w:tc>
          <w:tcPr>
            <w:tcW w:w="6075" w:type="dxa"/>
            <w:tcBorders>
              <w:top w:val="single" w:sz="4" w:space="0" w:color="000000"/>
              <w:bottom w:val="single" w:sz="4" w:space="0" w:color="000000"/>
              <w:right w:val="single" w:sz="4" w:space="0" w:color="000000"/>
            </w:tcBorders>
            <w:shd w:val="clear" w:color="auto" w:fill="FFFFFF"/>
          </w:tcPr>
          <w:p w14:paraId="7A7E8F6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 caracterul conceptual al divergențelor constatate, suprapunerea modificărilor propuse cu procesul național de transpunere a Regulamentului (UE) 2024/1624 și Directivei (UE) 2024/1640, precum și necesitatea asigurării unui cadru normativ coerent, stabil și eficient în domeniul prevenirii și combaterii spălării banilor și finanțării terorismului, inclusiv în perspectiva participării Republicii Moldova la cea de-a șasea rundă de evaluare reciprocă (</w:t>
            </w:r>
            <w:proofErr w:type="spellStart"/>
            <w:r>
              <w:rPr>
                <w:rFonts w:ascii="Times New Roman" w:eastAsia="Times New Roman" w:hAnsi="Times New Roman" w:cs="Times New Roman"/>
                <w:sz w:val="24"/>
                <w:szCs w:val="24"/>
              </w:rPr>
              <w:t>Sixth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Round</w:t>
            </w:r>
            <w:proofErr w:type="spellEnd"/>
            <w:r>
              <w:rPr>
                <w:rFonts w:ascii="Times New Roman" w:eastAsia="Times New Roman" w:hAnsi="Times New Roman" w:cs="Times New Roman"/>
                <w:sz w:val="24"/>
                <w:szCs w:val="24"/>
              </w:rPr>
              <w:t xml:space="preserve"> Mutual </w:t>
            </w:r>
            <w:proofErr w:type="spellStart"/>
            <w:r>
              <w:rPr>
                <w:rFonts w:ascii="Times New Roman" w:eastAsia="Times New Roman" w:hAnsi="Times New Roman" w:cs="Times New Roman"/>
                <w:sz w:val="24"/>
                <w:szCs w:val="24"/>
              </w:rPr>
              <w:t>Evaluation</w:t>
            </w:r>
            <w:proofErr w:type="spellEnd"/>
            <w:r>
              <w:rPr>
                <w:rFonts w:ascii="Times New Roman" w:eastAsia="Times New Roman" w:hAnsi="Times New Roman" w:cs="Times New Roman"/>
                <w:sz w:val="24"/>
                <w:szCs w:val="24"/>
              </w:rPr>
              <w:t xml:space="preserve">) desfășurată de Comitetul de Experți pentru evaluarea măsurilor de combatere a spălării banilor și finanțării terorismului (MONEYVAL) al Consiliului Europei, în cadrul căreia vizita de evaluare la fața locului (on-site </w:t>
            </w:r>
            <w:proofErr w:type="spellStart"/>
            <w:r>
              <w:rPr>
                <w:rFonts w:ascii="Times New Roman" w:eastAsia="Times New Roman" w:hAnsi="Times New Roman" w:cs="Times New Roman"/>
                <w:sz w:val="24"/>
                <w:szCs w:val="24"/>
              </w:rPr>
              <w:t>visit</w:t>
            </w:r>
            <w:proofErr w:type="spellEnd"/>
            <w:r>
              <w:rPr>
                <w:rFonts w:ascii="Times New Roman" w:eastAsia="Times New Roman" w:hAnsi="Times New Roman" w:cs="Times New Roman"/>
                <w:sz w:val="24"/>
                <w:szCs w:val="24"/>
              </w:rPr>
              <w:t>) este programată pentru luna aprilie 2028, Serviciul își menține poziția privind excluderea integrală a Art. VI din proiect. Nu în ultimul rând, în vederea examinării argumentelor prezentate de autor, observațiilor formulate de autoritățile avizatoare și identificării unei soluții legislative conforme cu exigențele cadrului normativ național și european în domeniul prevenirii și combaterii spălării banilor și finanțării terorismului, Serviciul solicită organizarea unei ședințe comune de lucru cu participarea autorului proiectului și celorlalte autorități competente relevante, în scopul elucidării divergențelor de ordin juridic, tehnic și operațional constatate în procesul de avizare.</w:t>
            </w:r>
          </w:p>
          <w:p w14:paraId="79866D29"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516AE3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 transferat după competență</w:t>
            </w:r>
          </w:p>
          <w:p w14:paraId="4226323F" w14:textId="77777777" w:rsidR="00B9643D" w:rsidRDefault="00B9643D" w:rsidP="002E1162">
            <w:pPr>
              <w:jc w:val="both"/>
              <w:rPr>
                <w:rFonts w:ascii="Times New Roman" w:eastAsia="Times New Roman" w:hAnsi="Times New Roman" w:cs="Times New Roman"/>
                <w:sz w:val="24"/>
                <w:szCs w:val="24"/>
              </w:rPr>
            </w:pPr>
          </w:p>
          <w:p w14:paraId="4E62728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1.</w:t>
            </w:r>
          </w:p>
          <w:p w14:paraId="31D178FE" w14:textId="77777777" w:rsidR="00B9643D" w:rsidRDefault="00B9643D" w:rsidP="002E1162">
            <w:pPr>
              <w:jc w:val="both"/>
              <w:rPr>
                <w:rFonts w:ascii="Times New Roman" w:eastAsia="Times New Roman" w:hAnsi="Times New Roman" w:cs="Times New Roman"/>
                <w:b/>
                <w:bCs/>
                <w:sz w:val="24"/>
                <w:szCs w:val="24"/>
              </w:rPr>
            </w:pPr>
          </w:p>
        </w:tc>
      </w:tr>
      <w:tr w:rsidR="00B9643D" w14:paraId="51C349A1" w14:textId="77777777" w:rsidTr="00CA3607">
        <w:tc>
          <w:tcPr>
            <w:tcW w:w="420" w:type="dxa"/>
            <w:shd w:val="clear" w:color="auto" w:fill="FFFFFF"/>
          </w:tcPr>
          <w:p w14:paraId="56F3BD5A"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FB40AD9" w14:textId="77777777" w:rsidR="00B9643D" w:rsidRDefault="00000000" w:rsidP="002E1162">
            <w:pPr>
              <w:widowControl w:val="0"/>
              <w:pBdr>
                <w:top w:val="nil"/>
                <w:left w:val="nil"/>
                <w:bottom w:val="nil"/>
                <w:right w:val="nil"/>
                <w:between w:val="nil"/>
              </w:pBd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Banca Națională a Moldovei</w:t>
            </w:r>
          </w:p>
          <w:p w14:paraId="191108EA" w14:textId="77777777" w:rsidR="00B9643D" w:rsidRDefault="00000000" w:rsidP="002E1162">
            <w:pPr>
              <w:widowControl w:val="0"/>
              <w:pBdr>
                <w:top w:val="nil"/>
                <w:left w:val="nil"/>
                <w:bottom w:val="nil"/>
                <w:right w:val="nil"/>
                <w:between w:val="nil"/>
              </w:pBd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Aviz nr. 31-</w:t>
            </w:r>
            <w:r>
              <w:rPr>
                <w:rFonts w:ascii="Times New Roman" w:eastAsia="Times New Roman" w:hAnsi="Times New Roman" w:cs="Times New Roman"/>
                <w:b/>
                <w:bCs/>
                <w:sz w:val="24"/>
                <w:szCs w:val="24"/>
              </w:rPr>
              <w:lastRenderedPageBreak/>
              <w:t>002/111/3605 din 07.07.2026</w:t>
            </w:r>
          </w:p>
        </w:tc>
        <w:tc>
          <w:tcPr>
            <w:tcW w:w="720" w:type="dxa"/>
            <w:tcBorders>
              <w:top w:val="single" w:sz="4" w:space="0" w:color="000000"/>
              <w:bottom w:val="single" w:sz="4" w:space="0" w:color="000000"/>
            </w:tcBorders>
            <w:shd w:val="clear" w:color="auto" w:fill="FFFFFF"/>
          </w:tcPr>
          <w:p w14:paraId="3D8FC9E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79</w:t>
            </w:r>
          </w:p>
        </w:tc>
        <w:tc>
          <w:tcPr>
            <w:tcW w:w="6075" w:type="dxa"/>
            <w:tcBorders>
              <w:top w:val="single" w:sz="4" w:space="0" w:color="000000"/>
              <w:bottom w:val="single" w:sz="4" w:space="0" w:color="000000"/>
              <w:right w:val="single" w:sz="4" w:space="0" w:color="000000"/>
            </w:tcBorders>
            <w:shd w:val="clear" w:color="auto" w:fill="FFFFFF"/>
          </w:tcPr>
          <w:p w14:paraId="50428FE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referire la scrisoarea Cancelariei de Stat nr. DGPȘG-2242-18-69-1543 din 15 iunie 2026 referitoare la examinarea și avizarea proiectului de lege pentru modificarea unor acte </w:t>
            </w:r>
            <w:r>
              <w:rPr>
                <w:rFonts w:ascii="Times New Roman" w:eastAsia="Times New Roman" w:hAnsi="Times New Roman" w:cs="Times New Roman"/>
                <w:sz w:val="24"/>
                <w:szCs w:val="24"/>
              </w:rPr>
              <w:lastRenderedPageBreak/>
              <w:t>normative (pentru promovarea economiei digitale și a comerțului electronic), număr unic 629/MDED/2026, Banca Națională a Moldovei (în continuare – BNM), prin prisma competențelor si atribuțiilor pe care le deține, comunică următoarele:</w:t>
            </w:r>
          </w:p>
          <w:p w14:paraId="2497154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Referitor la Art. IV, ce aduce modificări Legii nr. 114/2012 cu privire la serviciile de plată și moneda electronică (în continuare - Legea nr. 114/2012), BNM reiterează avizul negativ comunicat anterior și solicită excluderea din proiectul de lege a modificărilor propuse la Legea nr. 114/2012. Adițional argumentelor prezentate în avizul nr. 31-002/57/2072 din 27 aprilie 2026, menționăm următoarele considerente:</w:t>
            </w:r>
          </w:p>
          <w:p w14:paraId="531799B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Cu referire la reglementarea „societăților de plată mici” (pct. 1-8 de la Art. VI):</w:t>
            </w:r>
          </w:p>
          <w:p w14:paraId="4B70A3F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prevederilor art. 32 alin. (1) din Directiva (UE) 2015/2366 privind serviciile de plată în cadrul pieței interne, de modificare a Directivelor 2002/65/CE, 2009/110/CE și 2013/36/UE și a Regulamentului (UE) nr. 1093/2010, și de abrogare a Directivei</w:t>
            </w:r>
          </w:p>
          <w:p w14:paraId="3B4E6A0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2007/64/CE (în continuare - Directiva 2015/2366) „Statele membre pot deroga sau pot permite autorităților lor competente să deroge […] de la aplicarea procedurii și condițiilor prevăzute în secțiunile 1, 2 și 3”.</w:t>
            </w:r>
          </w:p>
          <w:p w14:paraId="4A469D0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context, BNM atrage atenția că Directivele europene conțin inclusiv norme permisive care lasă marjă de discreție statului - dacă relaxează anumite condiții sau dimpotrivă. Prin urmare, transpunerea Directivei 2015/2366 în cadrul normativ național nu a fost realizată într-un mod rigid, ci a ținut cont de contextul Republicii Moldova și anume că societățile de plată mici nu au putut fi reglementate la acea etapă și nu pot fi reglementate nici în prezent, reieșind din rigorile de autorizare și supraveghere care trebuie să se aplice, în egală măsură, tuturor prestatorilor de servicii de plată.</w:t>
            </w:r>
          </w:p>
          <w:p w14:paraId="12040E5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referire la transpunerea parțială a Directivei 2015/2366, atragem atenția că, conform Programului național de aderare a Republicii Moldova la Uniunea Europeană pentru anii </w:t>
            </w:r>
            <w:r>
              <w:rPr>
                <w:rFonts w:ascii="Times New Roman" w:eastAsia="Times New Roman" w:hAnsi="Times New Roman" w:cs="Times New Roman"/>
                <w:sz w:val="24"/>
                <w:szCs w:val="24"/>
              </w:rPr>
              <w:lastRenderedPageBreak/>
              <w:t>2025-2029, aprobat prin Hotărârea Guvernului nr. 306/2025, BNM în comun cu Ministerul Finanțelor sunt responsabile pentru modificarea Legii nr. 114/2012. În acest sens, menționăm că proiectul de Lege pentru modificarea unor acte normative (aspecte privind serviciile de plată și moneda electronică), număr unic: 689/MF/BNM/20261 este supus consultărilor publice.</w:t>
            </w:r>
          </w:p>
          <w:p w14:paraId="40A7A4F5" w14:textId="645059ED"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continuare, cu referire la exemplul oferit de autor în nota de fundamentare –reglementarea societăților de plată mici în Polonia, BNM atrage atenția că legea poloneză</w:t>
            </w:r>
            <w:r w:rsidR="002E1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privind serviciile de plată din 19.08.2011 instituie un plafon maxim de 1,5 milioane de euro.</w:t>
            </w:r>
          </w:p>
          <w:p w14:paraId="7A70140E" w14:textId="7996CE82"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Subsecvent, constatăm că a rămas nemodificată prevederea de la punctul 8 referitoare la</w:t>
            </w:r>
            <w:r w:rsidR="002E116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plafonul valorii totale a operațiunilor de plată executate de societățile de plată mici, stabilit la echivalentul în lei a 3 000 000 EUR, calculat ca medie lunară pe ultimele 12 luni. Totodată, în continuare lipsește o argumentare detaliată a nivelului plafonului propus, cu luarea în considerare a particularităților sistemului financiar al Republicii Moldova.</w:t>
            </w:r>
          </w:p>
          <w:p w14:paraId="38BE611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Potrivit art. 32 alin. (1), lit. a) din Directiva (UE) 2015/2366 „media lunară din cele 12 luni precedente a valorilor totale ale operațiunilor de plată executate de persoana în cauză, inclusiv de orice agent pentru care aceasta își asumă responsabilitatea deplină, nu depășește o limită stabilită de statul membru, dar se ridică, în orice caz, la cel mult 3 milioane EUR.”.</w:t>
            </w:r>
          </w:p>
          <w:p w14:paraId="7AA04B1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din Directiva 2015/2366 rezultă că un stat este în drept (deci nu obligat) să stabilească valoarea totală a operațiunilor de plată în limita plafonului maxim de 3 milioane de euro.</w:t>
            </w:r>
          </w:p>
          <w:p w14:paraId="726E462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Respectiv, dincolo de faptul că BNM nu susține reglementarea societăților de plată mici în lipsa unei analize/studiu în acest sens, nu este justificat dreptul discreționar al autorului pentru a alege pragul maxim prevăzut de Directiva 2015/2366.</w:t>
            </w:r>
          </w:p>
          <w:p w14:paraId="0B85AC5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Prin urmare, argumentul autorului pe marginea obiecțiilor BNM („În timp ce statele membre UE utilizează regimul de derogare pentru a incuba inovația, Moldova a optat pentru un model „</w:t>
            </w:r>
            <w:proofErr w:type="spellStart"/>
            <w:r>
              <w:rPr>
                <w:rFonts w:ascii="Times New Roman" w:eastAsia="Times New Roman" w:hAnsi="Times New Roman" w:cs="Times New Roman"/>
                <w:sz w:val="24"/>
                <w:szCs w:val="24"/>
              </w:rPr>
              <w:t>one-size-fits-all</w:t>
            </w:r>
            <w:proofErr w:type="spellEnd"/>
            <w:r>
              <w:rPr>
                <w:rFonts w:ascii="Times New Roman" w:eastAsia="Times New Roman" w:hAnsi="Times New Roman" w:cs="Times New Roman"/>
                <w:sz w:val="24"/>
                <w:szCs w:val="24"/>
              </w:rPr>
              <w:t xml:space="preserve">” care sugrumă inițiativa locală și inovația tehnologică. Propunerea de a introduce regimul „societăților de plată mici” repară această omisiune, oferind un fundament legal pentru </w:t>
            </w:r>
            <w:proofErr w:type="spellStart"/>
            <w:r>
              <w:rPr>
                <w:rFonts w:ascii="Times New Roman" w:eastAsia="Times New Roman" w:hAnsi="Times New Roman" w:cs="Times New Roman"/>
                <w:sz w:val="24"/>
                <w:szCs w:val="24"/>
              </w:rPr>
              <w:t>sandboxuri</w:t>
            </w:r>
            <w:proofErr w:type="spellEnd"/>
            <w:r>
              <w:rPr>
                <w:rFonts w:ascii="Times New Roman" w:eastAsia="Times New Roman" w:hAnsi="Times New Roman" w:cs="Times New Roman"/>
                <w:sz w:val="24"/>
                <w:szCs w:val="24"/>
              </w:rPr>
              <w:t xml:space="preserve"> reglementate și pentru jucătorii de nișă, oportunități pentru industria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xml:space="preserve"> și pentru Republica Moldova în general: - Echitate competitivă: permite antreprenorilor locali să între pe piață cu costuri de conformare proporționale cu volumul lor de tranzacționare (limitat la un prag stabilit local dar nu mai mult de pragul european de 3 mil. EUR/lună), eliminând concentrarea de piață de facto exercitat de jucătorii mari”), este</w:t>
            </w:r>
          </w:p>
          <w:p w14:paraId="2230862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unul lipsit de fundament, în condițiile în care lipsesc argumentele pertinente pentru care este necesar instituirea unui prag maxim.</w:t>
            </w:r>
          </w:p>
          <w:p w14:paraId="3A97612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Aprecierea autorului proiectului precum că pe piața serviciilor de plată există o concentrare exercitată de jucătorii mari este eronată având în vedere că piața respectivă este diversă, compusă din societăți de plată, societăți emitente de monedă electronică, furnizori de servicii poștale licențiați pentru prestarea serviciilor de plată, cât și băncile licențiate, iar analiza sectorului nebancar (a se vedea rapoartele anuale publicate de BNM privind evoluția infrastructurilor de plăți) relevă viabilitatea acestuia exprimată prin creșterea constantă și intrarea pe piață a unor entități europene (ultimul din 2025) prin parcurgerea tuturor etapelor de licențiere prevăzute de lege.</w:t>
            </w:r>
          </w:p>
          <w:p w14:paraId="5C761C7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aceeași ordine de idei, BNM a luat act de argumentele autorului din sinteza obiecțiilor și propunerilor la Proiectul de lege potrivit cărora „[…] alinierea completă la PSD2 va transforma Moldova într-o jurisdicție predictibilă pentru investițiile în tehnologii financiare, pregătind terenul pentru integrarea în spațiul unic de plăți (SEPA) nu doar în calitate de consumatori, dar și ca furnizor de soluții tehnologice noi. Menținerea barierelor actuale, sub pretextul „specificului </w:t>
            </w:r>
            <w:r>
              <w:rPr>
                <w:rFonts w:ascii="Times New Roman" w:eastAsia="Times New Roman" w:hAnsi="Times New Roman" w:cs="Times New Roman"/>
                <w:sz w:val="24"/>
                <w:szCs w:val="24"/>
              </w:rPr>
              <w:lastRenderedPageBreak/>
              <w:t xml:space="preserve">național/istoria miliardului” sau ”necesitatea unei analize foarte profunde”, nu este o măsură prudențială, ci un act de auto-izolare economică. Adoptarea acestor amendamente va transforma legislația dintr-un instrument de blocaj într-un motor de dezvoltare pentru o nouă clasă de antreprenori digitali în domeniul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 fără erodare</w:t>
            </w:r>
          </w:p>
          <w:p w14:paraId="3A2E9CC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pozițiilor băncilor sistemice care aplică deja instrumente de inovație digitală.”</w:t>
            </w:r>
          </w:p>
          <w:p w14:paraId="29425EA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BNM consideră că argumentul de mai sus nu poate reprezenta o justificare pentru excluderea unor condiții esențiale pe care trebuie să le întrunească un prestator de servicii de plată.</w:t>
            </w:r>
          </w:p>
          <w:p w14:paraId="72371CD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considerăm declarativ argumentul autorului potrivit căruia lipsa societăților de plată mici constituie un act de auto-izolare economică, în condițiile în care condițiile de licențiere prevăzute de Legea nr. 114/2012 sunt conforme cu cadrul normativ european.</w:t>
            </w:r>
          </w:p>
          <w:p w14:paraId="475B3A7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nu este clară abordarea autorului privind pretinsa auto-izolare economică și care, de fapt, sunt acele impedimente care limitează potențialii solicitanți să activeze în domeniul serviciilor de plată?</w:t>
            </w:r>
          </w:p>
          <w:p w14:paraId="11DE4AD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 mult, având în vedere referința la “pregătirea terenului” pentru integrarea în spațiul unic de plăți (SEPA), atragem atenția că Republica Moldova este operațională în SEPA din 06 octombrie 2025.</w:t>
            </w:r>
          </w:p>
          <w:p w14:paraId="17E9AD4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facilitarea intrării pe piața serviciilor de plată a start-</w:t>
            </w:r>
            <w:proofErr w:type="spellStart"/>
            <w:r>
              <w:rPr>
                <w:rFonts w:ascii="Times New Roman" w:eastAsia="Times New Roman" w:hAnsi="Times New Roman" w:cs="Times New Roman"/>
                <w:sz w:val="24"/>
                <w:szCs w:val="24"/>
              </w:rPr>
              <w:t>upurilor</w:t>
            </w:r>
            <w:proofErr w:type="spellEnd"/>
            <w:r>
              <w:rPr>
                <w:rFonts w:ascii="Times New Roman" w:eastAsia="Times New Roman" w:hAnsi="Times New Roman" w:cs="Times New Roman"/>
                <w:sz w:val="24"/>
                <w:szCs w:val="24"/>
              </w:rPr>
              <w:t xml:space="preserve"> și </w:t>
            </w:r>
            <w:proofErr w:type="spellStart"/>
            <w:r>
              <w:rPr>
                <w:rFonts w:ascii="Times New Roman" w:eastAsia="Times New Roman" w:hAnsi="Times New Roman" w:cs="Times New Roman"/>
                <w:sz w:val="24"/>
                <w:szCs w:val="24"/>
              </w:rPr>
              <w:t>fintech</w:t>
            </w:r>
            <w:proofErr w:type="spellEnd"/>
            <w:r>
              <w:rPr>
                <w:rFonts w:ascii="Times New Roman" w:eastAsia="Times New Roman" w:hAnsi="Times New Roman" w:cs="Times New Roman"/>
                <w:sz w:val="24"/>
                <w:szCs w:val="24"/>
              </w:rPr>
              <w:t>-urilor cu volum redus de operațiuni, nu justifică exceptarea de la respectarea unor cerințe esențiale pentru protecția utilizatorilor serviciilor de plată, prevenirea spălării banilor, prevenirea eludării măsurilor restrictive internaționale.</w:t>
            </w:r>
          </w:p>
          <w:p w14:paraId="7AA9B689" w14:textId="77777777" w:rsidR="00B9643D" w:rsidRDefault="00B9643D"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BCCB0F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Amendament transferat după competență _ </w:t>
            </w:r>
          </w:p>
          <w:p w14:paraId="56AEA044" w14:textId="77777777" w:rsidR="00B9643D" w:rsidRDefault="00B9643D" w:rsidP="002E1162">
            <w:pPr>
              <w:jc w:val="both"/>
              <w:rPr>
                <w:rFonts w:ascii="Times New Roman" w:eastAsia="Times New Roman" w:hAnsi="Times New Roman" w:cs="Times New Roman"/>
                <w:sz w:val="24"/>
                <w:szCs w:val="24"/>
              </w:rPr>
            </w:pPr>
          </w:p>
          <w:p w14:paraId="0447400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se vedea argumentarea la pct. 8.</w:t>
            </w:r>
          </w:p>
          <w:p w14:paraId="3C70E30D" w14:textId="77777777" w:rsidR="00B9643D" w:rsidRDefault="00B9643D" w:rsidP="002E1162">
            <w:pPr>
              <w:jc w:val="both"/>
              <w:rPr>
                <w:rFonts w:ascii="Times New Roman" w:eastAsia="Times New Roman" w:hAnsi="Times New Roman" w:cs="Times New Roman"/>
                <w:sz w:val="24"/>
                <w:szCs w:val="24"/>
                <w:highlight w:val="yellow"/>
              </w:rPr>
            </w:pPr>
          </w:p>
        </w:tc>
      </w:tr>
      <w:tr w:rsidR="00B9643D" w14:paraId="725510ED" w14:textId="77777777" w:rsidTr="00CA3607">
        <w:tc>
          <w:tcPr>
            <w:tcW w:w="420" w:type="dxa"/>
            <w:shd w:val="clear" w:color="auto" w:fill="FFFFFF"/>
          </w:tcPr>
          <w:p w14:paraId="4BEC928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DBD6A14"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69B6DD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80</w:t>
            </w:r>
          </w:p>
        </w:tc>
        <w:tc>
          <w:tcPr>
            <w:tcW w:w="6075" w:type="dxa"/>
            <w:tcBorders>
              <w:top w:val="single" w:sz="4" w:space="0" w:color="000000"/>
              <w:bottom w:val="single" w:sz="4" w:space="0" w:color="000000"/>
              <w:right w:val="single" w:sz="4" w:space="0" w:color="000000"/>
            </w:tcBorders>
            <w:shd w:val="clear" w:color="auto" w:fill="FFFFFF"/>
          </w:tcPr>
          <w:p w14:paraId="43D18C2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Cu referire la modificarea art. 59 din Legea nr. 114/2012 (pct. 9 de la Art. VI), BNM reiterează obiecțiile formulate prin scrisoarea nr. 31-002/57/2072 din 27 aprilie 2026 și consideră că redacția propusă de autor la pct. 9 contravine Directivei 2015/2366 și nu poate fi aplicată în practică în virtutea următoarelor argumente:</w:t>
            </w:r>
          </w:p>
          <w:p w14:paraId="58FA6CB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Art. 76 din Directiva 2015/2366, care a fost transpus prin art. 59 din Legea nr. 114/2012, prevede cert condițiile în care operează rambursarea. Totodată, în contextul transpunerii respectivei directive în cadrul normativ național, norma propusă de autor prin proiectul de lege ar fi una contrară cadrului normativ european.</w:t>
            </w:r>
          </w:p>
          <w:p w14:paraId="1A2A6DD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Prestatorul de servicii de plată nu are competență legală de a evalua dacă bunurile/serviciile procurate de plătitor au fost livrate/prestate în mod corespunzător. Or, legea prevede autorități abilitate cu funcție de protecție a consumatorilor - Inspectoratul de Stat pentru Supravegherea Produselor Nealimentare și Protecția Consumatorilor, precum și alte autorități prevăzute la art. 36 din Legea nr. 105/2003 privind protecția consumatorilor. În cazul unor plătitori non-consumatori, diferendul privind corespunderea produsului livrat/serviciului prestat ar urma să fie deferit instanței de judecată.</w:t>
            </w:r>
          </w:p>
          <w:p w14:paraId="68C3DEFD" w14:textId="77777777" w:rsidR="00B9643D" w:rsidRDefault="00B9643D" w:rsidP="002E1162">
            <w:pPr>
              <w:ind w:firstLine="378"/>
              <w:jc w:val="both"/>
              <w:rPr>
                <w:rFonts w:ascii="Times New Roman" w:eastAsia="Times New Roman" w:hAnsi="Times New Roman" w:cs="Times New Roman"/>
                <w:sz w:val="24"/>
                <w:szCs w:val="24"/>
              </w:rPr>
            </w:pPr>
          </w:p>
          <w:p w14:paraId="3D4E779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BNM a luat act de explicația autorului din sinteza obiecțiilor și propunerilor la proiectul de lege și anume că „Norma propusă nu conferă prestatorului de servicii de plată o competență de evaluare a fondului raportului comercial, ci îi impune exclusiv o verificare formală și documentară - respectiv dacă din actele prezentate (confirmări de livrare, procese verbale de recepție, facturi etc.) rezultă în mod neechivoc că prestarea a avut loc. Această verificare este de natură strict probatorie, și nu implică o apreciere asupra calității sau conformității bunurilor. Prestatorul nu stabilește dacă marfa este conformă, ci doar dacă există dovezi documentare ale livrării.”</w:t>
            </w:r>
          </w:p>
          <w:p w14:paraId="064F848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Totuși, BNM observă că redacția normei din proiectul de lege a rămas neschimbată și prevede, în continuare, obligația în sarcina prestatorului de servicii de plată a evaluării informațiilor și documentelor furnizate de plătitor și, după caz, de beneficiarul plății și a stabilirii dacă bunurile/serviciile au fost livrate/prestate în mod corespunzător.</w:t>
            </w:r>
          </w:p>
          <w:p w14:paraId="339ADA6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Prin urmare, BNM reiterează că un prestator de servicii de plată nu poate substitui autoritatea competentă/instanța de judecată în examinarea și constatarea faptului dacă produsul/serviciul a fost livrat/prestat în mod corespunzător.</w:t>
            </w:r>
          </w:p>
          <w:p w14:paraId="56B941DC" w14:textId="77777777" w:rsidR="00B9643D" w:rsidRDefault="00B9643D"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C2087B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27033573" w14:textId="77777777" w:rsidR="00B9643D" w:rsidRDefault="00B9643D" w:rsidP="002E1162">
            <w:pPr>
              <w:jc w:val="both"/>
              <w:rPr>
                <w:rFonts w:ascii="Times New Roman" w:eastAsia="Times New Roman" w:hAnsi="Times New Roman" w:cs="Times New Roman"/>
                <w:sz w:val="24"/>
                <w:szCs w:val="24"/>
              </w:rPr>
            </w:pPr>
          </w:p>
          <w:p w14:paraId="4126389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8.</w:t>
            </w:r>
          </w:p>
        </w:tc>
      </w:tr>
      <w:tr w:rsidR="00B9643D" w14:paraId="2B99F732" w14:textId="77777777" w:rsidTr="00CA3607">
        <w:tc>
          <w:tcPr>
            <w:tcW w:w="420" w:type="dxa"/>
            <w:shd w:val="clear" w:color="auto" w:fill="FFFFFF"/>
          </w:tcPr>
          <w:p w14:paraId="447756C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148BB61"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E493CB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81</w:t>
            </w:r>
          </w:p>
        </w:tc>
        <w:tc>
          <w:tcPr>
            <w:tcW w:w="6075" w:type="dxa"/>
            <w:tcBorders>
              <w:top w:val="single" w:sz="4" w:space="0" w:color="000000"/>
              <w:bottom w:val="single" w:sz="4" w:space="0" w:color="000000"/>
              <w:right w:val="single" w:sz="4" w:space="0" w:color="000000"/>
            </w:tcBorders>
            <w:shd w:val="clear" w:color="auto" w:fill="FFFFFF"/>
          </w:tcPr>
          <w:p w14:paraId="6AAB5FC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VI, care modifică Legea nr. 308/2017 cu privire la prevenirea și combaterea spălării banilor și finanțării terorismului (în continuare – Legea 308/2017), comunicăm următoarele obiecții:</w:t>
            </w:r>
          </w:p>
          <w:p w14:paraId="4B86DFB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Cu referire la pct. 1, privind completarea Legii cu noțiunea de „entitate raportoare de dimensiuni mici”, autorul menționează în Nota de fundamentare (pag.42) că proiectul urmează a fi perfecționat punctual în cadrul procesului de consultare publică, cu participarea directă a autorității de reglementare și a părților interesate. În acest context, se consideră necesară prezentarea unor clarificări suplimentare din partea autorului cu privire la obiectivele urmărite prin instituirea obligației BNM de a reglementa, prin hotărâre, aspecte ce vizează gradul de complexitate al activității entității, limitele gamei de produse și servicii, precum și alte criterii relevante pentru calificarea acesteia drept entitate raportoare de dimensiuni mici. Totodată, se apreciază oportună corelarea acestor criterii și obiective cu concluziile și metodologia Evaluării Naționale a Riscurilor în domeniul prevenirii și combaterii spălării banilor și finanțării terorismului, cu prevederile Legii nr. 179/2016 cu privire la întreprinderile mici și mijlocii, precum și cu cadrul normativ sectorial aplicabil categoriilor de entități vizate, precum Legea nr. 114/2012 cu privire la serviciile de plată și moneda electronică, Legea nr. 1/2018 cu privire la organizațiile de creditare nebancară și Legea nr. 62/2008 privind reglementarea valutară. O asemenea abordare ar contribui la asigurarea coerenței cadrului normativ, la aplicarea uniformă a principiului bazat pe risc și la excluderea instituirii unor criterii care ar putea genera interpretări divergente sau necorelate cu reglementările sectoriale în vigoare.</w:t>
            </w:r>
          </w:p>
          <w:p w14:paraId="10422C3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De asemenea, cu referire la pct. 1, reiterăm poziția exprimată aferent includerii entităților încadrate în categoria de risc moderat în sfera potențială a unui regim simplificat ca fiind o intenție disproporționată și contrară standardelor internaționale AML/CFT, cu argumentele prezentate anterior prin scrisoarea nr. 31-002/57/2072 din 27 aprilie 2026.</w:t>
            </w:r>
          </w:p>
          <w:p w14:paraId="55A698D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Cu referire la pct. 2, 5 și 6, se constată că ajustările operate de autor asupra textului, precum și argumentele prezentate întru susținerea acestora, sunt fundamentate pe necesitatea operaționalizării principiului proporționalității în raport cu anumite categorii de entități raportoare de dimensiuni mici, inclusiv prin conferirea către Serviciul Prevenirea și Combaterea Spălării Banilor a competenței de a elabora și aproba acte normative secundare care să detalieze modalitatea de aplicare a acestui principiu. În aceste condiții, se apreciază oportună luarea în considerare a poziției exprimate de SPCSB asupra aspectelor respective, în vederea asigurării unei reglementări coerente, conforme obiectivelor urmărite prin cadrul normativ național AML/CFT.</w:t>
            </w:r>
          </w:p>
          <w:p w14:paraId="7343252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reiterăm că, cadrul normativ național deja consacră principiul proporționalității și aplicarea abordării bazate pe risc. Astfel, potrivit art. 13 alin. (2) și alin. (3) lit. a) din Legea nr. 308/2017, politicile, controalele interne și procedurile entităților raportoare sunt stabilite în funcție de riscurile identificate și sunt proporționale cu natura și dimensiunea entității, precum și cu nivelul riscurilor de spălare a banilor și finanțare a terorismului.</w:t>
            </w:r>
          </w:p>
          <w:p w14:paraId="71F6602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abordare este în deplină concordanță cu art. 8 alin. (1) și (2) din Directiva (UE) 2015/849, care impune entităților obligate să identifice, să evalueze și să gestioneze riscurile și să instituie politici și controale interne proporționale cu natura și dimensiunea activității, precum și cu Recomandarea FATF 1, care consacră aplicarea abordării bazate pe risc (</w:t>
            </w:r>
            <w:proofErr w:type="spellStart"/>
            <w:r>
              <w:rPr>
                <w:rFonts w:ascii="Times New Roman" w:eastAsia="Times New Roman" w:hAnsi="Times New Roman" w:cs="Times New Roman"/>
                <w:sz w:val="24"/>
                <w:szCs w:val="24"/>
              </w:rPr>
              <w:t>risk-based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approach</w:t>
            </w:r>
            <w:proofErr w:type="spellEnd"/>
            <w:r>
              <w:rPr>
                <w:rFonts w:ascii="Times New Roman" w:eastAsia="Times New Roman" w:hAnsi="Times New Roman" w:cs="Times New Roman"/>
                <w:sz w:val="24"/>
                <w:szCs w:val="24"/>
              </w:rPr>
              <w:t>).</w:t>
            </w:r>
          </w:p>
          <w:p w14:paraId="13D491F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 mult, atât cadrul național, cât și standardele internaționale tratează evaluarea riscurilor ca fiind fundamentul întregului sistem AML/CFT, nefiind </w:t>
            </w:r>
            <w:r>
              <w:rPr>
                <w:rFonts w:ascii="Times New Roman" w:eastAsia="Times New Roman" w:hAnsi="Times New Roman" w:cs="Times New Roman"/>
                <w:sz w:val="24"/>
                <w:szCs w:val="24"/>
              </w:rPr>
              <w:lastRenderedPageBreak/>
              <w:t>susceptibilă de simplificare în sensul diminuării rigurozității sau plenitudinii acesteia.</w:t>
            </w:r>
          </w:p>
          <w:p w14:paraId="5CF06EB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art. 6 din Legea nr. 308/2017, evaluarea riscurilor constituie baza pentru aplicarea măsurilor proporționale de prevenire și combatere a spălării banilor și finanțării terorismului, iar alin. (7) al aceluiași articol stabilește obligația entităților raportoare de a putea demonstra autorităților competente că măsurile aplicate sunt adecvate riscurilor identificate.</w:t>
            </w:r>
          </w:p>
          <w:p w14:paraId="0ED384D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introducerea unor „cerințe simplificate” în materia evaluării riscurilor riscă să fie interpretată ca o diminuare a standardelor aplicabile, ceea ce ar contraveni acestor dispoziții.</w:t>
            </w:r>
          </w:p>
          <w:p w14:paraId="458A733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Trebuie de precizat că deși legea permite aplicarea unor măsuri simplificate de cunoaștere a clientelei în situații de risc scăzut (art. 7 din Legea nr. 308/2017), această flexibilitate nu se extinde asupra obligațiilor structurale esențiale, precum evaluarea riscurilor sau organizarea internă în sensul reducerii standardelor minime.</w:t>
            </w:r>
          </w:p>
          <w:p w14:paraId="639B442E"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693750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71FD38A0" w14:textId="77777777" w:rsidR="00B9643D" w:rsidRDefault="00B9643D" w:rsidP="002E1162">
            <w:pPr>
              <w:jc w:val="both"/>
              <w:rPr>
                <w:rFonts w:ascii="Times New Roman" w:eastAsia="Times New Roman" w:hAnsi="Times New Roman" w:cs="Times New Roman"/>
                <w:sz w:val="24"/>
                <w:szCs w:val="24"/>
              </w:rPr>
            </w:pPr>
          </w:p>
          <w:p w14:paraId="1A723CF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4B1BA015" w14:textId="77777777" w:rsidTr="00CA3607">
        <w:tc>
          <w:tcPr>
            <w:tcW w:w="420" w:type="dxa"/>
            <w:shd w:val="clear" w:color="auto" w:fill="FFFFFF"/>
          </w:tcPr>
          <w:p w14:paraId="4CAD11B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68E013C"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0D22D8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82</w:t>
            </w:r>
          </w:p>
        </w:tc>
        <w:tc>
          <w:tcPr>
            <w:tcW w:w="6075" w:type="dxa"/>
            <w:tcBorders>
              <w:top w:val="single" w:sz="4" w:space="0" w:color="000000"/>
              <w:bottom w:val="single" w:sz="4" w:space="0" w:color="000000"/>
              <w:right w:val="single" w:sz="4" w:space="0" w:color="000000"/>
            </w:tcBorders>
            <w:shd w:val="clear" w:color="auto" w:fill="FFFFFF"/>
          </w:tcPr>
          <w:p w14:paraId="0A290F2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Cu referire la pct. 4 , solicităm excluderea frazei: „În caz de risc sporit sau de suspiciune de spălare a banilor ori finanțare a terorismului, entitatea raportoare poate decide, în temeiul evaluării de risc, suspendarea relației de afaceri sau refuzul de a efectua tranzacții până la clarificarea situației.” Propunerea de reglementare nu poate fi susținută, întrucât instituie o marjă discreționară de apreciere a entităților raportoare într-un domeniu în care cadrul normativ primar stabilește deja obligații imperative și mecanisme procedurale clare. Astfel, potrivit art. 5 alin. (31) din Legea nr. 308/2017, în situația în care există suspiciuni de spălare a banilor sau finanțare a terorismului, entitățile raportoare nu finalizează măsurile standard de precauție privind clientul atunci când apreciază în mod rezonabil că acest fapt ar putea conduce la încălcarea obligației de nedivulgare și transmit Serviciului formularul special privind raportarea activității sau tranzacției suspecte, în conformitate cu art. 11 din Lege.</w:t>
            </w:r>
          </w:p>
          <w:p w14:paraId="6437EC3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Prin urmare, în cazul existenței unei suspiciuni de spălare a banilor sau finanțare a terorismului, conduita entității raportoare nu este una facultativă și nu poate fi lăsată la discreția acesteia în temeiul propriei evaluări a riscurilor, ci trebuie să se conformeze </w:t>
            </w:r>
            <w:proofErr w:type="spellStart"/>
            <w:r>
              <w:rPr>
                <w:rFonts w:ascii="Times New Roman" w:eastAsia="Times New Roman" w:hAnsi="Times New Roman" w:cs="Times New Roman"/>
                <w:sz w:val="24"/>
                <w:szCs w:val="24"/>
              </w:rPr>
              <w:t>nobligațiilor</w:t>
            </w:r>
            <w:proofErr w:type="spellEnd"/>
            <w:r>
              <w:rPr>
                <w:rFonts w:ascii="Times New Roman" w:eastAsia="Times New Roman" w:hAnsi="Times New Roman" w:cs="Times New Roman"/>
                <w:sz w:val="24"/>
                <w:szCs w:val="24"/>
              </w:rPr>
              <w:t xml:space="preserve"> expres prevăzute de lege. Introducerea unei formulări potrivit căreia entitatea </w:t>
            </w:r>
            <w:proofErr w:type="spellStart"/>
            <w:r>
              <w:rPr>
                <w:rFonts w:ascii="Times New Roman" w:eastAsia="Times New Roman" w:hAnsi="Times New Roman" w:cs="Times New Roman"/>
                <w:sz w:val="24"/>
                <w:szCs w:val="24"/>
              </w:rPr>
              <w:t>n„poate</w:t>
            </w:r>
            <w:proofErr w:type="spellEnd"/>
            <w:r>
              <w:rPr>
                <w:rFonts w:ascii="Times New Roman" w:eastAsia="Times New Roman" w:hAnsi="Times New Roman" w:cs="Times New Roman"/>
                <w:sz w:val="24"/>
                <w:szCs w:val="24"/>
              </w:rPr>
              <w:t xml:space="preserve"> decide” suspendarea relației de afaceri sau refuzul efectuării tranzacțiilor riscă să genereze incertitudine juridică, practici neuniforme și interpretări divergente cu privire la conduita ce urmează a fi adoptată în prezența unor suspiciuni de spălare a banilor sau finanțare a terorismului.</w:t>
            </w:r>
          </w:p>
          <w:p w14:paraId="401D603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formularea propusă nu este aliniată standardelor internaționale relevante. Potrivit Notei Interpretative la Recomandarea FATF 10, în situațiile în care o instituție </w:t>
            </w:r>
            <w:proofErr w:type="spellStart"/>
            <w:r>
              <w:rPr>
                <w:rFonts w:ascii="Times New Roman" w:eastAsia="Times New Roman" w:hAnsi="Times New Roman" w:cs="Times New Roman"/>
                <w:sz w:val="24"/>
                <w:szCs w:val="24"/>
              </w:rPr>
              <w:t>nfinanciară</w:t>
            </w:r>
            <w:proofErr w:type="spellEnd"/>
            <w:r>
              <w:rPr>
                <w:rFonts w:ascii="Times New Roman" w:eastAsia="Times New Roman" w:hAnsi="Times New Roman" w:cs="Times New Roman"/>
                <w:sz w:val="24"/>
                <w:szCs w:val="24"/>
              </w:rPr>
              <w:t xml:space="preserve"> suspectează că o tranzacție este legată de spălarea banilor sau finanțarea terorismului, aceasta trebuie să depună un raport privind tranzacția suspectă către </w:t>
            </w:r>
            <w:proofErr w:type="spellStart"/>
            <w:r>
              <w:rPr>
                <w:rFonts w:ascii="Times New Roman" w:eastAsia="Times New Roman" w:hAnsi="Times New Roman" w:cs="Times New Roman"/>
                <w:sz w:val="24"/>
                <w:szCs w:val="24"/>
              </w:rPr>
              <w:t>nunitatea</w:t>
            </w:r>
            <w:proofErr w:type="spellEnd"/>
            <w:r>
              <w:rPr>
                <w:rFonts w:ascii="Times New Roman" w:eastAsia="Times New Roman" w:hAnsi="Times New Roman" w:cs="Times New Roman"/>
                <w:sz w:val="24"/>
                <w:szCs w:val="24"/>
              </w:rPr>
              <w:t xml:space="preserve"> de informații financiare și să evite orice acțiune care ar putea conduce la divulgarea existenței suspiciunii („</w:t>
            </w:r>
            <w:proofErr w:type="spellStart"/>
            <w:r>
              <w:rPr>
                <w:rFonts w:ascii="Times New Roman" w:eastAsia="Times New Roman" w:hAnsi="Times New Roman" w:cs="Times New Roman"/>
                <w:sz w:val="24"/>
                <w:szCs w:val="24"/>
              </w:rPr>
              <w:t>tipping</w:t>
            </w:r>
            <w:proofErr w:type="spellEnd"/>
            <w:r>
              <w:rPr>
                <w:rFonts w:ascii="Times New Roman" w:eastAsia="Times New Roman" w:hAnsi="Times New Roman" w:cs="Times New Roman"/>
                <w:sz w:val="24"/>
                <w:szCs w:val="24"/>
              </w:rPr>
              <w:t xml:space="preserve">-off”). În cazul în care instituția apreciază în mod rezonabil că aplicarea măsurilor de cunoaștere a clientelei ar putea alerta clientul, aceasta poate să nu continue procesul de </w:t>
            </w:r>
            <w:proofErr w:type="spellStart"/>
            <w:r>
              <w:rPr>
                <w:rFonts w:ascii="Times New Roman" w:eastAsia="Times New Roman" w:hAnsi="Times New Roman" w:cs="Times New Roman"/>
                <w:sz w:val="24"/>
                <w:szCs w:val="24"/>
              </w:rPr>
              <w:t>due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diligence</w:t>
            </w:r>
            <w:proofErr w:type="spellEnd"/>
            <w:r>
              <w:rPr>
                <w:rFonts w:ascii="Times New Roman" w:eastAsia="Times New Roman" w:hAnsi="Times New Roman" w:cs="Times New Roman"/>
                <w:sz w:val="24"/>
                <w:szCs w:val="24"/>
              </w:rPr>
              <w:t>, însă are obligația de a transmite raportul de tranzacție suspectă autorității competente. Standardul FATF nu promovează instituirea unor măsuri discreționare de „clarificare a situației” în afara mecanismelor legale de raportare și cooperare cu autoritățile competente.</w:t>
            </w:r>
          </w:p>
          <w:p w14:paraId="506ED785"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74EF0B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 transferat după competență</w:t>
            </w:r>
          </w:p>
          <w:p w14:paraId="3A758FCC" w14:textId="77777777" w:rsidR="00B9643D" w:rsidRDefault="00B9643D" w:rsidP="002E1162">
            <w:pPr>
              <w:jc w:val="both"/>
              <w:rPr>
                <w:rFonts w:ascii="Times New Roman" w:eastAsia="Times New Roman" w:hAnsi="Times New Roman" w:cs="Times New Roman"/>
                <w:sz w:val="24"/>
                <w:szCs w:val="24"/>
              </w:rPr>
            </w:pPr>
          </w:p>
          <w:p w14:paraId="4B1A4D7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1.</w:t>
            </w:r>
          </w:p>
        </w:tc>
      </w:tr>
      <w:tr w:rsidR="00B9643D" w14:paraId="0D692178" w14:textId="77777777" w:rsidTr="00CA3607">
        <w:tc>
          <w:tcPr>
            <w:tcW w:w="420" w:type="dxa"/>
            <w:shd w:val="clear" w:color="auto" w:fill="FFFFFF"/>
          </w:tcPr>
          <w:p w14:paraId="7DD9202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DB2EF1B"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48B932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83</w:t>
            </w:r>
          </w:p>
        </w:tc>
        <w:tc>
          <w:tcPr>
            <w:tcW w:w="6075" w:type="dxa"/>
            <w:tcBorders>
              <w:top w:val="single" w:sz="4" w:space="0" w:color="000000"/>
              <w:bottom w:val="single" w:sz="4" w:space="0" w:color="000000"/>
              <w:right w:val="single" w:sz="4" w:space="0" w:color="000000"/>
            </w:tcBorders>
            <w:shd w:val="clear" w:color="auto" w:fill="FFFFFF"/>
          </w:tcPr>
          <w:p w14:paraId="199A4AA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III. Cu referire la Art. I pct. 2 din proiect, privind modificările aduse Legii nr. 880/1992 privind Fondul Arhivistic al Republicii Moldova, prin completarea cu art. 27¹ alin. (2) lit. c), se recomandă substituirea textului ”în format pe hârtie și/sau electronic” cu textul ”în format electronic, semnat cu semnătură electronică calificată, cu posibilitatea emiterii la necesitate și a unui exemplar pe suport hârtie, semnat olograf.” Totodată, pentru claritatea expunerii se propune reamplasarea în frază a textului ”în arhiva </w:t>
            </w:r>
            <w:r>
              <w:rPr>
                <w:rFonts w:ascii="Times New Roman" w:eastAsia="Times New Roman" w:hAnsi="Times New Roman" w:cs="Times New Roman"/>
                <w:sz w:val="24"/>
                <w:szCs w:val="24"/>
              </w:rPr>
              <w:lastRenderedPageBreak/>
              <w:t>deținătorului”. Astfel, după cuvântul ”păstrarea” se va include textul ”în arhiva deținătorului, a”.</w:t>
            </w:r>
          </w:p>
          <w:p w14:paraId="4F2E43E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reiterăm propunerea înaintată anterior de către BNM privind completarea art. 27¹ alin. (2) lit. b) cu prevederi prin care să fie stabilit suficient de clar care sunt condițiile </w:t>
            </w:r>
            <w:proofErr w:type="spellStart"/>
            <w:r>
              <w:rPr>
                <w:rFonts w:ascii="Times New Roman" w:eastAsia="Times New Roman" w:hAnsi="Times New Roman" w:cs="Times New Roman"/>
                <w:sz w:val="24"/>
                <w:szCs w:val="24"/>
              </w:rPr>
              <w:t>bexacte</w:t>
            </w:r>
            <w:proofErr w:type="spellEnd"/>
            <w:r>
              <w:rPr>
                <w:rFonts w:ascii="Times New Roman" w:eastAsia="Times New Roman" w:hAnsi="Times New Roman" w:cs="Times New Roman"/>
                <w:sz w:val="24"/>
                <w:szCs w:val="24"/>
              </w:rPr>
              <w:t xml:space="preserve"> ce garantează integritatea și autenticitatea păstrării documentelor electronice, inclusiv aspectul de obligativitate a păstrării dosarelor digitizate conform termenilor din nomenclatorul dosarelor.</w:t>
            </w:r>
          </w:p>
          <w:p w14:paraId="2EB6492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reiterăm propunerea înaintată anterior cu privire la acest punct, ce ține de necesitatea unei precizări explicite privind distrugerea actelor digitizate, în special dacă aceasta este permisă înainte de expirarea termenului de păstrare a originalului.</w:t>
            </w:r>
          </w:p>
          <w:p w14:paraId="3CEEE176"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34C33B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Se acceptă</w:t>
            </w:r>
          </w:p>
        </w:tc>
      </w:tr>
      <w:tr w:rsidR="00B9643D" w14:paraId="42A6A825" w14:textId="77777777" w:rsidTr="00CA3607">
        <w:tc>
          <w:tcPr>
            <w:tcW w:w="420" w:type="dxa"/>
            <w:shd w:val="clear" w:color="auto" w:fill="FFFFFF"/>
          </w:tcPr>
          <w:p w14:paraId="1535A33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val="restart"/>
            <w:shd w:val="clear" w:color="auto" w:fill="FFFFFF"/>
          </w:tcPr>
          <w:p w14:paraId="45C3CF7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de Guvernare Electronică</w:t>
            </w:r>
          </w:p>
          <w:p w14:paraId="03FB21E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nr.3007-207 din 30.06.2026</w:t>
            </w:r>
          </w:p>
        </w:tc>
        <w:tc>
          <w:tcPr>
            <w:tcW w:w="720" w:type="dxa"/>
            <w:tcBorders>
              <w:top w:val="single" w:sz="4" w:space="0" w:color="000000"/>
              <w:bottom w:val="single" w:sz="4" w:space="0" w:color="000000"/>
            </w:tcBorders>
            <w:shd w:val="clear" w:color="auto" w:fill="FFFFFF"/>
          </w:tcPr>
          <w:p w14:paraId="5450B00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84</w:t>
            </w:r>
          </w:p>
        </w:tc>
        <w:tc>
          <w:tcPr>
            <w:tcW w:w="6075" w:type="dxa"/>
            <w:tcBorders>
              <w:top w:val="single" w:sz="4" w:space="0" w:color="000000"/>
              <w:bottom w:val="single" w:sz="4" w:space="0" w:color="000000"/>
              <w:right w:val="single" w:sz="4" w:space="0" w:color="000000"/>
            </w:tcBorders>
            <w:shd w:val="clear" w:color="auto" w:fill="FFFFFF"/>
          </w:tcPr>
          <w:p w14:paraId="367DC1D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Instituția publică „Agenția de Guvernare Electronică” (în continuare - AGE) a examinat, în limitele competențelor sale, proiectul de lege pentru modificarea unor acte normative (pentru promovarea economiei digitale și a comerțului electronic) (număr unic 629/MDED/2026), autor – Ministerul Dezvoltării Economice și Digitalizării, prezentat spre avizare, și comunică următoarele. AGE susține obiectivul general al proiectului de promovare a economiei digitale și a comerțului electronic, precum și corelarea acestuia cu prioritățile Strategiei de transformare digitală a Republicii Moldova pentru anii 2023–2030. Totodată, în vederea asigurării coerenței intervențiilor cu cadrul normativ în domeniul informatizării, al interoperabilității și al utilizării sistemelor informaționale partajate, formulăm următoarele obiecții și propuneri:</w:t>
            </w:r>
          </w:p>
          <w:p w14:paraId="1182A2B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În art. I (modificarea Legii nr. 880/1992 privind Fondul Arhivistic al Republicii Moldova): </w:t>
            </w:r>
          </w:p>
          <w:p w14:paraId="5BA8E3C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La noul art. 21¹ alin. (1) se prevede utilizarea de „servicii de arhivă electronică, prestate de prestatori de servicii de încredere calificați, acreditați în conformitate cu legea”, în timp ce coloana „conținutul normei după modificare” din tabelul comparativ utilizează noțiunea de </w:t>
            </w:r>
            <w:r>
              <w:rPr>
                <w:rFonts w:ascii="Times New Roman" w:eastAsia="Times New Roman" w:hAnsi="Times New Roman" w:cs="Times New Roman"/>
                <w:sz w:val="24"/>
                <w:szCs w:val="24"/>
              </w:rPr>
              <w:lastRenderedPageBreak/>
              <w:t>„arhivă electronică securizată”. Menționăm că noțiunea „arhivă electronică securizată” este deja definită la art. 2 din Legea nr. 124/2022 privind identificarea electronică și serviciile de încredere, motiv pentru care se propune ca aceasta să fie utilizată consecvent în întreg textul proiectului, inclusiv la alin. (1), pentru a evita neconcordanțele și interpretările divergente. Totodată, semnalăm că serviciul de încredere de conservare/arhivare electronică pe termen lung face obiectul proiectului de lege privind identificarea electronică și serviciile de încredere (număr unic 395/MDED/SIS/2026), care urmează să substituie Legea nr. 124/2022 și care, potrivit notei de fundamentare, va reglementa serviciul de încredere de arhivare. În aceste condiții, norma propusă la art. 21¹ alin. (1) riscă să trimită la un regim al serviciilor de încredere care nu este încă în vigoare. Propunem corelarea expresă a art. I din proiectul de lege cu Legea nr. 124/2022 (respectiv cu proiectul nr. 395/MDED/SIS/2026), precum și asigurarea sincronizării intrării în vigoare a acestor dispoziții ori instituirea unei norme tranzitorii, astfel încât aplicabilitatea serviciului de arhivă electronică securizată să nu fie condiționată de un cadru normativ neadoptat.</w:t>
            </w:r>
          </w:p>
          <w:p w14:paraId="793723F4"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36B3F9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5473C971" w14:textId="77777777" w:rsidR="00B9643D" w:rsidRDefault="00B9643D" w:rsidP="002E1162">
            <w:pPr>
              <w:jc w:val="both"/>
              <w:rPr>
                <w:rFonts w:ascii="Times New Roman" w:eastAsia="Times New Roman" w:hAnsi="Times New Roman" w:cs="Times New Roman"/>
                <w:b/>
                <w:bCs/>
                <w:sz w:val="24"/>
                <w:szCs w:val="24"/>
              </w:rPr>
            </w:pPr>
          </w:p>
          <w:p w14:paraId="7903CD5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Termenul „arhivă electronică securizată” va fi folosit consecvent, iar art. 21¹ va fi corelat explicit cu Legea nr. 124/2022. </w:t>
            </w:r>
          </w:p>
          <w:p w14:paraId="21EA566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recomandată la proiect (art. 21¹ alin. (1)):</w:t>
            </w:r>
          </w:p>
          <w:p w14:paraId="3601A3BB" w14:textId="77777777" w:rsidR="00B9643D" w:rsidRDefault="00000000" w:rsidP="002E1162">
            <w:pPr>
              <w:ind w:right="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Autoritățile publice și alte persoane juridice pot utiliza servicii de arhivă electronică securizată, prestate de prestatori de servicii de încredere, în condițiile legislației privind identificarea electronică și serviciile de încredere.”</w:t>
            </w:r>
          </w:p>
          <w:p w14:paraId="77F30F80" w14:textId="77777777" w:rsidR="00B9643D" w:rsidRDefault="00B9643D" w:rsidP="002E1162">
            <w:pPr>
              <w:jc w:val="both"/>
              <w:rPr>
                <w:rFonts w:ascii="Times New Roman" w:eastAsia="Times New Roman" w:hAnsi="Times New Roman" w:cs="Times New Roman"/>
                <w:sz w:val="24"/>
                <w:szCs w:val="24"/>
              </w:rPr>
            </w:pPr>
          </w:p>
        </w:tc>
      </w:tr>
      <w:tr w:rsidR="00B9643D" w14:paraId="16425888" w14:textId="77777777" w:rsidTr="00CA3607">
        <w:tc>
          <w:tcPr>
            <w:tcW w:w="420" w:type="dxa"/>
            <w:shd w:val="clear" w:color="auto" w:fill="FFFFFF"/>
          </w:tcPr>
          <w:p w14:paraId="0E8D7D0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6501D9AB"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3085F7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85</w:t>
            </w:r>
          </w:p>
        </w:tc>
        <w:tc>
          <w:tcPr>
            <w:tcW w:w="6075" w:type="dxa"/>
            <w:tcBorders>
              <w:top w:val="single" w:sz="4" w:space="0" w:color="000000"/>
              <w:bottom w:val="single" w:sz="4" w:space="0" w:color="000000"/>
              <w:right w:val="single" w:sz="4" w:space="0" w:color="000000"/>
            </w:tcBorders>
            <w:shd w:val="clear" w:color="auto" w:fill="FFFFFF"/>
          </w:tcPr>
          <w:p w14:paraId="4342689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La noul art. 21¹ alin. (3), proiectul prevede că „Organul de stat pentru supravegherea și administrarea Fondului Arhivistic al Republicii Moldova, în cooperare cu Serviciul Tehnologiei Informației și Securitate Cibernetică și cu alte autorități competente, stabilește prin act normativ subsecvent cerințele de interoperabilitate între arhivele electronice securizate și Sistemul informațional „Arhiva electronică””. Constatăm că norma reglementează cerințele de interoperabilitate fără trimitere la cadrul normativ aplicabil în materie, respectiv Legea nr. 142/2018 cu privire la schimbul de date și interoperabilitate și Hotărârea Guvernului nr. 211/2019 privind platforma de interoperabilitate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și fără a prevedea realizarea schimbului de date prin platforma de interoperabilitate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xml:space="preserve">), deși </w:t>
            </w:r>
            <w:r>
              <w:rPr>
                <w:rFonts w:ascii="Times New Roman" w:eastAsia="Times New Roman" w:hAnsi="Times New Roman" w:cs="Times New Roman"/>
                <w:sz w:val="24"/>
                <w:szCs w:val="24"/>
              </w:rPr>
              <w:lastRenderedPageBreak/>
              <w:t>Conceptul Sistemului informațional „Arhiva electronică”, aprobat prin Hotărârea Guvernului nr. 31/2026, prevede expres integrarea acestui sistem cu platforma de interoperabilitate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și cu celelalte sisteme informaționale partajate. Pentru excluderea acestei deficiențe, considerăm necesară revizuirea art. 21¹ alin. (3) astfel încât cerințele de interoperabilitate să fie stabilite în conformitate cu Legea nr. 142/2018 cu privire la schimbul de date și interoperabilitate și să fie realizate prin intermediul platformei de interoperabilitate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Se propune expunerea alineatului respectiv în următoarea redacție: „(3) În scopul arhivării datelor în format electronic aferente Fondului Arhivistic al Republicii Moldova, Guvernul instituie Sistemul informațional „Arhiva electronică”, care asigură interoperabilitatea și schimbul de date cu alte sisteme informaționale de stat relevante, prin intermediul platformei de interoperabilitate, în conformitate cu cadrul normativ aplicabil și condițiile tehnice standard stabilite.</w:t>
            </w:r>
          </w:p>
          <w:p w14:paraId="65B329F7"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55DE30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1DDAD4B7" w14:textId="77777777" w:rsidR="00B9643D" w:rsidRDefault="00B9643D" w:rsidP="002E1162">
            <w:pPr>
              <w:jc w:val="both"/>
              <w:rPr>
                <w:rFonts w:ascii="Times New Roman" w:eastAsia="Times New Roman" w:hAnsi="Times New Roman" w:cs="Times New Roman"/>
                <w:b/>
                <w:bCs/>
                <w:sz w:val="24"/>
                <w:szCs w:val="24"/>
              </w:rPr>
            </w:pPr>
          </w:p>
          <w:p w14:paraId="6F1F362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recomandată la proiect (în locul alin. (3) actual):</w:t>
            </w:r>
          </w:p>
          <w:p w14:paraId="1B6DC041" w14:textId="77777777" w:rsidR="00B9643D" w:rsidRDefault="00000000" w:rsidP="002E1162">
            <w:pPr>
              <w:ind w:right="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În scopul arhivării datelor în format electronic aferente Fondului Arhivistic al Republicii Moldova, se instituie Sistemul informațional „Arhiva electronică”, care asigură interoperabilitatea și schimbul de date cu alte sisteme informaționale de stat relevante prin intermediul platformei de interoperabilitate, în conformitate cu Legea nr. 142/2018 privind schimbul de date și interoperabilitate, Hotărârea Guvernului nr. </w:t>
            </w:r>
            <w:r>
              <w:rPr>
                <w:rFonts w:ascii="Times New Roman" w:eastAsia="Times New Roman" w:hAnsi="Times New Roman" w:cs="Times New Roman"/>
                <w:sz w:val="24"/>
                <w:szCs w:val="24"/>
              </w:rPr>
              <w:lastRenderedPageBreak/>
              <w:t>211/2019 și condițiile tehnice standard stabilite. Organul de stat pentru supravegherea și administrarea Fondului Arhivistic al Republicii Moldova, în cooperare cu Serviciul Tehnologiei Informației și Securitate Cibernetică și cu alte autorități competente, stabilește prin act normativ subsecvent cerințele tehnice și procedurale specifice de integrare a arhivelor electronice securizate cu Sistemul informațional „Arhiva electronică”.</w:t>
            </w:r>
          </w:p>
          <w:p w14:paraId="5C752CBE" w14:textId="77777777" w:rsidR="00B9643D" w:rsidRDefault="00B9643D" w:rsidP="002E1162">
            <w:pPr>
              <w:jc w:val="both"/>
              <w:rPr>
                <w:rFonts w:ascii="Times New Roman" w:eastAsia="Times New Roman" w:hAnsi="Times New Roman" w:cs="Times New Roman"/>
                <w:b/>
                <w:bCs/>
                <w:sz w:val="24"/>
                <w:szCs w:val="24"/>
              </w:rPr>
            </w:pPr>
          </w:p>
        </w:tc>
      </w:tr>
      <w:tr w:rsidR="00B9643D" w14:paraId="785CB724" w14:textId="77777777" w:rsidTr="00CA3607">
        <w:tc>
          <w:tcPr>
            <w:tcW w:w="420" w:type="dxa"/>
            <w:shd w:val="clear" w:color="auto" w:fill="FFFFFF"/>
          </w:tcPr>
          <w:p w14:paraId="0A4B154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7D7BFD49"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8B0D81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86</w:t>
            </w:r>
          </w:p>
        </w:tc>
        <w:tc>
          <w:tcPr>
            <w:tcW w:w="6075" w:type="dxa"/>
            <w:tcBorders>
              <w:top w:val="single" w:sz="4" w:space="0" w:color="000000"/>
              <w:bottom w:val="single" w:sz="4" w:space="0" w:color="000000"/>
              <w:right w:val="single" w:sz="4" w:space="0" w:color="000000"/>
            </w:tcBorders>
            <w:shd w:val="clear" w:color="auto" w:fill="FFFFFF"/>
          </w:tcPr>
          <w:p w14:paraId="513BF37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La art. III (modificarea art. 9 alin. (7) din Legea nr. 220/2007 privind înregistrarea de stat a persoanelor juridice și a întreprinzătorilor individuali): Proiectul instituie posibilitatea verificării gratuite, „în regim online, pe portalul oficial al Agenției”, a denumirii propuse. În acest context, menționăm că, potrivit pct. 1 și 2 din Hotărârea Guvernului nr. 677/2025 cu privire la consolidarea accesului la serviciile publice electronice în cadrul Portalului guvernamental integrat EVO utilizat la prestarea serviciilor publice electronice și aprobarea măsurilor necesare pentru implementarea modelului unitar de design, accesul la serviciile publice electronice prestate prin intermediul resurselor și sistemelor informaționale de stat a fost consolidat în cadrul Portalului guvernamental integrat EVO, prin intermediul căruia unitățile de drept au acces simplificat la resursele și sistemele informaționale de stat prin intermediul cărora se prestează servicii publice electronice, la informațiile oficiale de interes public și la datele documentate </w:t>
            </w:r>
            <w:r>
              <w:rPr>
                <w:rFonts w:ascii="Times New Roman" w:eastAsia="Times New Roman" w:hAnsi="Times New Roman" w:cs="Times New Roman"/>
                <w:sz w:val="24"/>
                <w:szCs w:val="24"/>
              </w:rPr>
              <w:lastRenderedPageBreak/>
              <w:t xml:space="preserve">despre unitățile de drept. Astfel, sub aspectul relației și interacțiunii dintre stat și mediul de afaceri (G2B), elementul esențial și generator de efecte juridice este punctul unic de contact și interfața utilizată de antreprenori, adică Portalul guvernamental integrat EVO. Mai mult decât atât, această abordare simplificată este pe deplin aliniată la cerințele de calitate și transparență impuse de Regulamentul (UE) 2018/1724 privind portalul digital unic (Single Digital Gateway), care se va aplica direct în viitorul apropiat în raport cu funcționalitățile Portalului EVO. Regulamentul european pune accentul exclusiv pe asigurarea accesului facil al utilizatorilor la procedurile online de depunere a cererilor și a documentelor aferente prestării serviciilor publice printr-un portal unificat. La același subiect, informăm că în momentul actual se află în procedură de expertizare proiectul de lege pentru modificarea Legii nr. 234/2021 cu privire la serviciile publice (număr unic 366/MDED/AGE/2026), care prevede instituirea și funcționarea Portalului guvernamental integrat EVO în calitate de portal web național cu relevanță primară în raport cu portalul digital unic (gateway). Totodată, prin pct. 6 din Hotărârea Guvernului nr. 677/2025, a fost stabilită obligația pentru prestatorii de servicii publice de a utiliza modelul unitar de design (MUD) - („totalitatea regulilor și componentelor reutilizabile (culori, stiluri, șabloane, specificații de accesibilitate), utilizate la dezvoltarea unei experiențe a utilizatorului (UX) și a interfeței grafice (UI) coerente în cadrul resurselor și al sistemelor informaționale (bazate pe aplicații web sau mobile) prin care se prestează servicii publice electronice)”) - la toate etapele de proiectare, dezvoltare și actualizare a resurselor și sistemelor informaționale destinate prestării serviciilor publice electronice. Prin urmare, pentru asigurarea coerenței ecosistemului digital guvernamental, considerăm necesar ca instrumentul de verificare online a denumirii unei unități de drept să fie dezvoltat în conformitate cu Modelul Unitar de Design, aprobat prin Hotărârea Guvernului nr. 677/2025 (obligatoriu pentru resursele și sistemele informaționale noi </w:t>
            </w:r>
            <w:r>
              <w:rPr>
                <w:rFonts w:ascii="Times New Roman" w:eastAsia="Times New Roman" w:hAnsi="Times New Roman" w:cs="Times New Roman"/>
                <w:sz w:val="24"/>
                <w:szCs w:val="24"/>
              </w:rPr>
              <w:lastRenderedPageBreak/>
              <w:t>destinate prestării serviciilor publice electronice), și să fie integrat ori accesibil prin Portalul guvernamental integrat EVO. Totodată, în măsura în care funcționarea instrumentului presupune consumul de date din alte resurse informaționale de stat, acesta urmează a fi realizat prin platforma de interoperabilitate (</w:t>
            </w:r>
            <w:proofErr w:type="spellStart"/>
            <w:r>
              <w:rPr>
                <w:rFonts w:ascii="Times New Roman" w:eastAsia="Times New Roman" w:hAnsi="Times New Roman" w:cs="Times New Roman"/>
                <w:sz w:val="24"/>
                <w:szCs w:val="24"/>
              </w:rPr>
              <w:t>MConnect</w:t>
            </w:r>
            <w:proofErr w:type="spellEnd"/>
            <w:r>
              <w:rPr>
                <w:rFonts w:ascii="Times New Roman" w:eastAsia="Times New Roman" w:hAnsi="Times New Roman" w:cs="Times New Roman"/>
                <w:sz w:val="24"/>
                <w:szCs w:val="24"/>
              </w:rPr>
              <w:t xml:space="preserve">), conform Legii nr. 142/2018, verificarea disponibilității denumirii efectuându-se în baza datelor din Registrul de stat al unităților de drept. În contextul celor menționate, la art. 9 alin. (7) primul enunț se va reformula și se va expune în următoarea redacție: „Anterior depunerii cererii de înregistrare a persoanei juridice, solicitantul are dreptul să verifice gratuit, în regim online, prin intermediul Portalului guvernamental integrat EVO, disponibilitatea și </w:t>
            </w:r>
            <w:proofErr w:type="spellStart"/>
            <w:r>
              <w:rPr>
                <w:rFonts w:ascii="Times New Roman" w:eastAsia="Times New Roman" w:hAnsi="Times New Roman" w:cs="Times New Roman"/>
                <w:sz w:val="24"/>
                <w:szCs w:val="24"/>
              </w:rPr>
              <w:t>distinctivitatea</w:t>
            </w:r>
            <w:proofErr w:type="spellEnd"/>
            <w:r>
              <w:rPr>
                <w:rFonts w:ascii="Times New Roman" w:eastAsia="Times New Roman" w:hAnsi="Times New Roman" w:cs="Times New Roman"/>
                <w:sz w:val="24"/>
                <w:szCs w:val="24"/>
              </w:rPr>
              <w:t xml:space="preserve"> acesteia, în baza datelor din Registrul de stat al unităților de drept, precum și conformitatea lingvistică a denumirii respective.”.</w:t>
            </w:r>
          </w:p>
          <w:p w14:paraId="535E22CC"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D69DA6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40EC89A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recomandată la proiect (art. 9 alin. (7) – primul enunț):</w:t>
            </w:r>
          </w:p>
          <w:p w14:paraId="4D694BD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Înlocuirea formulării actuale cu:</w:t>
            </w:r>
          </w:p>
          <w:p w14:paraId="5B8E78B3" w14:textId="77777777" w:rsidR="00B9643D" w:rsidRDefault="00000000" w:rsidP="002E1162">
            <w:pPr>
              <w:ind w:right="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„Anterior depunerii cererii de înregistrare a persoanei juridice, solicitantul are dreptul să verifice gratuit, în regim online, prin intermediul Portalului guvernamental integrat EVO, disponibilitatea și </w:t>
            </w:r>
            <w:proofErr w:type="spellStart"/>
            <w:r>
              <w:rPr>
                <w:rFonts w:ascii="Times New Roman" w:eastAsia="Times New Roman" w:hAnsi="Times New Roman" w:cs="Times New Roman"/>
                <w:sz w:val="24"/>
                <w:szCs w:val="24"/>
              </w:rPr>
              <w:t>distinctivitatea</w:t>
            </w:r>
            <w:proofErr w:type="spellEnd"/>
            <w:r>
              <w:rPr>
                <w:rFonts w:ascii="Times New Roman" w:eastAsia="Times New Roman" w:hAnsi="Times New Roman" w:cs="Times New Roman"/>
                <w:sz w:val="24"/>
                <w:szCs w:val="24"/>
              </w:rPr>
              <w:t xml:space="preserve"> denumirii propuse, în baza datelor din Registrul de stat al unităților de drept, precum și conformitatea lingvistică a denumirii respective.”</w:t>
            </w:r>
          </w:p>
          <w:p w14:paraId="03B95AD3" w14:textId="77777777" w:rsidR="00B9643D" w:rsidRDefault="00000000" w:rsidP="002E1162">
            <w:pPr>
              <w:ind w:right="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ajustat cu propunerea ASP de mai jos.</w:t>
            </w:r>
          </w:p>
          <w:p w14:paraId="78DE046D" w14:textId="77777777" w:rsidR="00B9643D" w:rsidRDefault="00B9643D" w:rsidP="002E1162">
            <w:pPr>
              <w:jc w:val="both"/>
              <w:rPr>
                <w:rFonts w:ascii="Times New Roman" w:eastAsia="Times New Roman" w:hAnsi="Times New Roman" w:cs="Times New Roman"/>
                <w:b/>
                <w:bCs/>
                <w:sz w:val="24"/>
                <w:szCs w:val="24"/>
              </w:rPr>
            </w:pPr>
          </w:p>
        </w:tc>
      </w:tr>
      <w:tr w:rsidR="00B9643D" w14:paraId="44C83CB1" w14:textId="77777777" w:rsidTr="00CA3607">
        <w:tc>
          <w:tcPr>
            <w:tcW w:w="420" w:type="dxa"/>
            <w:shd w:val="clear" w:color="auto" w:fill="FFFFFF"/>
          </w:tcPr>
          <w:p w14:paraId="17EACF8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262718E0"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4F205C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87</w:t>
            </w:r>
          </w:p>
        </w:tc>
        <w:tc>
          <w:tcPr>
            <w:tcW w:w="6075" w:type="dxa"/>
            <w:tcBorders>
              <w:top w:val="single" w:sz="4" w:space="0" w:color="000000"/>
              <w:bottom w:val="single" w:sz="4" w:space="0" w:color="000000"/>
              <w:right w:val="single" w:sz="4" w:space="0" w:color="000000"/>
            </w:tcBorders>
            <w:shd w:val="clear" w:color="auto" w:fill="FFFFFF"/>
          </w:tcPr>
          <w:p w14:paraId="68BC800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Cu privire la Nota de fundamentare, în compartimentul V consacrat modificării Legii nr. 133/2016, se face trimitere, în mod repetat, la „Legea nr. 91/2014 privind semnătura electronică și documentul electronic” ca act în vigoare. Menționăm că Legea nr. 91/2014 a fost abrogată prin Legea nr. 124/2022 privind identificarea electronică și serviciile de încredere, în vigoare din 10 decembrie 2022. Propunem actualizarea corespunzătoare a referințelor din Nota de fundamentare la Legea nr. 124/2022 (respectiv, după caz, la proiectul nr. 395/MDED/SIS/2026), pentru acuratețea argumentării.</w:t>
            </w:r>
          </w:p>
          <w:p w14:paraId="13D4197B"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AE23F0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 luat act</w:t>
            </w:r>
          </w:p>
          <w:p w14:paraId="6498C3FC" w14:textId="77777777" w:rsidR="00B9643D" w:rsidRDefault="00B9643D" w:rsidP="002E1162">
            <w:pPr>
              <w:jc w:val="both"/>
              <w:rPr>
                <w:rFonts w:ascii="Times New Roman" w:eastAsia="Times New Roman" w:hAnsi="Times New Roman" w:cs="Times New Roman"/>
                <w:sz w:val="24"/>
                <w:szCs w:val="24"/>
              </w:rPr>
            </w:pPr>
          </w:p>
          <w:p w14:paraId="53A38F9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Nota de Fundamentare ajustată</w:t>
            </w:r>
          </w:p>
        </w:tc>
      </w:tr>
      <w:tr w:rsidR="00B9643D" w14:paraId="68E27139" w14:textId="77777777" w:rsidTr="00CA3607">
        <w:tc>
          <w:tcPr>
            <w:tcW w:w="420" w:type="dxa"/>
            <w:shd w:val="clear" w:color="auto" w:fill="FFFFFF"/>
          </w:tcPr>
          <w:p w14:paraId="50CD2BEA"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val="restart"/>
            <w:shd w:val="clear" w:color="auto" w:fill="FFFFFF"/>
          </w:tcPr>
          <w:p w14:paraId="6A1A932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Serviciul Tehnologia Informației și Securitate Cibernetică</w:t>
            </w:r>
          </w:p>
          <w:p w14:paraId="188B8B7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nr.1.4/1231/26 din 01.07.2026</w:t>
            </w:r>
          </w:p>
        </w:tc>
        <w:tc>
          <w:tcPr>
            <w:tcW w:w="720" w:type="dxa"/>
            <w:tcBorders>
              <w:top w:val="single" w:sz="4" w:space="0" w:color="000000"/>
              <w:bottom w:val="single" w:sz="4" w:space="0" w:color="000000"/>
            </w:tcBorders>
            <w:shd w:val="clear" w:color="auto" w:fill="FFFFFF"/>
          </w:tcPr>
          <w:p w14:paraId="3C7247B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88</w:t>
            </w:r>
          </w:p>
        </w:tc>
        <w:tc>
          <w:tcPr>
            <w:tcW w:w="6075" w:type="dxa"/>
            <w:tcBorders>
              <w:top w:val="single" w:sz="4" w:space="0" w:color="000000"/>
              <w:bottom w:val="single" w:sz="4" w:space="0" w:color="000000"/>
              <w:right w:val="single" w:sz="4" w:space="0" w:color="000000"/>
            </w:tcBorders>
            <w:shd w:val="clear" w:color="auto" w:fill="FFFFFF"/>
          </w:tcPr>
          <w:p w14:paraId="07354DF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I.P. „Serviciul Tehnologia Informației și Securitate Cibernetică” a examinat proiectul de lege pentru modificarea unor acte normative (pentru promovarea economiei digitale și a comerțului electronic) (numărul unic 629/MDED/2026), și în limita competențelor comunică următoarele obiecții. </w:t>
            </w:r>
          </w:p>
          <w:p w14:paraId="22FD799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Reieșind din faptul că, potrivit:</w:t>
            </w:r>
          </w:p>
          <w:p w14:paraId="712F574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art. 1 alin. (1) din Legea nr. 124/2022 privind identificarea electronică și serviciile de încredere, aceasta </w:t>
            </w:r>
            <w:r>
              <w:rPr>
                <w:rFonts w:ascii="Times New Roman" w:eastAsia="Times New Roman" w:hAnsi="Times New Roman" w:cs="Times New Roman"/>
                <w:sz w:val="24"/>
                <w:szCs w:val="24"/>
              </w:rPr>
              <w:lastRenderedPageBreak/>
              <w:t xml:space="preserve">lege are drept scop asigurarea funcționării la un nivel adecvat a pieței naționale în domeniul securității mijloacelor de identificare electronică și a serviciilor de încredere, precum și stabilește cadrul normativ de bază pentru utilizarea semnăturilor electronice, sigiliilor electronice, mărcilor temporale electronice, documentelor electronice, serviciilor de distribuție electronică înregistrate și serviciilor de certificare pentru autentificarea paginilor web, totodată; </w:t>
            </w:r>
          </w:p>
          <w:p w14:paraId="4034E19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art. 55 alin. (1) din Legea nr. 100/2017 cu privire la actele normative, potrivit cărui reglementările de </w:t>
            </w:r>
            <w:proofErr w:type="spellStart"/>
            <w:r>
              <w:rPr>
                <w:rFonts w:ascii="Times New Roman" w:eastAsia="Times New Roman" w:hAnsi="Times New Roman" w:cs="Times New Roman"/>
                <w:sz w:val="24"/>
                <w:szCs w:val="24"/>
              </w:rPr>
              <w:t>acelaşi</w:t>
            </w:r>
            <w:proofErr w:type="spellEnd"/>
            <w:r>
              <w:rPr>
                <w:rFonts w:ascii="Times New Roman" w:eastAsia="Times New Roman" w:hAnsi="Times New Roman" w:cs="Times New Roman"/>
                <w:sz w:val="24"/>
                <w:szCs w:val="24"/>
              </w:rPr>
              <w:t xml:space="preserve"> nivel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având </w:t>
            </w:r>
            <w:proofErr w:type="spellStart"/>
            <w:r>
              <w:rPr>
                <w:rFonts w:ascii="Times New Roman" w:eastAsia="Times New Roman" w:hAnsi="Times New Roman" w:cs="Times New Roman"/>
                <w:sz w:val="24"/>
                <w:szCs w:val="24"/>
              </w:rPr>
              <w:t>acelaşi</w:t>
            </w:r>
            <w:proofErr w:type="spellEnd"/>
            <w:r>
              <w:rPr>
                <w:rFonts w:ascii="Times New Roman" w:eastAsia="Times New Roman" w:hAnsi="Times New Roman" w:cs="Times New Roman"/>
                <w:sz w:val="24"/>
                <w:szCs w:val="24"/>
              </w:rPr>
              <w:t xml:space="preserve"> obiect de reglementare se cuprind, de regulă, într-un singur act normativ; </w:t>
            </w:r>
          </w:p>
          <w:p w14:paraId="47BF35B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art. 3 pct. 16 lit. (m) din REGULAMENTUL (UE) NR. 910/2014 AL PARLAMENTULUI EUROPEAN ȘI AL CONSILIULUI din 23 iulie 2014 privind identificarea electronică și serviciile de încredere pentru tranzacțiile electronice pe piața internă și de abrogare a Directivei 1999/93/CE, arhivarea electronică a datelor electronice reprezintă un serviciu de încredere;</w:t>
            </w:r>
          </w:p>
          <w:p w14:paraId="0D7DBCB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luând în considerație că proiectul de lege privind identificarea electronică și serviciile de încredere (număr unic 395/MDED/SIS/2026), care transpune parțial REGULAMENTUL (UE) NR. 910/2014, deja include reglementări și cerințele aferente funcționării documentelor electronice și arhivării electronice, se va exclude din proiect art. I integral. De remarcat, excluderea art. I este argumentată și din perspectiva inoportunității reglementării suplimentare a cerințelor de interoperabilitate (art. 211 alin. (3) din art. I alin. 1 din proiect), or reglementarea raporturilor ce apar în procesul schimbului de date între sistemele informaționale deținute de entitățile publici, în calitate de participanți publici, și sistemele informaționale ale persoanelor juridice de drept privat și ale persoanelor fizice, în calitate de participanți privați este realizată de Legea nr. 142/2018 cu privire la schimbul de date și interoperabilitate. Subsecvent, potrivit art. 3 din Legea nr. 142/2018, autoritate competentă pentru asigurarea schimbului de date și interoperabilității este </w:t>
            </w:r>
            <w:r>
              <w:rPr>
                <w:rFonts w:ascii="Times New Roman" w:eastAsia="Times New Roman" w:hAnsi="Times New Roman" w:cs="Times New Roman"/>
                <w:sz w:val="24"/>
                <w:szCs w:val="24"/>
              </w:rPr>
              <w:lastRenderedPageBreak/>
              <w:t xml:space="preserve">Instituția Publică „Agenția de Guvernare Electronică”, care exercită atribuții în domeniul interoperabilității juridice, organizatorice, semantice și tehnice, prevăzute de lege. </w:t>
            </w:r>
          </w:p>
          <w:p w14:paraId="2BBCF07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aceeași ordine de idei, excluderea art. I are sens și în contextul utilizării și tratării incorecte a „copiilor electronice” (art. 27 </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alin. (3) din art. I alin. 1 din proiect), or potrivit art. 40 alin. (10) din Legea nr. 124/2022, toate exemplarele identice ale documentului electronic sunt considerate originale și produc aceleași efecte juridice, totodată, alin. (12) din același articol, stabilește că copia de pe documentul electronic se consideră reprezentarea (redarea) acestuia pe suport de hârtie, într-o formă perceptibilă.</w:t>
            </w:r>
          </w:p>
          <w:p w14:paraId="0A623CCF"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5C3856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00057769" w14:textId="77777777" w:rsidTr="00CA3607">
        <w:tc>
          <w:tcPr>
            <w:tcW w:w="420" w:type="dxa"/>
            <w:shd w:val="clear" w:color="auto" w:fill="FFFFFF"/>
          </w:tcPr>
          <w:p w14:paraId="521E949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7A381D01"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5BDA4A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89</w:t>
            </w:r>
          </w:p>
        </w:tc>
        <w:tc>
          <w:tcPr>
            <w:tcW w:w="6075" w:type="dxa"/>
            <w:tcBorders>
              <w:top w:val="single" w:sz="4" w:space="0" w:color="000000"/>
              <w:bottom w:val="single" w:sz="4" w:space="0" w:color="000000"/>
              <w:right w:val="single" w:sz="4" w:space="0" w:color="000000"/>
            </w:tcBorders>
            <w:shd w:val="clear" w:color="auto" w:fill="FFFFFF"/>
          </w:tcPr>
          <w:p w14:paraId="72E9F83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V, modificările propuse, se vor expune în următoare redacție: „(2) Declarațiile electronice se semnează cu semnătură electronică calificată emisă de un prestator de servicii de încredere calificat. Subiecții declarării pot utiliza orice semnătură electronică calificată, în condițiile Legii nr. 124/2022 privind identificarea electronică și serviciile de încredere. Acordarea cu titlu gratuit a serviciilor de încredere calificate pentru emiterea semnăturii electronice calificate și dispozitivelor de creare a semnăturii electronice se stabilește de Guvern și nu limitează dreptul de utilizare a altor semnături electronice calificate.”</w:t>
            </w:r>
          </w:p>
          <w:p w14:paraId="6761724D"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06AEE8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414E9DB8" w14:textId="77777777" w:rsidR="00B9643D" w:rsidRDefault="00B9643D" w:rsidP="002E1162">
            <w:pPr>
              <w:jc w:val="both"/>
              <w:rPr>
                <w:rFonts w:ascii="Times New Roman" w:eastAsia="Times New Roman" w:hAnsi="Times New Roman" w:cs="Times New Roman"/>
                <w:b/>
                <w:bCs/>
                <w:sz w:val="24"/>
                <w:szCs w:val="24"/>
              </w:rPr>
            </w:pPr>
          </w:p>
        </w:tc>
      </w:tr>
      <w:tr w:rsidR="00B9643D" w14:paraId="3E695EF6" w14:textId="77777777" w:rsidTr="00CA3607">
        <w:tc>
          <w:tcPr>
            <w:tcW w:w="420" w:type="dxa"/>
            <w:shd w:val="clear" w:color="auto" w:fill="FFFFFF"/>
          </w:tcPr>
          <w:p w14:paraId="6CC2A94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02E4A9C4"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951829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90</w:t>
            </w:r>
          </w:p>
        </w:tc>
        <w:tc>
          <w:tcPr>
            <w:tcW w:w="6075" w:type="dxa"/>
            <w:tcBorders>
              <w:top w:val="single" w:sz="4" w:space="0" w:color="000000"/>
              <w:bottom w:val="single" w:sz="4" w:space="0" w:color="000000"/>
              <w:right w:val="single" w:sz="4" w:space="0" w:color="000000"/>
            </w:tcBorders>
            <w:shd w:val="clear" w:color="auto" w:fill="FFFFFF"/>
          </w:tcPr>
          <w:p w14:paraId="670CCD0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altă ordine de idei, se propune revizuirea textului Condițiilor ce au impus elaborarea proiectului actului normativ din notă de fundamentare, în special cele din Cap. V ce țin de modificarea Legii nr. 133/2016. În primul rând, este eronată interpretarea potrivit căreia ar exista un regim juridic diferențiat care ar favoriza soluțiile furnizate de IP „STISC” sau ar institui o „exclusivitate de facto” a anumitor prestatori. Cadrul normativ național consacră în mod expres principiul neutralității tehnologice și al egalității prestatorilor de servicii de încredere calificați, aceștia funcționând în condiții de autorizare și supraveghere identice, în conformitate cu legislația aplicabilă. Totodată, Legea nr. </w:t>
            </w:r>
            <w:r>
              <w:rPr>
                <w:rFonts w:ascii="Times New Roman" w:eastAsia="Times New Roman" w:hAnsi="Times New Roman" w:cs="Times New Roman"/>
                <w:sz w:val="24"/>
                <w:szCs w:val="24"/>
              </w:rPr>
              <w:lastRenderedPageBreak/>
              <w:t>91/2014 privind semnătura electronică și documentul electronic, invocată în text, a fost abrogată prin Legea nr. 124/2022 privind identificarea electronică și serviciile de încredere, act care redefinește cadrul de reglementare și aliniază terminologia și mecanismele naționale la standardele actuale. Prin urmare, argumentele construite pe dispozițiile Legii nr. 91/2014 necesită revizuire pentru a corespunde cadrului juridic actual. În ceea ce privește funcționarea Serviciului guvernamental de semnătură electronică (</w:t>
            </w:r>
            <w:proofErr w:type="spellStart"/>
            <w:r>
              <w:rPr>
                <w:rFonts w:ascii="Times New Roman" w:eastAsia="Times New Roman" w:hAnsi="Times New Roman" w:cs="Times New Roman"/>
                <w:sz w:val="24"/>
                <w:szCs w:val="24"/>
              </w:rPr>
              <w:t>MSign</w:t>
            </w:r>
            <w:proofErr w:type="spellEnd"/>
            <w:r>
              <w:rPr>
                <w:rFonts w:ascii="Times New Roman" w:eastAsia="Times New Roman" w:hAnsi="Times New Roman" w:cs="Times New Roman"/>
                <w:sz w:val="24"/>
                <w:szCs w:val="24"/>
              </w:rPr>
              <w:t xml:space="preserve">), este important de subliniat că acesta reprezintă o infrastructură tehnică de interoperabilitate și verificare a semnăturilor electronice, cu rol de facilitator al utilizării semnăturilor emise de diferiți prestatori de servicii de încredere, fără a institui vreo preferință juridică sau tehnică pentru un anumit furnizor. </w:t>
            </w:r>
            <w:proofErr w:type="spellStart"/>
            <w:r>
              <w:rPr>
                <w:rFonts w:ascii="Times New Roman" w:eastAsia="Times New Roman" w:hAnsi="Times New Roman" w:cs="Times New Roman"/>
                <w:sz w:val="24"/>
                <w:szCs w:val="24"/>
              </w:rPr>
              <w:t>MSign</w:t>
            </w:r>
            <w:proofErr w:type="spellEnd"/>
            <w:r>
              <w:rPr>
                <w:rFonts w:ascii="Times New Roman" w:eastAsia="Times New Roman" w:hAnsi="Times New Roman" w:cs="Times New Roman"/>
                <w:sz w:val="24"/>
                <w:szCs w:val="24"/>
              </w:rPr>
              <w:t xml:space="preserve"> funcționează ca punct comun de integrare, tocmai pentru a asigura validarea unitară a semnăturilor, indiferent de prestatorul emitent. De asemenea, Serviciul Tehnologia Informației și Securitate Cibernetică nu acționează în calitate de beneficiar privilegiat al unui regim juridic special, ci în calitate de operator al unor componente ale infrastructurii guvernamentale, în baza actelor normative care stabilesc arhitectura instituțională a serviciilor electronice ale statului.</w:t>
            </w:r>
          </w:p>
          <w:p w14:paraId="71217587"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BA6B7E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35E9D623" w14:textId="77777777" w:rsidR="00B9643D" w:rsidRDefault="00B9643D" w:rsidP="002E1162">
            <w:pPr>
              <w:jc w:val="both"/>
              <w:rPr>
                <w:rFonts w:ascii="Times New Roman" w:eastAsia="Times New Roman" w:hAnsi="Times New Roman" w:cs="Times New Roman"/>
                <w:sz w:val="24"/>
                <w:szCs w:val="24"/>
              </w:rPr>
            </w:pPr>
          </w:p>
          <w:p w14:paraId="66C8BF8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Nota de fundamentare modificată.</w:t>
            </w:r>
          </w:p>
        </w:tc>
      </w:tr>
      <w:tr w:rsidR="00B9643D" w14:paraId="735C4CC7" w14:textId="77777777" w:rsidTr="00CA3607">
        <w:tc>
          <w:tcPr>
            <w:tcW w:w="420" w:type="dxa"/>
            <w:shd w:val="clear" w:color="auto" w:fill="FFFFFF"/>
          </w:tcPr>
          <w:p w14:paraId="6B6CDBEE"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A3E2E2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Consiliul Concurenței</w:t>
            </w:r>
          </w:p>
          <w:p w14:paraId="4E7C546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  DJ-06/778-1432 din 15 iulie 2026</w:t>
            </w:r>
          </w:p>
        </w:tc>
        <w:tc>
          <w:tcPr>
            <w:tcW w:w="720" w:type="dxa"/>
            <w:tcBorders>
              <w:top w:val="single" w:sz="4" w:space="0" w:color="000000"/>
              <w:bottom w:val="single" w:sz="4" w:space="0" w:color="000000"/>
            </w:tcBorders>
            <w:shd w:val="clear" w:color="auto" w:fill="FFFFFF"/>
          </w:tcPr>
          <w:p w14:paraId="12BF821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91</w:t>
            </w:r>
          </w:p>
        </w:tc>
        <w:tc>
          <w:tcPr>
            <w:tcW w:w="6075" w:type="dxa"/>
            <w:tcBorders>
              <w:top w:val="single" w:sz="4" w:space="0" w:color="000000"/>
              <w:bottom w:val="single" w:sz="4" w:space="0" w:color="000000"/>
              <w:right w:val="single" w:sz="4" w:space="0" w:color="000000"/>
            </w:tcBorders>
            <w:shd w:val="clear" w:color="auto" w:fill="FFFFFF"/>
          </w:tcPr>
          <w:p w14:paraId="57ED569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Plenul Consiliului Concurenței, în cadrul ședinței din 15 iulie 2026, a examinat, în temeiul prevederilor art. 39 lit. c) și art. 41 alin. (1) lit. d) ale Legii concurenței nr.183/2012, proiectul de lege pentru modificarea unor acte normative (pentru promovarea economiei digitale și a comerțului electronic) (număr unic 629/MDED/2026) și, în limitele competenței sale, comunică următoarele.</w:t>
            </w:r>
          </w:p>
          <w:p w14:paraId="471F89D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de lege are ca obiect facilitățile pentru dezvoltarea cât mai rapidă a economiei digitale în Republica Moldova, inclusiv și sectorul transfrontalier, digitalizarea proceselor administrative etc.</w:t>
            </w:r>
          </w:p>
          <w:p w14:paraId="1FF8C72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Prin noua redacție a art. 103 alin. (1) pct. 13) al Codului fiscal nr. 1163/1997 se propune scutirea de T.V.A., fără drept </w:t>
            </w:r>
            <w:r>
              <w:rPr>
                <w:rFonts w:ascii="Times New Roman" w:eastAsia="Times New Roman" w:hAnsi="Times New Roman" w:cs="Times New Roman"/>
                <w:sz w:val="24"/>
                <w:szCs w:val="24"/>
              </w:rPr>
              <w:lastRenderedPageBreak/>
              <w:t>de deducere, serviciile poștale universale prestate de furnizorul de servicii poștale universale, inclusiv distribuirea pensiilor, subvențiilor, indemnizațiilor.</w:t>
            </w:r>
          </w:p>
          <w:p w14:paraId="25FD74F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este necesar de menționat că servicii de distribuire a pensiilor, subvențiilor și indemnizațiilor, care în prezent sunt scutite de T.V.A., se prestează și de alte entități, în speță, de către băncile comerciale. Redacția propusă ar putea fi interpretată în sens limitat că de scutiri de T.V.A. pentru serviciile de distribuire a</w:t>
            </w:r>
          </w:p>
          <w:p w14:paraId="077D185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pensiilor, subvențiilor și indemnizațiilor ar putea beneficia doar operatorul care prestează serviciul poștal universal.</w:t>
            </w:r>
          </w:p>
          <w:p w14:paraId="651BE865"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Respectiv, pentru a exclude posibilitatea unei astfel de interpretări, se propune divizarea acestei norme în două puncte distincte, astfel încât scutirea de T.V.A. pentru serviciile poștale universale să fie reglementată separat prin pct. 13), iar pct. 131) să prevadă distinct scutirea de T.V.A. pentru servicii de distribuire a pensiilor, subvențiilor și indemnizațiilor.</w:t>
            </w:r>
          </w:p>
          <w:p w14:paraId="7AAF5144"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2CD911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13441512" w14:textId="77777777" w:rsidR="00B9643D" w:rsidRDefault="00B9643D" w:rsidP="002E1162">
            <w:pPr>
              <w:jc w:val="both"/>
              <w:rPr>
                <w:rFonts w:ascii="Times New Roman" w:eastAsia="Times New Roman" w:hAnsi="Times New Roman" w:cs="Times New Roman"/>
                <w:b/>
                <w:bCs/>
                <w:sz w:val="24"/>
                <w:szCs w:val="24"/>
              </w:rPr>
            </w:pPr>
          </w:p>
          <w:p w14:paraId="35E914B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Serviciile de distribuire a pensiilor, subvențiilor și indemnizațiilor prestate de băncile comerciale și de alți prestatori sunt scutite de T.V.A. în temeiul art. 103 alin. (1) punctul 12) litera b) din Codul fiscal.</w:t>
            </w:r>
          </w:p>
          <w:p w14:paraId="49CCFE7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Punctul 13) al articolului 103 alineatul (1) nu a constituit și nu constituie temeiul scutirii aplicabile băncilor comerciale, redacția în vigoare a acestuia vizând serviciile poștale. În consecință, modificarea propusă prin proiect nu modifică regimul fiscal aplicabil </w:t>
            </w:r>
            <w:r>
              <w:rPr>
                <w:rFonts w:ascii="Times New Roman" w:eastAsia="Times New Roman" w:hAnsi="Times New Roman" w:cs="Times New Roman"/>
                <w:sz w:val="24"/>
                <w:szCs w:val="24"/>
              </w:rPr>
              <w:lastRenderedPageBreak/>
              <w:t>celorlalți prestatori și nu generează riscul de interpretare limitativă semnalat.</w:t>
            </w:r>
          </w:p>
          <w:p w14:paraId="584AB501" w14:textId="77777777" w:rsidR="00B9643D" w:rsidRDefault="00B9643D" w:rsidP="002E1162">
            <w:pPr>
              <w:jc w:val="both"/>
              <w:rPr>
                <w:rFonts w:ascii="Times New Roman" w:eastAsia="Times New Roman" w:hAnsi="Times New Roman" w:cs="Times New Roman"/>
                <w:sz w:val="24"/>
                <w:szCs w:val="24"/>
              </w:rPr>
            </w:pPr>
          </w:p>
          <w:p w14:paraId="450ED3C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Autorul susține în continuare, pe fond, propunerile formulate la Art. II din proiect, apreciind că acestea răspund unor necesități reale ale mediului de afaceri din sectorul comerțului electronic: încadrarea persoanelor fizice care desfășoară comerț electronic în regimul de impunere prevăzut la capitolul 10² din Codul fiscal (art. 69⁷ alin. (1)), armonizarea regimului scutirii de TVA pentru serviciile poștale universale cu Directiva 2006/112/CE a Consiliului (art. 103 alin. (1) pct. 13) și eliminarea aplicării taxei pentru unitățile comerciale și/sau de prestări servicii în cazul operatorilor de comerț electronic care nu dispun de suprafață comercială (art. 291 alin. (1) lit. e)). Autorul reține, în acest sens, că Ministerul Finanțelor a comunicat susținerea propunerilor de la pct. 1 și 2, iar Centrul de Armonizare a Legislației nu a identificat probleme de compatibilitate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Uniunii Europene.</w:t>
            </w:r>
          </w:p>
          <w:p w14:paraId="64DF997D" w14:textId="77777777" w:rsidR="00B9643D" w:rsidRDefault="00B9643D" w:rsidP="002E1162">
            <w:pPr>
              <w:jc w:val="both"/>
              <w:rPr>
                <w:rFonts w:ascii="Times New Roman" w:eastAsia="Times New Roman" w:hAnsi="Times New Roman" w:cs="Times New Roman"/>
                <w:sz w:val="24"/>
                <w:szCs w:val="24"/>
              </w:rPr>
            </w:pPr>
          </w:p>
          <w:p w14:paraId="7110379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luând act de observațiile Ministerului Finanțelor, ale Congresului Autorităților Locale din Moldova, ale Primăriei municipiului Chișinău, ale Consiliului Concurenței și ale celorlalte autorități avizatoare, autorul reține că intervențiile asupra Codului fiscal — în special cele cu impact asupra veniturilor bugetelor unităților administrativ-teritoriale și asupra regimului taxelor locale — necesită o evaluare integrată a impactului fiscal-bugetar, consultarea autorităților </w:t>
            </w:r>
            <w:r>
              <w:rPr>
                <w:rFonts w:ascii="Times New Roman" w:eastAsia="Times New Roman" w:hAnsi="Times New Roman" w:cs="Times New Roman"/>
                <w:sz w:val="24"/>
                <w:szCs w:val="24"/>
              </w:rPr>
              <w:lastRenderedPageBreak/>
              <w:t xml:space="preserve">administrației publice locale și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evaluare care se realizează, potrivit practicii consacrate, în cadrul exercițiului anual de modificare a politicii bugetar-fiscale.</w:t>
            </w:r>
          </w:p>
          <w:p w14:paraId="163153E8" w14:textId="77777777" w:rsidR="00B9643D" w:rsidRDefault="00B9643D" w:rsidP="002E1162">
            <w:pPr>
              <w:jc w:val="both"/>
              <w:rPr>
                <w:rFonts w:ascii="Times New Roman" w:eastAsia="Times New Roman" w:hAnsi="Times New Roman" w:cs="Times New Roman"/>
                <w:sz w:val="24"/>
                <w:szCs w:val="24"/>
              </w:rPr>
            </w:pPr>
          </w:p>
          <w:p w14:paraId="7D6C99A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prevederile Art. II se retrag din proiectul de lege nr. 629/MDED/2026 și se transmit Ministerului Finanțelor, urmând a fi promovate pe platforma acestuia, în cadrul exercițiului amplu de modificare a politicii bugetar-fiscale, împreună cu argumentarea aferentă și cu estimările de impact. Autorul își exprimă disponibilitatea de a participa la definitivarea acestora și de a susține propunerile în cadrul consultărilor organizate de Ministerul Finanțelor, cu implicarea Serviciului Fiscal de Stat, a autorităților administrației publice locale și a comunității de afaceri din domeniul comerțului electronic.</w:t>
            </w:r>
          </w:p>
          <w:p w14:paraId="4A4FD2F1" w14:textId="77777777" w:rsidR="00B9643D" w:rsidRDefault="00B9643D" w:rsidP="002E1162">
            <w:pPr>
              <w:jc w:val="both"/>
              <w:rPr>
                <w:rFonts w:ascii="Times New Roman" w:eastAsia="Times New Roman" w:hAnsi="Times New Roman" w:cs="Times New Roman"/>
                <w:b/>
                <w:bCs/>
                <w:sz w:val="24"/>
                <w:szCs w:val="24"/>
              </w:rPr>
            </w:pPr>
          </w:p>
        </w:tc>
      </w:tr>
      <w:tr w:rsidR="00B9643D" w14:paraId="7B6253FA" w14:textId="77777777" w:rsidTr="00CA3607">
        <w:tc>
          <w:tcPr>
            <w:tcW w:w="420" w:type="dxa"/>
            <w:shd w:val="clear" w:color="auto" w:fill="FFFFFF"/>
          </w:tcPr>
          <w:p w14:paraId="36FA575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CF597EC"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4D2011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92</w:t>
            </w:r>
          </w:p>
        </w:tc>
        <w:tc>
          <w:tcPr>
            <w:tcW w:w="6075" w:type="dxa"/>
            <w:tcBorders>
              <w:top w:val="single" w:sz="4" w:space="0" w:color="000000"/>
              <w:bottom w:val="single" w:sz="4" w:space="0" w:color="000000"/>
              <w:right w:val="single" w:sz="4" w:space="0" w:color="000000"/>
            </w:tcBorders>
            <w:shd w:val="clear" w:color="auto" w:fill="FFFFFF"/>
          </w:tcPr>
          <w:p w14:paraId="7781A13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Completarea art. 291 alin. (1) lit. e) al Codului fiscal nr. 1163/1997 propune ca taxa pentru unitățile comerciale și/sau de prestări servicii nu se aplică unităților comerciale de comerț cu amănuntul prin intermediul caselor de comenzi sau prin internet, care desfășoară activitatea de comerț electronic fără a dispune de suprafață comercială.</w:t>
            </w:r>
          </w:p>
          <w:p w14:paraId="431248C4"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Astfel, acordarea scutirilor la plata taxei pentru unitățile de comerț cu amănuntul prin intermediul caselor de comenzi sau prin internet ar putea fi calificată ca ajutor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având în vedere că oferă un avantaj economic și este aplicată în mod selectiv</w:t>
            </w:r>
          </w:p>
          <w:p w14:paraId="2F7E713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furnizorul ajutorului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la acordarea acestei scutiri urmează să asigure respectarea pragului și regulilor de cumulare a ajutorului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prevăzut de Legea nr. 139/2012 cu privire la ajutorul de stat și de Regulamentul privind ajutorul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aprobat prin Hotărârea Plenului Consiliului Concurenței nr. 06 din 05.09.2024.</w:t>
            </w:r>
          </w:p>
          <w:p w14:paraId="20CA98BC"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75235E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p w14:paraId="47EA649D" w14:textId="77777777" w:rsidR="00B9643D" w:rsidRDefault="00B9643D" w:rsidP="002E1162">
            <w:pPr>
              <w:jc w:val="both"/>
              <w:rPr>
                <w:rFonts w:ascii="Times New Roman" w:eastAsia="Times New Roman" w:hAnsi="Times New Roman" w:cs="Times New Roman"/>
                <w:sz w:val="24"/>
                <w:szCs w:val="24"/>
              </w:rPr>
            </w:pPr>
          </w:p>
          <w:p w14:paraId="0622AD6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Observația Consiliului Concurenței privind posibila calificare a delimitării obiectului taxei pentru unitățile comerciale ca ajutor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este luată în considerare. Totuși, din perspectiva Codului fiscal, intervenția de la art. 291 alin. (1) lit. e) nu instituie o scutire, ci precizează că activitățile de comerț electronic fără suprafață comercială nu intră în sfera de aplicare a taxei asupra unităților comerciale, întrucât nu întrunesc elementul definitoriu al bazei impozabile. Delimitarea obiectului impunerii, realizată prin lege, nu </w:t>
            </w:r>
            <w:r>
              <w:rPr>
                <w:rFonts w:ascii="Times New Roman" w:eastAsia="Times New Roman" w:hAnsi="Times New Roman" w:cs="Times New Roman"/>
                <w:sz w:val="24"/>
                <w:szCs w:val="24"/>
              </w:rPr>
              <w:lastRenderedPageBreak/>
              <w:t xml:space="preserve">este, în sine, ajutor de stat, ci o clarificare a domeniului de aplicare al taxei. </w:t>
            </w:r>
          </w:p>
        </w:tc>
      </w:tr>
      <w:tr w:rsidR="00B9643D" w14:paraId="151B6EFE" w14:textId="77777777" w:rsidTr="00CA3607">
        <w:tc>
          <w:tcPr>
            <w:tcW w:w="420" w:type="dxa"/>
            <w:shd w:val="clear" w:color="auto" w:fill="FFFFFF"/>
          </w:tcPr>
          <w:p w14:paraId="063C93B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CFA6FC6"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E9ED88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93</w:t>
            </w:r>
          </w:p>
        </w:tc>
        <w:tc>
          <w:tcPr>
            <w:tcW w:w="6075" w:type="dxa"/>
            <w:tcBorders>
              <w:top w:val="single" w:sz="4" w:space="0" w:color="000000"/>
              <w:bottom w:val="single" w:sz="4" w:space="0" w:color="000000"/>
              <w:right w:val="single" w:sz="4" w:space="0" w:color="000000"/>
            </w:tcBorders>
            <w:shd w:val="clear" w:color="auto" w:fill="FFFFFF"/>
          </w:tcPr>
          <w:p w14:paraId="19C7B86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Hotărârea Guvernului nr. 1141/2017 și la cadrul conex, acestea trebuie interpretate în corelație cu principiul continuității serviciilor publice și al securității informaționale, fiind instituite proceduri standardizate pentru mediul public, fără a exclude validitatea juridică a semnăturilor electronice calificate emise de alți prestatori autorizați, inclusiv din alte state, în măsura în care sunt respectate mecanismele de recunoaștere aplicabile. În plus, trebuie precizat că, în prezent, lipsa unor mecanisme extinse de recunoaștere bilaterală sau multilaterală nu reprezintă o consecință a prestării serviciilor de către STISC, ci o realitate a cadrului internațional de interoperabilitate, care este în curs de dezvoltare. În acest context, nu se poate susține instituirea unei limitări normative interne privind utilizarea semnăturilor electronice calificate, ci mai degrabă existența unor constrângeri de interoperabilitate transfrontalieră. Totodată mecanisme de recunoaștere unilaterală de RM nu sunt aplicabile la procesul de creare a semnăturii electronice, ci doar la verificare.</w:t>
            </w:r>
          </w:p>
          <w:p w14:paraId="7EE62F9F"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FBDF2E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ia act</w:t>
            </w:r>
          </w:p>
        </w:tc>
      </w:tr>
      <w:tr w:rsidR="00B9643D" w14:paraId="69AE5AF2" w14:textId="77777777" w:rsidTr="00CA3607">
        <w:tc>
          <w:tcPr>
            <w:tcW w:w="420" w:type="dxa"/>
            <w:shd w:val="clear" w:color="auto" w:fill="FFFFFF"/>
          </w:tcPr>
          <w:p w14:paraId="587DC42A"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BDB5A7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Serviciul Informații și Securitate</w:t>
            </w:r>
          </w:p>
          <w:p w14:paraId="5929A36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 IE 6976 din 10.07.2026</w:t>
            </w:r>
          </w:p>
        </w:tc>
        <w:tc>
          <w:tcPr>
            <w:tcW w:w="720" w:type="dxa"/>
            <w:tcBorders>
              <w:top w:val="single" w:sz="4" w:space="0" w:color="000000"/>
              <w:bottom w:val="single" w:sz="4" w:space="0" w:color="000000"/>
            </w:tcBorders>
            <w:shd w:val="clear" w:color="auto" w:fill="FFFFFF"/>
          </w:tcPr>
          <w:p w14:paraId="2D6F688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94</w:t>
            </w:r>
          </w:p>
        </w:tc>
        <w:tc>
          <w:tcPr>
            <w:tcW w:w="6075" w:type="dxa"/>
            <w:tcBorders>
              <w:top w:val="single" w:sz="4" w:space="0" w:color="000000"/>
              <w:bottom w:val="single" w:sz="4" w:space="0" w:color="000000"/>
              <w:right w:val="single" w:sz="4" w:space="0" w:color="000000"/>
            </w:tcBorders>
            <w:shd w:val="clear" w:color="auto" w:fill="FFFFFF"/>
          </w:tcPr>
          <w:p w14:paraId="260A24B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Serviciul Informații și Securitate a examinat </w:t>
            </w:r>
            <w:r>
              <w:rPr>
                <w:rFonts w:ascii="Times New Roman" w:eastAsia="Times New Roman" w:hAnsi="Times New Roman" w:cs="Times New Roman"/>
                <w:sz w:val="24"/>
                <w:szCs w:val="24"/>
              </w:rPr>
              <w:t xml:space="preserve">proiectul de lege pentru modificarea unor acte normative (pentru promovarea economiei digitale și a comerțului electronic ( </w:t>
            </w:r>
            <w:proofErr w:type="spellStart"/>
            <w:r>
              <w:rPr>
                <w:rFonts w:ascii="Times New Roman" w:eastAsia="Times New Roman" w:hAnsi="Times New Roman" w:cs="Times New Roman"/>
                <w:sz w:val="24"/>
                <w:szCs w:val="24"/>
              </w:rPr>
              <w:t>numar</w:t>
            </w:r>
            <w:proofErr w:type="spellEnd"/>
            <w:r>
              <w:rPr>
                <w:rFonts w:ascii="Times New Roman" w:eastAsia="Times New Roman" w:hAnsi="Times New Roman" w:cs="Times New Roman"/>
                <w:sz w:val="24"/>
                <w:szCs w:val="24"/>
              </w:rPr>
              <w:t xml:space="preserve"> unic 629/MDED/2026), autor - MDED, și în limita competențelor funcționale comunică următoarele:</w:t>
            </w:r>
          </w:p>
          <w:p w14:paraId="6E303FBF" w14:textId="77777777" w:rsidR="00B9643D" w:rsidRDefault="00B9643D" w:rsidP="002E1162">
            <w:pPr>
              <w:jc w:val="both"/>
              <w:rPr>
                <w:rFonts w:ascii="Times New Roman" w:eastAsia="Times New Roman" w:hAnsi="Times New Roman" w:cs="Times New Roman"/>
                <w:sz w:val="24"/>
                <w:szCs w:val="24"/>
              </w:rPr>
            </w:pPr>
          </w:p>
          <w:p w14:paraId="4C0A817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la </w:t>
            </w:r>
            <w:proofErr w:type="spellStart"/>
            <w:r>
              <w:rPr>
                <w:rFonts w:ascii="Times New Roman" w:eastAsia="Times New Roman" w:hAnsi="Times New Roman" w:cs="Times New Roman"/>
                <w:sz w:val="24"/>
                <w:szCs w:val="24"/>
              </w:rPr>
              <w:t>Art.II</w:t>
            </w:r>
            <w:proofErr w:type="spellEnd"/>
            <w:r>
              <w:rPr>
                <w:rFonts w:ascii="Times New Roman" w:eastAsia="Times New Roman" w:hAnsi="Times New Roman" w:cs="Times New Roman"/>
                <w:sz w:val="24"/>
                <w:szCs w:val="24"/>
              </w:rPr>
              <w:t xml:space="preserve"> cu privire la modificările Codului fiscal, la punctul 1, prin care se modifică art.69 7 alin.(1), se propune revizuirea sintagmei ”nu depășesc suprafața comercială de </w:t>
            </w:r>
            <w:proofErr w:type="spellStart"/>
            <w:r>
              <w:rPr>
                <w:rFonts w:ascii="Times New Roman" w:eastAsia="Times New Roman" w:hAnsi="Times New Roman" w:cs="Times New Roman"/>
                <w:sz w:val="24"/>
                <w:szCs w:val="24"/>
              </w:rPr>
              <w:t>pina</w:t>
            </w:r>
            <w:proofErr w:type="spellEnd"/>
            <w:r>
              <w:rPr>
                <w:rFonts w:ascii="Times New Roman" w:eastAsia="Times New Roman" w:hAnsi="Times New Roman" w:cs="Times New Roman"/>
                <w:sz w:val="24"/>
                <w:szCs w:val="24"/>
              </w:rPr>
              <w:t xml:space="preserve"> la 50 m 2” în sensul înlocuirii acesteia cu sintagma ” a căror suprafața nu depășește 50 m 2” pentru a elimina </w:t>
            </w:r>
            <w:r>
              <w:rPr>
                <w:rFonts w:ascii="Times New Roman" w:eastAsia="Times New Roman" w:hAnsi="Times New Roman" w:cs="Times New Roman"/>
                <w:sz w:val="24"/>
                <w:szCs w:val="24"/>
              </w:rPr>
              <w:lastRenderedPageBreak/>
              <w:t>eventualele ambiguități de interpretare privind caracterul inclusiv al limitei și pentru a asigura o redactare uniformă.</w:t>
            </w:r>
          </w:p>
          <w:p w14:paraId="4A158E78"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8075C1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p w14:paraId="0D640D83" w14:textId="77777777" w:rsidR="00B9643D" w:rsidRDefault="00B9643D" w:rsidP="002E1162">
            <w:pPr>
              <w:jc w:val="both"/>
              <w:rPr>
                <w:rFonts w:ascii="Times New Roman" w:eastAsia="Times New Roman" w:hAnsi="Times New Roman" w:cs="Times New Roman"/>
                <w:sz w:val="24"/>
                <w:szCs w:val="24"/>
              </w:rPr>
            </w:pPr>
          </w:p>
          <w:p w14:paraId="52670E7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Autorul susține în continuare, pe fond, propunerile formulate la Art. II din proiect, apreciind că acestea răspund unor necesități reale ale mediului de afaceri din sectorul comerțului electronic: încadrarea persoanelor fizice care desfășoară comerț electronic în regimul de impunere prevăzut la capitolul 10² din Codul fiscal (art. 69⁷ alin. (1)), armonizarea regimului scutirii de TVA pentru serviciile poștale universale cu </w:t>
            </w:r>
            <w:r>
              <w:rPr>
                <w:rFonts w:ascii="Times New Roman" w:eastAsia="Times New Roman" w:hAnsi="Times New Roman" w:cs="Times New Roman"/>
                <w:sz w:val="24"/>
                <w:szCs w:val="24"/>
              </w:rPr>
              <w:lastRenderedPageBreak/>
              <w:t>Directiva 2006/112/CE a Consiliului (art. 103 alin. (1) pct. 13) și eliminarea aplicării taxei pentru unitățile comerciale și/sau de prestări servicii în cazul operatorilor de comerț electronic care nu dispun de suprafață comercială (art. 291 alin. (1) lit. e)). Autorul reține, în acest sens, că Ministerul Finanțelor a comunicat susținerea propunerilor de la pct. 1 și 2, iar Centrul de Armonizare a Legislației nu a identificat probleme de compatibilitate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Uniunii Europene.</w:t>
            </w:r>
          </w:p>
          <w:p w14:paraId="56A1D333" w14:textId="77777777" w:rsidR="00B9643D" w:rsidRDefault="00B9643D" w:rsidP="002E1162">
            <w:pPr>
              <w:jc w:val="both"/>
              <w:rPr>
                <w:rFonts w:ascii="Times New Roman" w:eastAsia="Times New Roman" w:hAnsi="Times New Roman" w:cs="Times New Roman"/>
                <w:sz w:val="24"/>
                <w:szCs w:val="24"/>
              </w:rPr>
            </w:pPr>
          </w:p>
          <w:p w14:paraId="3A46625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ținând cont de necesitatea unei evaluări integrate a impactului fiscal-bugetar și de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propunerile din proiectul de lege se transferă spre preluare și examinare în cadrul exercițiului de modificare a politicii bugetar-fiscale, coordonat de Ministerul Finanțelor, potrivit competenței acestuia. </w:t>
            </w:r>
          </w:p>
          <w:p w14:paraId="193036AD" w14:textId="77777777" w:rsidR="002E1162" w:rsidRDefault="002E1162" w:rsidP="002E1162">
            <w:pPr>
              <w:jc w:val="both"/>
              <w:rPr>
                <w:rFonts w:ascii="Times New Roman" w:eastAsia="Times New Roman" w:hAnsi="Times New Roman" w:cs="Times New Roman"/>
                <w:sz w:val="24"/>
                <w:szCs w:val="24"/>
              </w:rPr>
            </w:pPr>
          </w:p>
        </w:tc>
      </w:tr>
      <w:tr w:rsidR="00B9643D" w14:paraId="405AEFD7" w14:textId="77777777" w:rsidTr="00CA3607">
        <w:tc>
          <w:tcPr>
            <w:tcW w:w="420" w:type="dxa"/>
            <w:shd w:val="clear" w:color="auto" w:fill="FFFFFF"/>
          </w:tcPr>
          <w:p w14:paraId="60E3D66C"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FA5C547"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58DF8A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95</w:t>
            </w:r>
          </w:p>
        </w:tc>
        <w:tc>
          <w:tcPr>
            <w:tcW w:w="6075" w:type="dxa"/>
            <w:tcBorders>
              <w:top w:val="single" w:sz="4" w:space="0" w:color="000000"/>
              <w:bottom w:val="single" w:sz="4" w:space="0" w:color="000000"/>
              <w:right w:val="single" w:sz="4" w:space="0" w:color="000000"/>
            </w:tcBorders>
            <w:shd w:val="clear" w:color="auto" w:fill="FFFFFF"/>
          </w:tcPr>
          <w:p w14:paraId="2289F46B"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Pr>
                <w:rFonts w:ascii="Times New Roman" w:eastAsia="Times New Roman" w:hAnsi="Times New Roman" w:cs="Times New Roman"/>
                <w:sz w:val="24"/>
                <w:szCs w:val="24"/>
              </w:rPr>
              <w:t xml:space="preserve"> La Art. VII, cu privire la modificările Legii nr. 174/2021 privind mecanismul de examinare a investițiilor de importanță pentru securitatea statului, se observă că noțiunea de „tehnologie critică” este definită prin raportare la Recomandarea Comisiei Europene C (2023) 6689, precum și la actele ulterioare de modificare sau înlocuire ale acesteia. Considerăm că o asemenea formulare afectează gradul de previzibilitate a normei, în măsura în care conținutul noțiunii poate fi modificat ulterior fără o intervenție expresă a legiuitorului național.</w:t>
            </w:r>
          </w:p>
          <w:p w14:paraId="27DE9F00"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sens, se recomandă eliminarea trimiterii la </w:t>
            </w:r>
            <w:r>
              <w:rPr>
                <w:rFonts w:ascii="Times New Roman" w:eastAsia="Times New Roman" w:hAnsi="Times New Roman" w:cs="Times New Roman"/>
                <w:b/>
                <w:bCs/>
                <w:sz w:val="24"/>
                <w:szCs w:val="24"/>
              </w:rPr>
              <w:t>actele ulterioare de modificare sau înlocuire</w:t>
            </w:r>
            <w:r>
              <w:rPr>
                <w:rFonts w:ascii="Times New Roman" w:eastAsia="Times New Roman" w:hAnsi="Times New Roman" w:cs="Times New Roman"/>
                <w:sz w:val="24"/>
                <w:szCs w:val="24"/>
              </w:rPr>
              <w:t>, și raportarea exclusivă la forma în vigoare a actului UE, urmând eventualele actualizări să fie preluate ulterior prin intervenție normativă expresă la nivel național.</w:t>
            </w:r>
          </w:p>
          <w:p w14:paraId="2172721B" w14:textId="77777777" w:rsidR="002E1162" w:rsidRDefault="002E1162"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E90495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4C3BF239" w14:textId="77777777" w:rsidTr="00CA3607">
        <w:tc>
          <w:tcPr>
            <w:tcW w:w="420" w:type="dxa"/>
            <w:shd w:val="clear" w:color="auto" w:fill="FFFFFF"/>
          </w:tcPr>
          <w:p w14:paraId="7BAFE56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60028D0"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F2A743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96</w:t>
            </w:r>
          </w:p>
        </w:tc>
        <w:tc>
          <w:tcPr>
            <w:tcW w:w="6075" w:type="dxa"/>
            <w:tcBorders>
              <w:top w:val="single" w:sz="4" w:space="0" w:color="000000"/>
              <w:bottom w:val="single" w:sz="4" w:space="0" w:color="000000"/>
              <w:right w:val="single" w:sz="4" w:space="0" w:color="000000"/>
            </w:tcBorders>
            <w:shd w:val="clear" w:color="auto" w:fill="FFFFFF"/>
          </w:tcPr>
          <w:p w14:paraId="1F222DF7"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Subsidiar, se propune operarea unor ajustări de ordin </w:t>
            </w:r>
            <w:proofErr w:type="spellStart"/>
            <w:r>
              <w:rPr>
                <w:rFonts w:ascii="Times New Roman" w:eastAsia="Times New Roman" w:hAnsi="Times New Roman" w:cs="Times New Roman"/>
                <w:sz w:val="24"/>
                <w:szCs w:val="24"/>
              </w:rPr>
              <w:t>tehnico</w:t>
            </w:r>
            <w:proofErr w:type="spellEnd"/>
            <w:r>
              <w:rPr>
                <w:rFonts w:ascii="Times New Roman" w:eastAsia="Times New Roman" w:hAnsi="Times New Roman" w:cs="Times New Roman"/>
                <w:sz w:val="24"/>
                <w:szCs w:val="24"/>
              </w:rPr>
              <w:t>-legislativ la prevederile proiectului ce vizează modificarea Legii nr. 174/2021, prin substituirea referințelor la Legea securității statului nr. 618/1995, care nu mai este în vigoare, cu referințe la actul normativ aplicabil în toate dispozițiile proiectului în care aceasta este invocată, după cum urmează:</w:t>
            </w:r>
          </w:p>
          <w:p w14:paraId="4AB9A58B" w14:textId="77777777" w:rsidR="002E1162" w:rsidRDefault="002E1162"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F10A2A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4F2A8214" w14:textId="77777777" w:rsidTr="00CA3607">
        <w:tc>
          <w:tcPr>
            <w:tcW w:w="420" w:type="dxa"/>
            <w:shd w:val="clear" w:color="auto" w:fill="FFFFFF"/>
          </w:tcPr>
          <w:p w14:paraId="32C8589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AFB5134"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667022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97</w:t>
            </w:r>
          </w:p>
        </w:tc>
        <w:tc>
          <w:tcPr>
            <w:tcW w:w="6075" w:type="dxa"/>
            <w:tcBorders>
              <w:top w:val="single" w:sz="4" w:space="0" w:color="000000"/>
              <w:bottom w:val="single" w:sz="4" w:space="0" w:color="000000"/>
              <w:right w:val="single" w:sz="4" w:space="0" w:color="000000"/>
            </w:tcBorders>
            <w:shd w:val="clear" w:color="auto" w:fill="FFFFFF"/>
          </w:tcPr>
          <w:p w14:paraId="1DCCADE2"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6 litera b), sintagma „astfel cum sunt definite la art. 4 alin. (2) din Legea securității statului nr. 618/1995” a se substitui cu sintagma „fapte care se încadrează în prevederile art. 3 pct. 2 lit. a) din Legea nr. 136/2023 privind Serviciul de Informații și Securitate al Republicii Moldova”</w:t>
            </w:r>
          </w:p>
          <w:p w14:paraId="58CA1F81" w14:textId="77777777" w:rsidR="002E1162" w:rsidRDefault="002E1162"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D277E7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30ABE21A" w14:textId="77777777" w:rsidTr="00CA3607">
        <w:tc>
          <w:tcPr>
            <w:tcW w:w="420" w:type="dxa"/>
            <w:shd w:val="clear" w:color="auto" w:fill="FFFFFF"/>
          </w:tcPr>
          <w:p w14:paraId="2CCD089E"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0D05696"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396936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98</w:t>
            </w:r>
          </w:p>
        </w:tc>
        <w:tc>
          <w:tcPr>
            <w:tcW w:w="6075" w:type="dxa"/>
            <w:tcBorders>
              <w:top w:val="single" w:sz="4" w:space="0" w:color="000000"/>
              <w:bottom w:val="single" w:sz="4" w:space="0" w:color="000000"/>
              <w:right w:val="single" w:sz="4" w:space="0" w:color="000000"/>
            </w:tcBorders>
            <w:shd w:val="clear" w:color="auto" w:fill="FFFFFF"/>
          </w:tcPr>
          <w:p w14:paraId="7D9B0C69"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8 litera h), sintagma „astfel cum este definit la art. 4 alin. (2) din Legea securității statului nr. 618/1995” a se substitui cu sintagma „fapte care se încadrează în prevederile art. 3 pct. 2 lit. a) din Legea nr. 136/2023 privind Serviciul de Informații și Securitate al Republicii Moldova”</w:t>
            </w:r>
          </w:p>
          <w:p w14:paraId="22A0D6BE" w14:textId="77777777" w:rsidR="002E1162" w:rsidRDefault="002E1162"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F5AFD1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21F26ED6" w14:textId="77777777" w:rsidTr="00CA3607">
        <w:tc>
          <w:tcPr>
            <w:tcW w:w="420" w:type="dxa"/>
            <w:shd w:val="clear" w:color="auto" w:fill="FFFFFF"/>
          </w:tcPr>
          <w:p w14:paraId="4D0DC04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3958263"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9B7E4B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99</w:t>
            </w:r>
          </w:p>
        </w:tc>
        <w:tc>
          <w:tcPr>
            <w:tcW w:w="6075" w:type="dxa"/>
            <w:tcBorders>
              <w:top w:val="single" w:sz="4" w:space="0" w:color="000000"/>
              <w:bottom w:val="single" w:sz="4" w:space="0" w:color="000000"/>
              <w:right w:val="single" w:sz="4" w:space="0" w:color="000000"/>
            </w:tcBorders>
            <w:shd w:val="clear" w:color="auto" w:fill="FFFFFF"/>
          </w:tcPr>
          <w:p w14:paraId="42BA63B3"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9 alineatul (8), sintagma „conform prevederilor art. 4 din Legea securității statului nr. 618/1995” a se substitui cu sintagma „fapte care se încadrează în prevederile art. 3 pct. 2 lit. a) din Legea nr. 136/2023 privind Serviciul de Informații și Securitate al Republicii Moldova”.</w:t>
            </w:r>
          </w:p>
          <w:p w14:paraId="5ECDDE4D" w14:textId="77777777" w:rsidR="002E1162" w:rsidRDefault="002E1162"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AD6150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45D021FE" w14:textId="77777777" w:rsidTr="00CA3607">
        <w:tc>
          <w:tcPr>
            <w:tcW w:w="420" w:type="dxa"/>
            <w:shd w:val="clear" w:color="auto" w:fill="FFFFFF"/>
          </w:tcPr>
          <w:p w14:paraId="6C92DCC9"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val="restart"/>
            <w:shd w:val="clear" w:color="auto" w:fill="FFFFFF"/>
          </w:tcPr>
          <w:p w14:paraId="592CEB14" w14:textId="77777777" w:rsidR="00B9643D" w:rsidRDefault="00000000" w:rsidP="002E116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Inspectoratul de Stat pentru Supraveghere Produselor Nealimentare și Protecția Consumatorilor (ISSPNPC)</w:t>
            </w:r>
          </w:p>
          <w:p w14:paraId="2B43330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nr.27/12-3376 din 30.06.2026</w:t>
            </w:r>
          </w:p>
        </w:tc>
        <w:tc>
          <w:tcPr>
            <w:tcW w:w="720" w:type="dxa"/>
            <w:tcBorders>
              <w:top w:val="single" w:sz="4" w:space="0" w:color="000000"/>
              <w:bottom w:val="single" w:sz="4" w:space="0" w:color="000000"/>
            </w:tcBorders>
            <w:shd w:val="clear" w:color="auto" w:fill="FFFFFF"/>
          </w:tcPr>
          <w:p w14:paraId="4C08BE4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100</w:t>
            </w:r>
          </w:p>
        </w:tc>
        <w:tc>
          <w:tcPr>
            <w:tcW w:w="6075" w:type="dxa"/>
            <w:tcBorders>
              <w:top w:val="single" w:sz="4" w:space="0" w:color="000000"/>
              <w:bottom w:val="single" w:sz="4" w:space="0" w:color="000000"/>
              <w:right w:val="single" w:sz="4" w:space="0" w:color="000000"/>
            </w:tcBorders>
            <w:shd w:val="clear" w:color="auto" w:fill="FFFFFF"/>
          </w:tcPr>
          <w:p w14:paraId="0678688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Inspectoratul de Stat pentru Supravegherea Produselor Nealimentare și Protecția Consumatorilor (în continuare ISSPNPC) în limita competențelor atribuite prin lege, a examinat proiectul de lege pentru modificarea unor acte normative (pentru promovarea economiei digitale și a comerțului electronic) (număr unic 629/MDED/2026), și susține inițiativa de modernizare a cadrului normativ privind economia digitală și comerțul electronic, apreciind măsurile orientate spre digitalizarea serviciilor, dezvoltarea comerțului electronic și reducerea sarcinilor administrative pentru mediul de afaceri. </w:t>
            </w:r>
          </w:p>
          <w:p w14:paraId="544E1E5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Totodată, considerăm că, proiectul necesită completări sub aspectul asigurării unui nivel corespunzător de protecție a consumatorilor, în conformitate cu Legea nr. 105/2003 privind protecția consumatorilor, Legea nr. 284/2004 privind serviciile societății informaționale, Legea nr. 231/2010 privind comerțul interior, precum și cu legislația Uniunii Europene în domeniul comerțului electronic și al piețelor online.</w:t>
            </w:r>
          </w:p>
          <w:p w14:paraId="53EEC4A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În acest sens, ISSPNPC formulează următoarele observații și propuneri:</w:t>
            </w:r>
          </w:p>
          <w:p w14:paraId="09FAF45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Referitor </w:t>
            </w:r>
            <w:r>
              <w:rPr>
                <w:rFonts w:ascii="Times New Roman" w:eastAsia="Times New Roman" w:hAnsi="Times New Roman" w:cs="Times New Roman"/>
                <w:b/>
                <w:bCs/>
                <w:sz w:val="24"/>
                <w:szCs w:val="24"/>
              </w:rPr>
              <w:t>la completarea art. 25 din Legea 105/2003</w:t>
            </w:r>
            <w:r>
              <w:rPr>
                <w:rFonts w:ascii="Times New Roman" w:eastAsia="Times New Roman" w:hAnsi="Times New Roman" w:cs="Times New Roman"/>
                <w:sz w:val="24"/>
                <w:szCs w:val="24"/>
              </w:rPr>
              <w:t xml:space="preserve"> privind protecția consumatorilor, și anume, potrivit Notei de fundamentare la proiectul de lege, se menționează că: ,, Din interpretarea art. 25 și a dispozițiilor generale ale Legii nr. 105/2003 rezultă că sarcina de a organiza și finanța expertiza tehnică revine, în prezent, integral vânzătorului, fără ca legea să prevadă un mecanism de recuperare a acestor costuri în ipoteza în care expertiza confirmă că neconformitatea este imputabile consumatorului și că deficiențele nu existau la momentul livrării. Practica semnalată de agenții economici arată că, în numeroase situații, reclamațiile se dovedesc a fi neîntemeiate și abuzive, însă costurile expertizei, inclusiv cheltuielile aferente transportului, manipulării, diagnosticării și examinării tehnice, rămân, indiferent de rezultat, în sarcina exclusivă a comerciantului. Acest fapt generează o sarcină financiară disproporționată, mai ales pentru întreprinderile mici și mijlocii.”; ,, Cadrul național existent, respectiv art. 25 alin. (3) din Legea nr. 105/2003, instituie deja o obligație analogă: dacă vânzătorul sau prestatorul refuză reclamația consumatorului, este obligat să dovedească vina consumatorului prin expertiză tehnică efectuată de o terță parte competentă, în termen de 14 zile. Mecanismul propus se corelează cu această obligație internă, precizând că rambursarea cheltuielilor de expertiză nu poate fi imputată consumatorului atunci când expertiza servea îndeplinirii obligației de probațiune a comerciantului, conform art. 23 alin. (6), ci exclusiv atunci când expertiza demonstrează, prin </w:t>
            </w:r>
            <w:r>
              <w:rPr>
                <w:rFonts w:ascii="Times New Roman" w:eastAsia="Times New Roman" w:hAnsi="Times New Roman" w:cs="Times New Roman"/>
                <w:sz w:val="24"/>
                <w:szCs w:val="24"/>
              </w:rPr>
              <w:lastRenderedPageBreak/>
              <w:t>probe obiective, culpa consumatorului ulterior livrării. Astfel, în absența unei reglementări interne exprese privind recuperarea costurilor expertizei și a unui cadrul funcționat de soluționare alternativă a litigiilor, sistemul actual transferă integral riscul financiar asupra vânzătorului/prestatorului, stimulează reclamațiile de rea-credință și descurajează investițiile în calitate și servicii post-vânzare.”</w:t>
            </w:r>
          </w:p>
          <w:p w14:paraId="7B7D686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Preliminar menționăm că, în conformitate cu pct. (29) al Directivei (UE) 2019/771 privind anumite aspecte referitoare la contractele de vânzare de bunuri (în continuare Directiva), se afirmă că ,,pentru a fi conforme, bunurile ar trebui să respecte nu doar cerințele subiective de conformitate, ci și cerințele obiective de conformitate stabilite în prezenta directivă. Conformitatea ar trebui evaluată având în vedere, printre altele, scopul pentru care s-ar utiliza în mod normal bunurile de același tip, livrarea acestora cu accesoriile și instrucțiunile pe care consumatorul se poate aștepta în mod rezonabil să le primească sau corespondențele dintre acestea și eșantionul sau modelul pe care vânzătorul l-a pus la dispoziția consumatorului. Bunurile ar trebui să dețină, de asemenea, calitățile și caracteristicile care sunt normale pentru bunurile de același tip și la care consumatorul se poate aștepta, în mod rezonabil, având în vedere natura bunurilor și ținându-se seama de orice declarație publică a vânzătorului sau în numele acestuia ori al altor persoane aflate în amonte în cadrul lanțului de tranzacții”. </w:t>
            </w:r>
          </w:p>
          <w:p w14:paraId="151A2DD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în Legea 105/2003 privind protecția consumatorilor au fost transpuse normele comune ale Directivei, și care nu se referă exclusiv la cele menționate în Nota de fundamentare, precum: ...deficiențele nu existau la momentul livrării, ...culpa consumatorului ulterior livrării.</w:t>
            </w:r>
          </w:p>
          <w:p w14:paraId="285DCB2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Totodată, nota de fundamentare indică despre necesitatea introducerii in Legea 105/2003 privind protecția consumatorilor a unor prevederi legale de protecție a mediului de afaceri, deși conform Articolului 1 al Directivei, scopul directivei este ,, de a contribui la buna funcționare a pieței interne, asigurând un nivel ridicat de protecție a </w:t>
            </w:r>
            <w:r>
              <w:rPr>
                <w:rFonts w:ascii="Times New Roman" w:eastAsia="Times New Roman" w:hAnsi="Times New Roman" w:cs="Times New Roman"/>
                <w:sz w:val="24"/>
                <w:szCs w:val="24"/>
              </w:rPr>
              <w:lastRenderedPageBreak/>
              <w:t>consumatorilor, prin stabilirea unor norme comune privind anumite cerințe referitoare la contractele de vânzare încheiate între vânzător și consumator, în special norme privind conformitatea bunurilor cu contractul, măsurile corective în caz de neconformitate, modalitățile de punere în aplicare a respectivelor măsuri corective, precum și garanțiile comerciale.</w:t>
            </w:r>
          </w:p>
          <w:p w14:paraId="3147718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Totodată, potrivit pct. 18 al Directivei este specificat că ,,Prezenta directivă nu ar trebui să afecteze dispozițiile de drept intern în ceea ce privește aspectele care nu sunt reglementate de prezenta directivă, în special în ceea ce privește legalitatea bunurilor, prejudiciile și o serie de aspecte ale dreptului general al contractelor precum încheierea, valabilitatea, nulitatea ori efectele contractelor. Același lucru este valabil și în ceea ce privește consecințele încetării contractului și pentru anumite aspecte privind repararea și înlocuirea, care nu sunt reglementate de prezenta directivă. ... Statele membre ar trebui, de asemenea, să dispună în continuare de libertatea de a reglementa dreptul consumatorului la despăgubiri pentru prejudiciile suferite ca urmare a unei încălcări de către vânzător a prezentei directive.” </w:t>
            </w:r>
          </w:p>
          <w:p w14:paraId="1CDB4A7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pct. 18 al Directivei stabilește că ,,Statelor membre li s-a permis să prevadă standarde mai stricte decât cele ale Uniunii și să introducă sau să mențină norme care să asigure un nivel și mai ridicat de protecție a consumatorilor, iar conform articolului 4 (Nivelul de armonizare) din Directivă se reglementează expres că ,,În absența unor dispoziții contrare în prezenta directivă, statele membre nu mențin și nici nu introduc în dreptul lor intern dispoziții diferite de cele stabilite în prezenta directivă, inclusiv dispoziții mai stricte sau mai permisive care să asigure un nivel diferit de protecție a consumatorilor. </w:t>
            </w:r>
          </w:p>
          <w:p w14:paraId="23C5A6A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considerăm că introducerea modificărilor propuse, ar afecta nivelul de armonizare asigurat la transpunerea Directivei în actul normativ național de protecție a consumatorilor, care are drept scop atribuirea </w:t>
            </w:r>
            <w:r>
              <w:rPr>
                <w:rFonts w:ascii="Times New Roman" w:eastAsia="Times New Roman" w:hAnsi="Times New Roman" w:cs="Times New Roman"/>
                <w:sz w:val="24"/>
                <w:szCs w:val="24"/>
              </w:rPr>
              <w:lastRenderedPageBreak/>
              <w:t xml:space="preserve">unui nivel înalt de protecție a consumatorului, și care stabilește expres că nu ar trebui să afecteze dispozițiile de drept intern în ceea ce privește aspectele care nu sunt reglementate de prezenta directivă. Respectiv, prin includerea în Legea 105/2003 privind protecția consumatorilor a modificărilor care ar permite operatorilor economici de a notifica despre anumite costuri ,,estimative” ale expertizelor (iar cost estimativ uneori ar putea fi inclusiv exagerat), și informarea despre necesitatea achitării contravalorii acestora de către consumatori în anumite condiții, consumatorii care nu au cunoștințe necesare pentru evaluarea eventualelor deficiențe, </w:t>
            </w:r>
            <w:proofErr w:type="spellStart"/>
            <w:r>
              <w:rPr>
                <w:rFonts w:ascii="Times New Roman" w:eastAsia="Times New Roman" w:hAnsi="Times New Roman" w:cs="Times New Roman"/>
                <w:sz w:val="24"/>
                <w:szCs w:val="24"/>
              </w:rPr>
              <w:t>neîncrezuți</w:t>
            </w:r>
            <w:proofErr w:type="spellEnd"/>
            <w:r>
              <w:rPr>
                <w:rFonts w:ascii="Times New Roman" w:eastAsia="Times New Roman" w:hAnsi="Times New Roman" w:cs="Times New Roman"/>
                <w:sz w:val="24"/>
                <w:szCs w:val="24"/>
              </w:rPr>
              <w:t xml:space="preserve"> în cauzele deficiențelor, sau care nu cunosc domeniul de expertizare, ar putea fi descurajați în înaintarea pretențiilor și eventualele repuneri în drepturi. </w:t>
            </w:r>
          </w:p>
          <w:p w14:paraId="3993E18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exprimăm avizul negativ în partea ce ține de propunerile privind completarea art. 25 din Legea 105/2003 privind protecția consumatorilor, din motiv că ar afecta nivelul de protecție a consumatorilor stabilit prin Directivă.</w:t>
            </w:r>
          </w:p>
          <w:p w14:paraId="7098320E"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9C542E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3FA4E05A" w14:textId="77777777" w:rsidR="00B9643D" w:rsidRDefault="00B9643D" w:rsidP="002E1162">
            <w:pPr>
              <w:jc w:val="both"/>
              <w:rPr>
                <w:rFonts w:ascii="Times New Roman" w:eastAsia="Times New Roman" w:hAnsi="Times New Roman" w:cs="Times New Roman"/>
                <w:b/>
                <w:bCs/>
                <w:sz w:val="24"/>
                <w:szCs w:val="24"/>
              </w:rPr>
            </w:pPr>
          </w:p>
          <w:p w14:paraId="333FB24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Modificarea propusă pentru proiectul de lege</w:t>
            </w:r>
          </w:p>
          <w:p w14:paraId="2DA69ED0" w14:textId="77777777" w:rsidR="00B9643D" w:rsidRDefault="00B9643D" w:rsidP="002E1162">
            <w:pPr>
              <w:jc w:val="both"/>
              <w:rPr>
                <w:rFonts w:ascii="Times New Roman" w:eastAsia="Times New Roman" w:hAnsi="Times New Roman" w:cs="Times New Roman"/>
                <w:b/>
                <w:bCs/>
                <w:sz w:val="24"/>
                <w:szCs w:val="24"/>
              </w:rPr>
            </w:pPr>
          </w:p>
          <w:p w14:paraId="6C276FAC" w14:textId="77777777" w:rsidR="00B9643D" w:rsidRDefault="00000000" w:rsidP="002E1162">
            <w:pPr>
              <w:pStyle w:val="Titlu3"/>
              <w:keepNext w:val="0"/>
              <w:keepLines w:val="0"/>
              <w:spacing w:before="0"/>
              <w:jc w:val="both"/>
              <w:rPr>
                <w:rFonts w:ascii="Times New Roman" w:eastAsia="Times New Roman" w:hAnsi="Times New Roman" w:cs="Times New Roman"/>
                <w:color w:val="000000"/>
              </w:rPr>
            </w:pPr>
            <w:bookmarkStart w:id="0" w:name="_heading=h.dh4svfcuysle" w:colFirst="0" w:colLast="0"/>
            <w:bookmarkEnd w:id="0"/>
            <w:r>
              <w:rPr>
                <w:rFonts w:ascii="Times New Roman" w:eastAsia="Times New Roman" w:hAnsi="Times New Roman" w:cs="Times New Roman"/>
                <w:color w:val="000000"/>
              </w:rPr>
              <w:t>Redacția propusă pentru art. 25 alin. (3²)</w:t>
            </w:r>
          </w:p>
          <w:p w14:paraId="3FF3F8B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„(3²) În cazul în care efectuarea expertizei tehnice prevăzute la alin. (3) este inițiată de vânzător sau prestator, acesta informează consumatorul, pe un suport durabil, înainte de depunerea cererii de efectuare a expertizei tehnice, cu privire la:</w:t>
            </w:r>
          </w:p>
          <w:p w14:paraId="0D997F9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 entitatea care urmează să efectueze expertiza tehnică și obiectul acesteia;</w:t>
            </w:r>
          </w:p>
          <w:p w14:paraId="54C0880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costul estimativ al expertizei tehnice, determinat pe baza tarifelor practicate de entitatea care urmează să o efectueze;</w:t>
            </w:r>
          </w:p>
          <w:p w14:paraId="792FCCB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dreptul vânzătorului sau prestatorului de a solicita rambursarea cheltuielilor efective de expertiză exclusiv în cazul în care aceasta stabilește, prin probe obiective, că deficiența este imputabilă consumatorului și a survenit ulterior livrării, suma a cărei rambursare poate fi solicitată neputând depăși costul estimativ comunicat potrivit lit. b), cu excepția cazului în care consumatorul a acceptat expres, pe un suport durabil, o majorare a acestuia;</w:t>
            </w:r>
          </w:p>
          <w:p w14:paraId="39CD3D3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dreptul consumatorului de a se adresa organelor abilitate cu funcții de protecție a consumatorilor sau instanțelor de judecată, în condițiile legii.</w:t>
            </w:r>
          </w:p>
          <w:p w14:paraId="11B2D57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(3³) Rambursarea cheltuielilor de expertiză nu poate fi solicitată în cazul în care expertiza tehnică stabilește existența neconformității ori nu permite determinarea cauzei deficienței.</w:t>
            </w:r>
          </w:p>
          <w:p w14:paraId="14B4896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(3⁴) Examinarea și soluționarea reclamației consumatorului nu pot fi condiționate de acceptarea prealabilă, de către acesta, a costurilor expertizei tehnice. Refuzul consumatorului de a accepta costul estimativ comunicat nu constituie retragere a reclamației și nu exonerează vânzătorul sau prestatorul de obligația de probațiune prevăzută la alin. (3).</w:t>
            </w:r>
          </w:p>
          <w:p w14:paraId="6D0722D4" w14:textId="77777777" w:rsidR="00B9643D" w:rsidRDefault="00B9643D" w:rsidP="002E1162">
            <w:pPr>
              <w:jc w:val="both"/>
              <w:rPr>
                <w:rFonts w:ascii="Times New Roman" w:eastAsia="Times New Roman" w:hAnsi="Times New Roman" w:cs="Times New Roman"/>
                <w:sz w:val="24"/>
                <w:szCs w:val="24"/>
              </w:rPr>
            </w:pPr>
          </w:p>
        </w:tc>
      </w:tr>
      <w:tr w:rsidR="00B9643D" w14:paraId="484E1E08" w14:textId="77777777" w:rsidTr="00CA3607">
        <w:tc>
          <w:tcPr>
            <w:tcW w:w="420" w:type="dxa"/>
            <w:shd w:val="clear" w:color="auto" w:fill="FFFFFF"/>
          </w:tcPr>
          <w:p w14:paraId="5CB4D43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203EB5CD"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0D12F3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101</w:t>
            </w:r>
          </w:p>
        </w:tc>
        <w:tc>
          <w:tcPr>
            <w:tcW w:w="6075" w:type="dxa"/>
            <w:tcBorders>
              <w:top w:val="single" w:sz="4" w:space="0" w:color="000000"/>
              <w:bottom w:val="single" w:sz="4" w:space="0" w:color="000000"/>
              <w:right w:val="single" w:sz="4" w:space="0" w:color="000000"/>
            </w:tcBorders>
            <w:shd w:val="clear" w:color="auto" w:fill="FFFFFF"/>
          </w:tcPr>
          <w:p w14:paraId="140C741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context, cu referire la argumentele privind necesitatea recuperării de către operatorii economici a unor prejudicii cauzate ca urmare a unor ,,reclamații de rea-credință”, ,,reclamații abuzive”, ,, abuz de drept sau culpă manifestată din partea consumatorului” menționăm că, cadrul național existent deja stabilește modalitatea de recuperare a prejudiciilor, în special la Capitolul II APARIŢIA DREPTURILOR ŞI OBLIGAŢIILOR CIVILE. EXERCITAREA ŞI APĂRAREA DREPTURILOR CIVILE din Codul Civil.</w:t>
            </w:r>
          </w:p>
          <w:p w14:paraId="3CCDA763" w14:textId="77777777" w:rsidR="00B9643D" w:rsidRDefault="00000000" w:rsidP="002E116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Astfel, Codul Civil reglementează la art. 9 alin. (2) că </w:t>
            </w:r>
            <w:r>
              <w:rPr>
                <w:rFonts w:ascii="Times New Roman" w:eastAsia="Times New Roman" w:hAnsi="Times New Roman" w:cs="Times New Roman"/>
                <w:i/>
                <w:iCs/>
                <w:color w:val="000000"/>
                <w:sz w:val="24"/>
                <w:szCs w:val="24"/>
              </w:rPr>
              <w:t xml:space="preserve">Drepturile </w:t>
            </w:r>
            <w:proofErr w:type="spellStart"/>
            <w:r>
              <w:rPr>
                <w:rFonts w:ascii="Times New Roman" w:eastAsia="Times New Roman" w:hAnsi="Times New Roman" w:cs="Times New Roman"/>
                <w:i/>
                <w:iCs/>
                <w:color w:val="000000"/>
                <w:sz w:val="24"/>
                <w:szCs w:val="24"/>
              </w:rPr>
              <w:t>şi</w:t>
            </w:r>
            <w:proofErr w:type="spellEnd"/>
            <w:r>
              <w:rPr>
                <w:rFonts w:ascii="Times New Roman" w:eastAsia="Times New Roman" w:hAnsi="Times New Roman" w:cs="Times New Roman"/>
                <w:i/>
                <w:iCs/>
                <w:color w:val="000000"/>
                <w:sz w:val="24"/>
                <w:szCs w:val="24"/>
              </w:rPr>
              <w:t xml:space="preserve"> obligațiile civile apar: ...f) în urma cauzării de prejudicii unei alte persoane, </w:t>
            </w:r>
            <w:r>
              <w:rPr>
                <w:rFonts w:ascii="Times New Roman" w:eastAsia="Times New Roman" w:hAnsi="Times New Roman" w:cs="Times New Roman"/>
                <w:color w:val="000000"/>
                <w:sz w:val="24"/>
                <w:szCs w:val="24"/>
              </w:rPr>
              <w:t xml:space="preserve">la art.11 </w:t>
            </w:r>
            <w:r>
              <w:rPr>
                <w:rFonts w:ascii="Times New Roman" w:eastAsia="Times New Roman" w:hAnsi="Times New Roman" w:cs="Times New Roman"/>
                <w:i/>
                <w:iCs/>
                <w:color w:val="000000"/>
                <w:sz w:val="24"/>
                <w:szCs w:val="24"/>
              </w:rPr>
              <w:t xml:space="preserve">- Buna credință, </w:t>
            </w:r>
            <w:r>
              <w:rPr>
                <w:rFonts w:ascii="Times New Roman" w:eastAsia="Times New Roman" w:hAnsi="Times New Roman" w:cs="Times New Roman"/>
                <w:color w:val="000000"/>
                <w:sz w:val="24"/>
                <w:szCs w:val="24"/>
              </w:rPr>
              <w:t xml:space="preserve">la art. 12 </w:t>
            </w:r>
            <w:r>
              <w:rPr>
                <w:rFonts w:ascii="Times New Roman" w:eastAsia="Times New Roman" w:hAnsi="Times New Roman" w:cs="Times New Roman"/>
                <w:i/>
                <w:iCs/>
                <w:color w:val="000000"/>
                <w:sz w:val="24"/>
                <w:szCs w:val="24"/>
              </w:rPr>
              <w:t xml:space="preserve">- Caracterul rezonabil, </w:t>
            </w:r>
            <w:r>
              <w:rPr>
                <w:rFonts w:ascii="Times New Roman" w:eastAsia="Times New Roman" w:hAnsi="Times New Roman" w:cs="Times New Roman"/>
                <w:color w:val="000000"/>
                <w:sz w:val="24"/>
                <w:szCs w:val="24"/>
              </w:rPr>
              <w:t xml:space="preserve">la art. 13 </w:t>
            </w:r>
            <w:r>
              <w:rPr>
                <w:rFonts w:ascii="Times New Roman" w:eastAsia="Times New Roman" w:hAnsi="Times New Roman" w:cs="Times New Roman"/>
                <w:i/>
                <w:iCs/>
                <w:color w:val="000000"/>
                <w:sz w:val="24"/>
                <w:szCs w:val="24"/>
              </w:rPr>
              <w:t xml:space="preserve">- Abuzul de drept </w:t>
            </w:r>
            <w:r>
              <w:rPr>
                <w:rFonts w:ascii="Times New Roman" w:eastAsia="Times New Roman" w:hAnsi="Times New Roman" w:cs="Times New Roman"/>
                <w:color w:val="000000"/>
                <w:sz w:val="24"/>
                <w:szCs w:val="24"/>
              </w:rPr>
              <w:t xml:space="preserve">(art. 13 alin. (3) Cod civil stabilește expres că: </w:t>
            </w:r>
            <w:r>
              <w:rPr>
                <w:rFonts w:ascii="Times New Roman" w:eastAsia="Times New Roman" w:hAnsi="Times New Roman" w:cs="Times New Roman"/>
                <w:i/>
                <w:iCs/>
                <w:color w:val="000000"/>
                <w:sz w:val="24"/>
                <w:szCs w:val="24"/>
              </w:rPr>
              <w:t xml:space="preserve">Dacă abuzul de drept a dus la încălcarea dreptului subiectiv al unei alte persoane, aceasta poate cere repararea prejudiciului cauzat), etc. </w:t>
            </w:r>
          </w:p>
          <w:p w14:paraId="389B5A6E" w14:textId="77777777" w:rsidR="00B9643D" w:rsidRDefault="00000000" w:rsidP="002E1162">
            <w:pPr>
              <w:ind w:firstLine="378"/>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lastRenderedPageBreak/>
              <w:t xml:space="preserve">De asemenea, conform art. 15 alin. (1) Cod civil </w:t>
            </w:r>
            <w:r>
              <w:rPr>
                <w:rFonts w:ascii="Times New Roman" w:eastAsia="Times New Roman" w:hAnsi="Times New Roman" w:cs="Times New Roman"/>
                <w:i/>
                <w:iCs/>
                <w:sz w:val="24"/>
                <w:szCs w:val="24"/>
              </w:rPr>
              <w:t xml:space="preserve">,,Apărarea drepturilor civile încălcate se face pe cale judiciară”, </w:t>
            </w:r>
            <w:r>
              <w:rPr>
                <w:rFonts w:ascii="Times New Roman" w:eastAsia="Times New Roman" w:hAnsi="Times New Roman" w:cs="Times New Roman"/>
                <w:sz w:val="24"/>
                <w:szCs w:val="24"/>
              </w:rPr>
              <w:t>iar conform art.16 alin. (1) ,,</w:t>
            </w:r>
            <w:r>
              <w:rPr>
                <w:rFonts w:ascii="Times New Roman" w:eastAsia="Times New Roman" w:hAnsi="Times New Roman" w:cs="Times New Roman"/>
                <w:i/>
                <w:iCs/>
                <w:sz w:val="24"/>
                <w:szCs w:val="24"/>
              </w:rPr>
              <w:t xml:space="preserve">Apărarea </w:t>
            </w:r>
            <w:r>
              <w:rPr>
                <w:rFonts w:ascii="Times New Roman" w:eastAsia="Times New Roman" w:hAnsi="Times New Roman" w:cs="Times New Roman"/>
                <w:b/>
                <w:bCs/>
                <w:i/>
                <w:iCs/>
                <w:sz w:val="24"/>
                <w:szCs w:val="24"/>
              </w:rPr>
              <w:t xml:space="preserve">dreptului civil </w:t>
            </w:r>
            <w:r>
              <w:rPr>
                <w:rFonts w:ascii="Times New Roman" w:eastAsia="Times New Roman" w:hAnsi="Times New Roman" w:cs="Times New Roman"/>
                <w:i/>
                <w:iCs/>
                <w:sz w:val="24"/>
                <w:szCs w:val="24"/>
              </w:rPr>
              <w:t>se face, în condițiile legii, prin: g) repararea prejudiciului patrimonial și, în cazurile prevăzute de lege, a celui nepatrimonial.</w:t>
            </w:r>
          </w:p>
          <w:p w14:paraId="441B616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Respectiv, considerăm că recuperarea prejudiciilor materiale urmează a fi soluționată exclusiv prin acțiune civilă de către instanțele de judecată, care ar putea fie să admită total, fie parțial (</w:t>
            </w:r>
            <w:r>
              <w:rPr>
                <w:rFonts w:ascii="Times New Roman" w:eastAsia="Times New Roman" w:hAnsi="Times New Roman" w:cs="Times New Roman"/>
                <w:i/>
                <w:iCs/>
                <w:sz w:val="24"/>
                <w:szCs w:val="24"/>
              </w:rPr>
              <w:t>ex. cazurilor în care în instanță se anexează contract/dovada de plată pentru servicii de asistență juridică de ex de 10000 lei, iar instanța admite cererea doar parțial, prin stabilirea unei sume mai mici, de ex de 5000 lei</w:t>
            </w:r>
            <w:r>
              <w:rPr>
                <w:rFonts w:ascii="Times New Roman" w:eastAsia="Times New Roman" w:hAnsi="Times New Roman" w:cs="Times New Roman"/>
                <w:sz w:val="24"/>
                <w:szCs w:val="24"/>
              </w:rPr>
              <w:t>), fie să respingă pretinderea prejudiciului material, în dependență de justificarea cheltuielilor, sau alte condiții obligatorii pentru obținerea despăgubirilor materiale, de existența unor expertize repetate care ar putea fi realizate de către consumatori în caz de dezacord cu expertiza inițială, contraexpertiză sau efectuarea expertizei cu participarea altor experți sau a unor experți asistenți/recomandați, conform normelor generale din Codul de procedură civilă, Legea cu privire la expertiza judiciară, etc.</w:t>
            </w:r>
          </w:p>
          <w:p w14:paraId="3AE90328"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82ADD2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3F73609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Redacția propusă nu înlătură și nu limitează calea judiciară. Alineatul (3²) litera d) și teza finală a alineatului (3⁴) garantează, suplimentar, dreptul consumatorului de a contesta rezultatele expertizei în fața organelor abilitate cu funcții de protecție a consumatorilor, prin mecanisme de soluționare alternativă a litigiilor ori în instanța de judecată, inclusiv ulterior plății. Norma propusă nu substituie, prin urmare, normele generale ale Codului civil, ci precizează temeiul material al pretenției, conferindu-i previzibilitate în raporturi de masă în care recursul la instanță este disproporționat față de valoarea în cauză. </w:t>
            </w:r>
          </w:p>
        </w:tc>
      </w:tr>
      <w:tr w:rsidR="00B9643D" w14:paraId="4A213155" w14:textId="77777777" w:rsidTr="00CA3607">
        <w:tc>
          <w:tcPr>
            <w:tcW w:w="420" w:type="dxa"/>
            <w:shd w:val="clear" w:color="auto" w:fill="FFFFFF"/>
          </w:tcPr>
          <w:p w14:paraId="77E2FF2E"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5A648597"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D65D1B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102</w:t>
            </w:r>
          </w:p>
        </w:tc>
        <w:tc>
          <w:tcPr>
            <w:tcW w:w="6075" w:type="dxa"/>
            <w:tcBorders>
              <w:top w:val="single" w:sz="4" w:space="0" w:color="000000"/>
              <w:bottom w:val="single" w:sz="4" w:space="0" w:color="000000"/>
              <w:right w:val="single" w:sz="4" w:space="0" w:color="000000"/>
            </w:tcBorders>
            <w:shd w:val="clear" w:color="auto" w:fill="FFFFFF"/>
          </w:tcPr>
          <w:p w14:paraId="262A32FE" w14:textId="6973F79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Referitor la completarea cu art. 281 a Legii 105/2003 privind protecția consumatorilor propunem excluderea la alin. (3), din textul ,,Reclamațiile astfel depuse sunt transmise vânzătorului/prestatorului în conformitate cu art. 25 alin. (1) din prezenta lege și se consideră formulate în adresa acestuia” a sintagmei ,,în conformitate cu art.25 alin. (1) din prezenta lege”, din motiv că art. 25 alin. (1) din Legii 105/2003 privind protecția consumatorilor, se referă la o anumită categorie de reclamații (cazurile produselor/serviciilor necorespunzătoare), și pentru care Legea 105/2003, prevede obligația consumatorului de a preda produsul (art. 9 lit. j) din aceiași lege - să </w:t>
            </w:r>
            <w:proofErr w:type="spellStart"/>
            <w:r>
              <w:rPr>
                <w:rFonts w:ascii="Times New Roman" w:eastAsia="Times New Roman" w:hAnsi="Times New Roman" w:cs="Times New Roman"/>
                <w:sz w:val="24"/>
                <w:szCs w:val="24"/>
              </w:rPr>
              <w:t>soluţioneze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reclamaţiile</w:t>
            </w:r>
            <w:proofErr w:type="spellEnd"/>
            <w:r>
              <w:rPr>
                <w:rFonts w:ascii="Times New Roman" w:eastAsia="Times New Roman" w:hAnsi="Times New Roman" w:cs="Times New Roman"/>
                <w:sz w:val="24"/>
                <w:szCs w:val="24"/>
              </w:rPr>
              <w:t xml:space="preserve"> consumatorului într-o perioadă de timp care nu poate </w:t>
            </w:r>
            <w:proofErr w:type="spellStart"/>
            <w:r>
              <w:rPr>
                <w:rFonts w:ascii="Times New Roman" w:eastAsia="Times New Roman" w:hAnsi="Times New Roman" w:cs="Times New Roman"/>
                <w:sz w:val="24"/>
                <w:szCs w:val="24"/>
              </w:rPr>
              <w:t>depăşi</w:t>
            </w:r>
            <w:proofErr w:type="spellEnd"/>
            <w:r>
              <w:rPr>
                <w:rFonts w:ascii="Times New Roman" w:eastAsia="Times New Roman" w:hAnsi="Times New Roman" w:cs="Times New Roman"/>
                <w:sz w:val="24"/>
                <w:szCs w:val="24"/>
              </w:rPr>
              <w:t xml:space="preserve"> 14 zile calendaristice de la data la care consumatorul a adus la </w:t>
            </w:r>
            <w:proofErr w:type="spellStart"/>
            <w:r>
              <w:rPr>
                <w:rFonts w:ascii="Times New Roman" w:eastAsia="Times New Roman" w:hAnsi="Times New Roman" w:cs="Times New Roman"/>
                <w:sz w:val="24"/>
                <w:szCs w:val="24"/>
              </w:rPr>
              <w:t>cunoştinţă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vânzătorului neconformitatea produsului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l-a predat vânzătorului ori persoanei desemnate de acesta în baza unui document de predare-primire.</w:t>
            </w:r>
          </w:p>
          <w:p w14:paraId="3BF2FCE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pentru cazurile reglementate de art. 25 normele legale stabilesc obligativitatea depunerii reclamației scrise cu predarea bunului (condiție imposibil de realizat prin intermediul platformei online).</w:t>
            </w:r>
          </w:p>
          <w:p w14:paraId="73DC564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 mult ca atât, în acest context se deduce necesitatea clarificării acestui aspect în normele propuse la art. 281, prin excluderea posibilității depunerii reclamațiilor în conformitate cu art. 25 alin. (1) prin intermediul platformelor online.</w:t>
            </w:r>
          </w:p>
          <w:p w14:paraId="66E7868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Respectiv, considerăm absolut necesară completarea art. 281 cu o excepție, care să prevină adresarea prin intermediul platformei a reclamațiilor întemeiate în baza art. 25 alin. (1).</w:t>
            </w:r>
          </w:p>
          <w:p w14:paraId="5B21296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Reieșind din cele menționate, considerăm oportun completarea alin. (8), după cum urmează ,,sau cu privire la dreptul de a se adresa organelor abilitate cu funcții de protecție a consumatorilor sau instanțelor de judecată, în condițiile legii”. Or, această precizare este importantă pentru cazurile în care vânzătorul sau prestatorul nu se angajează să utilizeze entități SAL pentru soluționarea litigiului.</w:t>
            </w:r>
          </w:p>
        </w:tc>
        <w:tc>
          <w:tcPr>
            <w:tcW w:w="4530" w:type="dxa"/>
            <w:tcBorders>
              <w:top w:val="single" w:sz="4" w:space="0" w:color="000000"/>
              <w:bottom w:val="single" w:sz="4" w:space="0" w:color="000000"/>
              <w:right w:val="single" w:sz="4" w:space="0" w:color="000000"/>
            </w:tcBorders>
            <w:shd w:val="clear" w:color="auto" w:fill="FFFFFF"/>
          </w:tcPr>
          <w:p w14:paraId="2B5244B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0E242F67" w14:textId="77777777" w:rsidR="00B9643D" w:rsidRDefault="00B9643D" w:rsidP="002E1162">
            <w:pPr>
              <w:jc w:val="both"/>
              <w:rPr>
                <w:rFonts w:ascii="Times New Roman" w:eastAsia="Times New Roman" w:hAnsi="Times New Roman" w:cs="Times New Roman"/>
                <w:sz w:val="24"/>
                <w:szCs w:val="24"/>
              </w:rPr>
            </w:pPr>
          </w:p>
          <w:p w14:paraId="1D3B37F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Sesizarea neconformității și predarea produsului constituie acte juridice distincte, primul reprezentând manifestarea de voință prin care se formulează reclamația, iar al doilea un act material de executare care condiționează curgerea termenului de soluționare, nu valabilitatea reclamației. Nicio dispoziție a legii nu impune ca sesizarea să fie efectuată în prezența fizică a părților, iar articolul 9 litera j) prevede expres predarea produsului „vânzătorului ori persoanei desemnate de acesta în baza unui </w:t>
            </w:r>
            <w:r>
              <w:rPr>
                <w:rFonts w:ascii="Times New Roman" w:eastAsia="Times New Roman" w:hAnsi="Times New Roman" w:cs="Times New Roman"/>
                <w:sz w:val="24"/>
                <w:szCs w:val="24"/>
              </w:rPr>
              <w:lastRenderedPageBreak/>
              <w:t>document de predare-primire", acomodând astfel situația vânzării la distanță, în care predarea se realizează prin curier, punct de ridicare ori centru de service desemnat.</w:t>
            </w:r>
          </w:p>
          <w:p w14:paraId="03DFE03F" w14:textId="77777777" w:rsidR="00B9643D" w:rsidRDefault="00B9643D" w:rsidP="002E1162">
            <w:pPr>
              <w:jc w:val="both"/>
              <w:rPr>
                <w:rFonts w:ascii="Times New Roman" w:eastAsia="Times New Roman" w:hAnsi="Times New Roman" w:cs="Times New Roman"/>
                <w:sz w:val="24"/>
                <w:szCs w:val="24"/>
              </w:rPr>
            </w:pPr>
          </w:p>
          <w:p w14:paraId="3EAA839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Modificări în proiectul de lege:</w:t>
            </w:r>
          </w:p>
          <w:p w14:paraId="2E87F6C0" w14:textId="77777777" w:rsidR="00B9643D" w:rsidRDefault="00B9643D" w:rsidP="002E1162">
            <w:pPr>
              <w:jc w:val="both"/>
              <w:rPr>
                <w:rFonts w:ascii="Times New Roman" w:eastAsia="Times New Roman" w:hAnsi="Times New Roman" w:cs="Times New Roman"/>
                <w:sz w:val="24"/>
                <w:szCs w:val="24"/>
              </w:rPr>
            </w:pPr>
          </w:p>
          <w:p w14:paraId="3111FFF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(3) se expune în următoarea redacție:</w:t>
            </w:r>
          </w:p>
          <w:p w14:paraId="1A965764" w14:textId="77777777" w:rsidR="00B9643D" w:rsidRDefault="00B9643D" w:rsidP="002E1162">
            <w:pPr>
              <w:jc w:val="both"/>
              <w:rPr>
                <w:rFonts w:ascii="Times New Roman" w:eastAsia="Times New Roman" w:hAnsi="Times New Roman" w:cs="Times New Roman"/>
                <w:sz w:val="24"/>
                <w:szCs w:val="24"/>
              </w:rPr>
            </w:pPr>
          </w:p>
          <w:p w14:paraId="14A35FF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În cazul în care este instituit, sistemul intern de soluționare a reclamațiilor permite consumatorilor să depună, prin intermediul unei interfețe electronice puse la dispoziție de furnizorul de servicii de intermediere online, reclamațiile referitoare la produsele sau serviciile necorespunzătoare. Reclamațiile astfel depuse se consideră formulate în adresa vânzătorului/prestatorului la data transmiterii acestora și produc aceleași efecte ca reclamațiile depuse direct, potrivit art. 25. Predarea produsului, atunci când este necesară potrivit art. 9 lit. j), se realizează separat, către vânzător/prestator ori către persoana desemnată de acesta, fără a afecta valabilitatea reclamației depuse prin sistemul intern; termenul prevăzut la art. 9 lit. j) curge de la data îndeplinirii ambelor condiții."</w:t>
            </w:r>
          </w:p>
          <w:p w14:paraId="5AA42E09" w14:textId="77777777" w:rsidR="00B9643D" w:rsidRDefault="00B9643D" w:rsidP="002E1162">
            <w:pPr>
              <w:jc w:val="both"/>
              <w:rPr>
                <w:rFonts w:ascii="Times New Roman" w:eastAsia="Times New Roman" w:hAnsi="Times New Roman" w:cs="Times New Roman"/>
                <w:sz w:val="24"/>
                <w:szCs w:val="24"/>
              </w:rPr>
            </w:pPr>
          </w:p>
          <w:p w14:paraId="678703C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(8) se expune în următoarea redacție:</w:t>
            </w:r>
          </w:p>
          <w:p w14:paraId="41A8FACE" w14:textId="77777777" w:rsidR="00B9643D" w:rsidRDefault="00B9643D" w:rsidP="002E1162">
            <w:pPr>
              <w:jc w:val="both"/>
              <w:rPr>
                <w:rFonts w:ascii="Times New Roman" w:eastAsia="Times New Roman" w:hAnsi="Times New Roman" w:cs="Times New Roman"/>
                <w:sz w:val="24"/>
                <w:szCs w:val="24"/>
              </w:rPr>
            </w:pPr>
          </w:p>
          <w:p w14:paraId="72FB20D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În cazul în care, după utilizarea sistemului intern de soluționare a reclamațiilor, litigiul dintre consumator și vânzător/prestator nu este soluționat, vânzătorul/prestatorul sau, după caz, </w:t>
            </w:r>
            <w:r>
              <w:rPr>
                <w:rFonts w:ascii="Times New Roman" w:eastAsia="Times New Roman" w:hAnsi="Times New Roman" w:cs="Times New Roman"/>
                <w:sz w:val="24"/>
                <w:szCs w:val="24"/>
              </w:rPr>
              <w:lastRenderedPageBreak/>
              <w:t>furnizorul de servicii de intermediere online informează consumatorul, pe un suport durabil, cu privire la entitatea sau entitățile SAL competente, precizând dacă vânzătorul sau prestatorul se angajează ori este obligat să utilizeze aceste entități pentru soluționarea litigiului, precum și cu privire la dreptul consumatorului de a se adresa organelor abilitate cu funcții de protecție a consumatorilor sau instanțelor de judecată, în condițiile legii."</w:t>
            </w:r>
          </w:p>
          <w:p w14:paraId="0AAA80F0" w14:textId="77777777" w:rsidR="002E1162" w:rsidRDefault="002E1162" w:rsidP="002E1162">
            <w:pPr>
              <w:jc w:val="both"/>
              <w:rPr>
                <w:rFonts w:ascii="Times New Roman" w:eastAsia="Times New Roman" w:hAnsi="Times New Roman" w:cs="Times New Roman"/>
                <w:sz w:val="24"/>
                <w:szCs w:val="24"/>
              </w:rPr>
            </w:pPr>
          </w:p>
        </w:tc>
      </w:tr>
      <w:tr w:rsidR="00B9643D" w14:paraId="4EE180BD" w14:textId="77777777" w:rsidTr="00CA3607">
        <w:tc>
          <w:tcPr>
            <w:tcW w:w="420" w:type="dxa"/>
            <w:shd w:val="clear" w:color="auto" w:fill="FFFFFF"/>
          </w:tcPr>
          <w:p w14:paraId="766E61E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vMerge/>
            <w:shd w:val="clear" w:color="auto" w:fill="FFFFFF"/>
          </w:tcPr>
          <w:p w14:paraId="03AF5EA0" w14:textId="77777777" w:rsidR="00B9643D" w:rsidRDefault="00B9643D" w:rsidP="002E1162">
            <w:pPr>
              <w:widowControl w:val="0"/>
              <w:pBdr>
                <w:top w:val="nil"/>
                <w:left w:val="nil"/>
                <w:bottom w:val="nil"/>
                <w:right w:val="nil"/>
                <w:between w:val="nil"/>
              </w:pBd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9CDC31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103</w:t>
            </w:r>
          </w:p>
        </w:tc>
        <w:tc>
          <w:tcPr>
            <w:tcW w:w="6075" w:type="dxa"/>
            <w:tcBorders>
              <w:top w:val="single" w:sz="4" w:space="0" w:color="000000"/>
              <w:bottom w:val="single" w:sz="4" w:space="0" w:color="000000"/>
              <w:right w:val="single" w:sz="4" w:space="0" w:color="000000"/>
            </w:tcBorders>
            <w:shd w:val="clear" w:color="auto" w:fill="FFFFFF"/>
          </w:tcPr>
          <w:p w14:paraId="6778AA0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Concluzionând, ISSPNPC susține obiectivul general al proiectului privind dezvoltarea economiei digitale și a comerțului electronic, însă consideră necesară revizuirea dispozițiilor referitoare la Legea nr. 105/2003 privind protecția consumatorilor, întrucât forma propusă riscă să diminueze nivelul de protecție conferit consumatorilor și să creeze dificultăți în aplicarea legislației speciale. Totodată, ISSPNPC recomandă menținerea actualului regim juridic al art. 25, completarea proiectului cu garanții suplimentare pentru consumatori în mediul digital și corelarea acestuia cu cele mai recente acte ale Uniunii Europene în materia serviciilor digitale, siguranței produselor și protecției consumatorilor.</w:t>
            </w:r>
          </w:p>
          <w:p w14:paraId="65C32911"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B0B62F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 luat act</w:t>
            </w:r>
          </w:p>
        </w:tc>
      </w:tr>
      <w:tr w:rsidR="00B9643D" w14:paraId="7E666AEA" w14:textId="77777777" w:rsidTr="00CA3607">
        <w:tc>
          <w:tcPr>
            <w:tcW w:w="420" w:type="dxa"/>
            <w:shd w:val="clear" w:color="auto" w:fill="FFFFFF"/>
          </w:tcPr>
          <w:p w14:paraId="3C14C40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3B1139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națională pentru siguranța alimentelor ( ANSA)</w:t>
            </w:r>
          </w:p>
          <w:p w14:paraId="3B485F0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nr.15-3531 din  25.06.2026</w:t>
            </w:r>
          </w:p>
        </w:tc>
        <w:tc>
          <w:tcPr>
            <w:tcW w:w="720" w:type="dxa"/>
            <w:tcBorders>
              <w:top w:val="single" w:sz="4" w:space="0" w:color="000000"/>
              <w:bottom w:val="single" w:sz="4" w:space="0" w:color="000000"/>
            </w:tcBorders>
            <w:shd w:val="clear" w:color="auto" w:fill="FFFFFF"/>
          </w:tcPr>
          <w:p w14:paraId="6272F9C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104</w:t>
            </w:r>
          </w:p>
        </w:tc>
        <w:tc>
          <w:tcPr>
            <w:tcW w:w="6075" w:type="dxa"/>
            <w:tcBorders>
              <w:top w:val="single" w:sz="4" w:space="0" w:color="000000"/>
              <w:bottom w:val="single" w:sz="4" w:space="0" w:color="000000"/>
              <w:right w:val="single" w:sz="4" w:space="0" w:color="000000"/>
            </w:tcBorders>
            <w:shd w:val="clear" w:color="auto" w:fill="FFFFFF"/>
          </w:tcPr>
          <w:p w14:paraId="6FE4CD0F"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prezenta, urmare a examinării scrisorii Ministerului Dezvoltării Economice și Digitalizării nr. 13/1-2033 din 16.06.2026 (intrare nr. 3045 din 16.08.2026) cu privire la avizarea proiectului de lege pentru modificarea unor acte normative (pentru promovarea economiei digitale și a comerțului electronic) (număr unic 629/MDED/2026), în limita competențelor funcționale, se comunică următoarele propuneri.</w:t>
            </w:r>
          </w:p>
          <w:p w14:paraId="379BB82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art. VIII – anul 2023 se propune a se substitui cu anul 2003, întrucât Legea nr. 105 privind protecția consumatorilor a fost adoptată în anul 2003.</w:t>
            </w:r>
          </w:p>
          <w:p w14:paraId="6BF3913E"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n același context, cu referire la argumentele privind necesitatea recuperării de către operatorii economici a unor prejudicii cauzate ca urmare a unor ,,reclamații de rea-credință”, ,,reclamații abuzive”, ,, abuz de drept sau culpă manifestată din partea consumatorului” menționăm că, cadrul național existent deja stabilește modalitatea de recuperare a prejudiciilor, în special la Capitolul II APARIŢIA DREPTURILOR ŞI OBLIGAŢIILOR CIVILE. EXERCITAREA ŞI APĂRAREA DREPTURILOR CIVILE din Codul Civil. Astfel, Codul Civil reglementează la art. 9 alin. (2) că Drepturile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obligațiile civile apar: ...f) în urma cauzării de prejudicii unei alte persoane, la art.11 - Buna credință, la art. 12 - Caracterul rezonabil, la art. 13 - Abuzul de drept (art. 13 alin. (3) Cod civil stabilește expres că: Dacă abuzul de drept a dus la încălcarea dreptului subiectiv al unei alte persoane, aceasta poate cere repararea prejudiciului cauzat), etc. De asemenea, conform art. 15 alin. (1) Cod civil ,,Apărarea drepturilor civile încălcate se face pe cale judiciară”, iar conform art.16 alin. (1) ,,Apărarea dreptului civil se face, în condițiile legii, prin: g) repararea prejudiciului patrimonial și, în cazurile prevăzute de lege, a celui nepatrimonial. Respectiv, considerăm că recuperarea prejudiciilor materiale urmează a fi soluționată exclusiv prin acțiune civilă de către instanțele de judecată, care ar putea fie să admită total, fie parțial (ex. cazurilor în care în instanță se anexează contract/dovada de plată pentru servicii de asistență juridică de ex de 10000 lei, iar instanța admite cererea doar parțial, prin stabilirea unei sume mai mici, de ex de 5000 lei), fie să respingă pretinderea prejudiciului material, în dependență de justificarea cheltuielilor, sau alte condiții obligatorii pentru obținerea despăgubirilor materiale, de existența unor expertize repetate care ar putea fi realizate de către consumatori în caz de dezacord cu expertiza inițială, contraexpertiză sau efectuarea expertizei cu participarea altor experți sau a unor experți asistenți/recomandați, conform normelor generale din Codul de procedură civilă, Legea cu privire la expertiza judiciară, etc</w:t>
            </w:r>
          </w:p>
          <w:p w14:paraId="7A17EDC2" w14:textId="77777777" w:rsidR="00B9643D" w:rsidRDefault="00B9643D"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3091D9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S-a luat act</w:t>
            </w:r>
          </w:p>
          <w:p w14:paraId="0FC11C4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Eroare redacțională</w:t>
            </w:r>
          </w:p>
        </w:tc>
      </w:tr>
      <w:tr w:rsidR="00B9643D" w14:paraId="355BA518" w14:textId="77777777" w:rsidTr="00CA3607">
        <w:tc>
          <w:tcPr>
            <w:tcW w:w="420" w:type="dxa"/>
            <w:shd w:val="clear" w:color="auto" w:fill="FFFFFF"/>
          </w:tcPr>
          <w:p w14:paraId="3A20A0C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0C498E2"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129DE7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105</w:t>
            </w:r>
          </w:p>
        </w:tc>
        <w:tc>
          <w:tcPr>
            <w:tcW w:w="6075" w:type="dxa"/>
            <w:tcBorders>
              <w:top w:val="single" w:sz="4" w:space="0" w:color="000000"/>
              <w:bottom w:val="single" w:sz="4" w:space="0" w:color="000000"/>
              <w:right w:val="single" w:sz="4" w:space="0" w:color="000000"/>
            </w:tcBorders>
            <w:shd w:val="clear" w:color="auto" w:fill="FFFFFF"/>
          </w:tcPr>
          <w:p w14:paraId="1E49005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completarea cu art. 28</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 Legii 105/2003 privind protecția consumatorilor propunem excluderea la alin. (3), din textul ,,Reclamațiile astfel depuse sunt transmise vânzătorului/prestatorului în conformitate cu art. 25 alin. (1) din prezenta lege și se consideră formulate în adresa acestuia” a sintagmei ,,în conformitate cu art.25 alin. (1) din prezenta lege”, din motiv că art. 25 alin. (1) din Legii 105/2003 privind protecția consumatorilor, se referă la o anumită categorie de reclamații (cazurile produselor/serviciilor necorespunzătoare), și pentru care Legea 105/2003, prevede obligația consumatorului de a preda produsul (art. 9 lit. j) din aceiași lege - să </w:t>
            </w:r>
            <w:proofErr w:type="spellStart"/>
            <w:r>
              <w:rPr>
                <w:rFonts w:ascii="Times New Roman" w:eastAsia="Times New Roman" w:hAnsi="Times New Roman" w:cs="Times New Roman"/>
                <w:sz w:val="24"/>
                <w:szCs w:val="24"/>
              </w:rPr>
              <w:t>soluţioneze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reclamaţiile</w:t>
            </w:r>
            <w:proofErr w:type="spellEnd"/>
            <w:r>
              <w:rPr>
                <w:rFonts w:ascii="Times New Roman" w:eastAsia="Times New Roman" w:hAnsi="Times New Roman" w:cs="Times New Roman"/>
                <w:sz w:val="24"/>
                <w:szCs w:val="24"/>
              </w:rPr>
              <w:t xml:space="preserve"> consumatorului într-o perioadă de timp care nu poate </w:t>
            </w:r>
            <w:proofErr w:type="spellStart"/>
            <w:r>
              <w:rPr>
                <w:rFonts w:ascii="Times New Roman" w:eastAsia="Times New Roman" w:hAnsi="Times New Roman" w:cs="Times New Roman"/>
                <w:sz w:val="24"/>
                <w:szCs w:val="24"/>
              </w:rPr>
              <w:t>depăşi</w:t>
            </w:r>
            <w:proofErr w:type="spellEnd"/>
            <w:r>
              <w:rPr>
                <w:rFonts w:ascii="Times New Roman" w:eastAsia="Times New Roman" w:hAnsi="Times New Roman" w:cs="Times New Roman"/>
                <w:sz w:val="24"/>
                <w:szCs w:val="24"/>
              </w:rPr>
              <w:t xml:space="preserve"> 14 zile calendaristice de la data la care consumatorul a adus la </w:t>
            </w:r>
            <w:proofErr w:type="spellStart"/>
            <w:r>
              <w:rPr>
                <w:rFonts w:ascii="Times New Roman" w:eastAsia="Times New Roman" w:hAnsi="Times New Roman" w:cs="Times New Roman"/>
                <w:sz w:val="24"/>
                <w:szCs w:val="24"/>
              </w:rPr>
              <w:t>cunoştinţă</w:t>
            </w:r>
            <w:proofErr w:type="spellEnd"/>
            <w:r>
              <w:rPr>
                <w:rFonts w:ascii="Times New Roman" w:eastAsia="Times New Roman" w:hAnsi="Times New Roman" w:cs="Times New Roman"/>
                <w:sz w:val="24"/>
                <w:szCs w:val="24"/>
              </w:rPr>
              <w:t xml:space="preserve"> vânzătorului neconformitatea produsului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l-a predat vânzătorului ori persoanei desemnate de acesta în baza unui document de predare-primire. </w:t>
            </w:r>
          </w:p>
          <w:p w14:paraId="719F7D92"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pentru cazurile reglementate de art. 25 normele legale stabilesc obligativitatea depunerii reclamației scrise cu predarea bunului (condiție imposibil de realizat prin intermediul platformei online). Mai mult ca atât, în acest context se deduce necesitatea clarificării acestui aspect în normele propuse la art. 28</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 prin excluderea posibilității depunerii reclamațiilor în conformitate cu art. 25 alin. (1) prin intermediul platformelor online. </w:t>
            </w:r>
          </w:p>
          <w:p w14:paraId="0EA1341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Respectiv, considerăm absolut necesară completarea art. 28</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o excepție, care să prevină adresarea prin intermediul platformei a reclamațiilor întemeiate în baza art. 25 alin. (1). Reieșind din cele menționate, considerăm oportun completarea alin. (8), după cum urmează ,,sau cu privire la dreptul de a se adresa organelor abilitate cu funcții de protecție a consumatorilor sau instanțelor de judecată, în condițiile legii”. Or, această precizare este importantă pentru cazurile în care vânzătorul sau prestatorul nu se angajează să utilizeze entități SAL pentru soluționarea litigiului. </w:t>
            </w:r>
          </w:p>
          <w:p w14:paraId="5957248D"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Concluzionând, ISSPNPC susține obiectivul general al proiectului privind dezvoltarea economiei digitale și a comerțului electronic, însă consideră necesară revizuirea dispozițiilor referitoare la Legea nr. 105/2003 privind protecția consumatorilor, întrucât forma propusă riscă să diminueze nivelul de protecție conferit consumatorilor și să creeze dificultăți în aplicarea legislației speciale. </w:t>
            </w:r>
          </w:p>
          <w:p w14:paraId="133E9E9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ISSPNPC recomandă menținerea actualului regim juridic al art. 25, completarea proiectului cu garanții suplimentare pentru consumatori în mediul digital și corelarea acestuia cu cele mai recente acte ale Uniunii Europene în materia serviciilor digitale, siguranței produselor și protecției consumatorilor.</w:t>
            </w:r>
          </w:p>
          <w:p w14:paraId="7F220DC9"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6F4286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5FBD9356" w14:textId="77777777" w:rsidR="00B9643D" w:rsidRDefault="00B9643D" w:rsidP="002E1162">
            <w:pPr>
              <w:jc w:val="both"/>
              <w:rPr>
                <w:rFonts w:ascii="Times New Roman" w:eastAsia="Times New Roman" w:hAnsi="Times New Roman" w:cs="Times New Roman"/>
                <w:sz w:val="24"/>
                <w:szCs w:val="24"/>
              </w:rPr>
            </w:pPr>
          </w:p>
          <w:p w14:paraId="06CA276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 se acceptă propunerea de excludere a posibilității depunerii, prin sistemul intern de soluționare a reclamațiilor, a reclamațiilor întemeiate pe articolul 25 alineatul (1) din Legea nr. 105/2003. Sesizarea neconformității și predarea produsului constituie acte juridice distincte, primul reprezentând manifestarea de voință prin care se formulează reclamația, iar al doilea un act material de executare care condiționează curgerea termenului de soluționare, nu valabilitatea reclamației. Nicio dispoziție a legii nu impune ca sesizarea să fie efectuată în prezența fizică a părților, iar articolul 9 litera j).</w:t>
            </w:r>
          </w:p>
          <w:p w14:paraId="1455859D" w14:textId="77777777" w:rsidR="00B9643D" w:rsidRDefault="00B9643D" w:rsidP="002E1162">
            <w:pPr>
              <w:jc w:val="both"/>
              <w:rPr>
                <w:rFonts w:ascii="Times New Roman" w:eastAsia="Times New Roman" w:hAnsi="Times New Roman" w:cs="Times New Roman"/>
                <w:sz w:val="24"/>
                <w:szCs w:val="24"/>
              </w:rPr>
            </w:pPr>
          </w:p>
          <w:p w14:paraId="2FF3958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acceptă înlăturarea ambiguității sintagmei „în conformitate cu art. 25 alin. (1) din prezenta lege", susceptibilă de interpretări divergente — trimitere la efectele juridice ale reclamației, preluare a unor cerințe de formă ori transfer către furnizorul de servicii de intermediere online al obligațiilor vânzătorului. Ambiguitatea se înlătură prin enunțarea directă a efectelor reclamației electronice, cu păstrarea echivalenței juridice față de reclamația depusă direct, soluție care conservă efectul protectiv al normei, precum și prin clarificarea raportului dintre reclamație și predarea produsului, cu precizarea că predarea se realizează separat, fără a afecta valabilitatea reclamației, termenul prevăzut la articolul 9 litera j) </w:t>
            </w:r>
            <w:r>
              <w:rPr>
                <w:rFonts w:ascii="Times New Roman" w:eastAsia="Times New Roman" w:hAnsi="Times New Roman" w:cs="Times New Roman"/>
                <w:sz w:val="24"/>
                <w:szCs w:val="24"/>
              </w:rPr>
              <w:lastRenderedPageBreak/>
              <w:t>curgând de la data îndeplinirii ambelor condiții (propunerea de la pct. 64 de mai sus).</w:t>
            </w:r>
          </w:p>
          <w:p w14:paraId="65D84854" w14:textId="77777777" w:rsidR="00B9643D" w:rsidRDefault="00B9643D" w:rsidP="002E1162">
            <w:pPr>
              <w:jc w:val="both"/>
              <w:rPr>
                <w:rFonts w:ascii="Times New Roman" w:eastAsia="Times New Roman" w:hAnsi="Times New Roman" w:cs="Times New Roman"/>
                <w:sz w:val="24"/>
                <w:szCs w:val="24"/>
              </w:rPr>
            </w:pPr>
          </w:p>
        </w:tc>
      </w:tr>
      <w:tr w:rsidR="00B9643D" w14:paraId="1D11BA52" w14:textId="77777777" w:rsidTr="00CA3607">
        <w:tc>
          <w:tcPr>
            <w:tcW w:w="420" w:type="dxa"/>
            <w:shd w:val="clear" w:color="auto" w:fill="FFFFFF"/>
          </w:tcPr>
          <w:p w14:paraId="17D956B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7E1ACBD"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7AC8FD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106</w:t>
            </w:r>
          </w:p>
        </w:tc>
        <w:tc>
          <w:tcPr>
            <w:tcW w:w="6075" w:type="dxa"/>
            <w:tcBorders>
              <w:top w:val="single" w:sz="4" w:space="0" w:color="000000"/>
              <w:bottom w:val="single" w:sz="4" w:space="0" w:color="000000"/>
              <w:right w:val="single" w:sz="4" w:space="0" w:color="000000"/>
            </w:tcBorders>
            <w:shd w:val="clear" w:color="auto" w:fill="FFFFFF"/>
          </w:tcPr>
          <w:p w14:paraId="321752B9"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în contextul modificării Legii nr.105/2003 privind protecția consumatorilor, este absolut necesar a face claritate privind modul prin care se recepționează și înregistrează reclamațiile consumatorilor de către vânzători conform art. 9 lit. g). Se menționează că, odată cu eliminarea Registrului de reclamații, s-a creat o mulțime de incertitudini și numai în defavoarea consumatorilor.</w:t>
            </w:r>
          </w:p>
          <w:p w14:paraId="43CD436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 comunică că, în cadrul activităților de control, atât inopinate, cât și planificate, inspectorii Agenției, au constatat interpretări divergente ale agenților economici, </w:t>
            </w:r>
            <w:r>
              <w:rPr>
                <w:rFonts w:ascii="Times New Roman" w:eastAsia="Times New Roman" w:hAnsi="Times New Roman" w:cs="Times New Roman"/>
                <w:b/>
                <w:bCs/>
                <w:sz w:val="24"/>
                <w:szCs w:val="24"/>
              </w:rPr>
              <w:t>referitoare la obligațiile vânzătorului/prestatorului de a recepționa, înregistra și examina reclamațiile consumatorilor depuse în incinta unităților de comerț/unităților de alimentație publică.</w:t>
            </w:r>
            <w:r>
              <w:rPr>
                <w:rFonts w:ascii="Times New Roman" w:eastAsia="Times New Roman" w:hAnsi="Times New Roman" w:cs="Times New Roman"/>
                <w:sz w:val="24"/>
                <w:szCs w:val="24"/>
              </w:rPr>
              <w:t xml:space="preserve"> </w:t>
            </w:r>
          </w:p>
          <w:p w14:paraId="34A05343"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se constată că, mulți comercianți, nu au implementat un sistem de evidență propriu, refuzând să înregistreze, examineze și să ofere numere de înregistrare a reclamațiilor consumatorilor, motivând faptul că obligativitatea deținerii registrului de reclamații, a fost exclusă.</w:t>
            </w:r>
          </w:p>
          <w:p w14:paraId="05A700B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Lipsa unui format standardizat sau a unor criterii clare privind modul de înregistrare (electronic sau manual), împiedică inspectorii în cadrul controalelor oficiale să </w:t>
            </w:r>
            <w:r>
              <w:rPr>
                <w:rFonts w:ascii="Times New Roman" w:eastAsia="Times New Roman" w:hAnsi="Times New Roman" w:cs="Times New Roman"/>
                <w:sz w:val="24"/>
                <w:szCs w:val="24"/>
              </w:rPr>
              <w:lastRenderedPageBreak/>
              <w:t xml:space="preserve">verifice dacă reclamațiile sunt soluționate în termenul legal de 14 zile calendaristice. Comercianții abuzează de această nouă prevedere, nu înregistrează reclamațiile consumatorilor și nu le soluționează, iar în cadrul controalelor neagă existența acestora. </w:t>
            </w:r>
          </w:p>
          <w:p w14:paraId="72D2477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Deși se urmărește diminuarea barierelor administrative, neînregistrarea sau nesoluționarea reclamației rămâne o faptă sancționabilă conform art. 344 alin. (3) lit. a) din Codul Contravențional nr. 218/2008.</w:t>
            </w:r>
          </w:p>
          <w:p w14:paraId="080D614D"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Astfel, se evocă că, Agenția a informat Ministerul Dezvoltării Economice și Digitalizării cu privirea la această lacună legislativă (scrisoare 08-10/1-1162 din 05.03.2026) însă până la moment în cadrul legal nu au fost operate modificări. </w:t>
            </w:r>
          </w:p>
          <w:p w14:paraId="045A8731" w14:textId="77777777" w:rsidR="00B9643D" w:rsidRDefault="00000000" w:rsidP="002E1162">
            <w:pPr>
              <w:pBdr>
                <w:top w:val="nil"/>
                <w:left w:val="nil"/>
                <w:bottom w:val="nil"/>
                <w:right w:val="nil"/>
                <w:between w:val="nil"/>
              </w:pBdr>
              <w:ind w:firstLine="4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Drept urmare, se propune completare art.9 lit. g) din Legea nr.105/2023 cu următoarea propoziție: </w:t>
            </w:r>
            <w:r>
              <w:rPr>
                <w:rFonts w:ascii="Times New Roman" w:eastAsia="Times New Roman" w:hAnsi="Times New Roman" w:cs="Times New Roman"/>
                <w:i/>
                <w:iCs/>
                <w:color w:val="000000"/>
                <w:sz w:val="24"/>
                <w:szCs w:val="24"/>
              </w:rPr>
              <w:t xml:space="preserve">„Vânzătorul este obligat să ofere reclamației un număr și dată de înregistrare și să-i comunice consumatorului în momentul depunerii”. </w:t>
            </w:r>
          </w:p>
          <w:p w14:paraId="099FC4DF" w14:textId="77777777" w:rsidR="00B9643D" w:rsidRDefault="00000000" w:rsidP="002E1162">
            <w:pPr>
              <w:ind w:firstLine="4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lipsa unei asemenea intervenții legislative, consumatorii vor continua să fie vulnerabili și insuficient protejați în exercitarea drepturilor lor.</w:t>
            </w:r>
          </w:p>
          <w:p w14:paraId="20010977" w14:textId="77777777" w:rsidR="002E1162" w:rsidRDefault="002E1162" w:rsidP="002E1162">
            <w:pPr>
              <w:ind w:firstLine="437"/>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2D4E99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tc>
      </w:tr>
      <w:tr w:rsidR="00B9643D" w14:paraId="6CC44B98" w14:textId="77777777" w:rsidTr="00CA3607">
        <w:tc>
          <w:tcPr>
            <w:tcW w:w="420" w:type="dxa"/>
            <w:shd w:val="clear" w:color="auto" w:fill="FFFFFF"/>
          </w:tcPr>
          <w:p w14:paraId="4C25905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81E339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ANTA </w:t>
            </w:r>
          </w:p>
          <w:p w14:paraId="19AD07B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Aviz nr. 02/1-1-3214 din 18.06.2026</w:t>
            </w:r>
          </w:p>
        </w:tc>
        <w:tc>
          <w:tcPr>
            <w:tcW w:w="720" w:type="dxa"/>
            <w:tcBorders>
              <w:top w:val="single" w:sz="4" w:space="0" w:color="000000"/>
              <w:bottom w:val="single" w:sz="4" w:space="0" w:color="000000"/>
            </w:tcBorders>
            <w:shd w:val="clear" w:color="auto" w:fill="FFFFFF"/>
          </w:tcPr>
          <w:p w14:paraId="1E0E8AC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107</w:t>
            </w:r>
          </w:p>
        </w:tc>
        <w:tc>
          <w:tcPr>
            <w:tcW w:w="6075" w:type="dxa"/>
            <w:tcBorders>
              <w:top w:val="single" w:sz="4" w:space="0" w:color="000000"/>
              <w:bottom w:val="single" w:sz="4" w:space="0" w:color="000000"/>
              <w:right w:val="single" w:sz="4" w:space="0" w:color="000000"/>
            </w:tcBorders>
            <w:shd w:val="clear" w:color="auto" w:fill="FFFFFF"/>
          </w:tcPr>
          <w:p w14:paraId="2EEE6861" w14:textId="77777777" w:rsidR="00B9643D" w:rsidRDefault="00B9643D" w:rsidP="002E1162">
            <w:pPr>
              <w:pBdr>
                <w:top w:val="nil"/>
                <w:left w:val="nil"/>
                <w:bottom w:val="nil"/>
                <w:right w:val="nil"/>
                <w:between w:val="nil"/>
              </w:pBdr>
              <w:rPr>
                <w:rFonts w:ascii="Times New Roman" w:eastAsia="Times New Roman" w:hAnsi="Times New Roman" w:cs="Times New Roman"/>
                <w:color w:val="000000"/>
                <w:sz w:val="24"/>
                <w:szCs w:val="24"/>
              </w:rPr>
            </w:pPr>
          </w:p>
          <w:p w14:paraId="0B272FA7" w14:textId="77777777" w:rsidR="00B9643D" w:rsidRDefault="00000000" w:rsidP="002E116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Agenția Națională Transport Auto a examinat, în limita competențelor funcționale, proiectul de lege pentru modificarea unor acte normative, elaborat în scopul promovării economiei digitale și a comerțului electronic (număr unic </w:t>
            </w:r>
            <w:r>
              <w:rPr>
                <w:rFonts w:ascii="Times New Roman" w:eastAsia="Times New Roman" w:hAnsi="Times New Roman" w:cs="Times New Roman"/>
                <w:b/>
                <w:bCs/>
                <w:color w:val="000000"/>
                <w:sz w:val="24"/>
                <w:szCs w:val="24"/>
              </w:rPr>
              <w:t>629/MDED/2026</w:t>
            </w:r>
            <w:r>
              <w:rPr>
                <w:rFonts w:ascii="Times New Roman" w:eastAsia="Times New Roman" w:hAnsi="Times New Roman" w:cs="Times New Roman"/>
                <w:color w:val="000000"/>
                <w:sz w:val="24"/>
                <w:szCs w:val="24"/>
              </w:rPr>
              <w:t xml:space="preserve">), remis spre avizare și înregistrat la Agenție cu nr. 4268 din 16.06.2026. </w:t>
            </w:r>
          </w:p>
          <w:p w14:paraId="795BC80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Urmare a examinării proiectului de lege, a notei de fundamentare, a sintezei obiecțiilor și propunerilor, precum și a tabelului comparativ, comunicăm că prevederile proiectului nu vizează în mod direct domeniul transportului rutier, activitatea operatorilor de transport rutier, regimul de autorizare/licențiere în transportul rutier sau atribuțiile Agenției Naționale Transport Auto.</w:t>
            </w:r>
          </w:p>
          <w:p w14:paraId="51165EE8" w14:textId="77777777" w:rsidR="00B9643D" w:rsidRDefault="00000000" w:rsidP="002E116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Totodată, în contextul dezvoltării comerțului electronic și al serviciilor conexe de livrare a bunurilor, menționăm că activitățile de transport rutier aferente livrării mărfurilor urmează să se desfășoare cu respectarea cadrului normativ aplicabil domeniului transporturilor rutiere, inclusiv a cerințelor privind accesul la activitatea de transport rutier, după caz. </w:t>
            </w:r>
          </w:p>
          <w:p w14:paraId="10290637"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aceste condiții, Agenția Națională Transport Auto </w:t>
            </w:r>
            <w:r>
              <w:rPr>
                <w:rFonts w:ascii="Times New Roman" w:eastAsia="Times New Roman" w:hAnsi="Times New Roman" w:cs="Times New Roman"/>
                <w:b/>
                <w:bCs/>
                <w:sz w:val="24"/>
                <w:szCs w:val="24"/>
              </w:rPr>
              <w:t xml:space="preserve">susține promovarea proiectului de lege </w:t>
            </w:r>
            <w:r>
              <w:rPr>
                <w:rFonts w:ascii="Times New Roman" w:eastAsia="Times New Roman" w:hAnsi="Times New Roman" w:cs="Times New Roman"/>
                <w:sz w:val="24"/>
                <w:szCs w:val="24"/>
              </w:rPr>
              <w:t>și comunică lipsa obiecțiilor și propunerilor asupra acestuia.</w:t>
            </w:r>
          </w:p>
          <w:p w14:paraId="6243CF82"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E7C974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tc>
      </w:tr>
      <w:tr w:rsidR="00B9643D" w14:paraId="44DEA78E" w14:textId="77777777" w:rsidTr="00CA3607">
        <w:tc>
          <w:tcPr>
            <w:tcW w:w="420" w:type="dxa"/>
            <w:shd w:val="clear" w:color="auto" w:fill="FFFFFF"/>
          </w:tcPr>
          <w:p w14:paraId="4194E70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86FC51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Servicii Publice (ASP)</w:t>
            </w:r>
          </w:p>
          <w:p w14:paraId="42E9037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Aviz nr.01/6002 din  29.06.2026</w:t>
            </w:r>
          </w:p>
          <w:p w14:paraId="003776C1"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AD3814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108</w:t>
            </w:r>
          </w:p>
        </w:tc>
        <w:tc>
          <w:tcPr>
            <w:tcW w:w="6075" w:type="dxa"/>
            <w:tcBorders>
              <w:top w:val="single" w:sz="4" w:space="0" w:color="000000"/>
              <w:bottom w:val="single" w:sz="4" w:space="0" w:color="000000"/>
              <w:right w:val="single" w:sz="4" w:space="0" w:color="000000"/>
            </w:tcBorders>
            <w:shd w:val="clear" w:color="auto" w:fill="FFFFFF"/>
          </w:tcPr>
          <w:p w14:paraId="4F12B531"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 urmare a examinării scrisorii Cancelariei de Stat nr. DGPȘG-2242-18-69-1543 din 15 iunie 2026 cu privire la avizarea proiectului de lege pentru modificarea unor acte normative (pentru promovarea economiei digitale și a comerțului electronic) (număr unic 629/MDED/2026), în limita competențelor funcționale, vă comunicăm următoarele:</w:t>
            </w:r>
          </w:p>
          <w:p w14:paraId="1BBDF68A"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La Art. III (Legea nr. 220/2007 privind înregistrarea de stat a persoanelor juridice și a întreprinzătorilor individuali), vă informăm următoarele:</w:t>
            </w:r>
          </w:p>
          <w:p w14:paraId="61A7C88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conformitate cu art. 9 din Legea nr. 220/2007, art. 182 din Codul civil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art.24-25 din Legea nr. 845/1992 cu privire la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întreprinderi, denumirea persoanei juridice este supusă verificării sub aspectul disponibilității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legalității</w:t>
            </w:r>
          </w:p>
          <w:p w14:paraId="7CC4A5F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înainte de înregistrare, iar persoana juridică dobândește drept exclusiv asupra denumirii înregistrate.</w:t>
            </w:r>
          </w:p>
          <w:p w14:paraId="1F1F635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cadrul procedurii de verificare a denumirii, organul înregistrării de stat efectuează examinarea denumirii prin raportare la Registrul de stat al unităților de drept, la drepturile exclusive asupra denumirii deja înregistrate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la alte prevederi</w:t>
            </w:r>
          </w:p>
          <w:p w14:paraId="123321C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legale ce </w:t>
            </w:r>
            <w:proofErr w:type="spellStart"/>
            <w:r>
              <w:rPr>
                <w:rFonts w:ascii="Times New Roman" w:eastAsia="Times New Roman" w:hAnsi="Times New Roman" w:cs="Times New Roman"/>
                <w:sz w:val="24"/>
                <w:szCs w:val="24"/>
              </w:rPr>
              <w:t>ţin</w:t>
            </w:r>
            <w:proofErr w:type="spellEnd"/>
            <w:r>
              <w:rPr>
                <w:rFonts w:ascii="Times New Roman" w:eastAsia="Times New Roman" w:hAnsi="Times New Roman" w:cs="Times New Roman"/>
                <w:sz w:val="24"/>
                <w:szCs w:val="24"/>
              </w:rPr>
              <w:t xml:space="preserve"> de:</w:t>
            </w:r>
          </w:p>
          <w:p w14:paraId="4EA39DF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disponibilitatea denumirii în Registrul de stat al unităților de drept;</w:t>
            </w:r>
          </w:p>
          <w:p w14:paraId="75F0024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respectarea principiului </w:t>
            </w:r>
            <w:proofErr w:type="spellStart"/>
            <w:r>
              <w:rPr>
                <w:rFonts w:ascii="Times New Roman" w:eastAsia="Times New Roman" w:hAnsi="Times New Roman" w:cs="Times New Roman"/>
                <w:sz w:val="24"/>
                <w:szCs w:val="24"/>
              </w:rPr>
              <w:t>distinctivităţii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excluderea riscului de confundare cu denumiri deja înregistrate;</w:t>
            </w:r>
          </w:p>
          <w:p w14:paraId="1394D0D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legalitatea utilizării denumirilor oficiale ale statului, ale </w:t>
            </w:r>
            <w:proofErr w:type="spellStart"/>
            <w:r>
              <w:rPr>
                <w:rFonts w:ascii="Times New Roman" w:eastAsia="Times New Roman" w:hAnsi="Times New Roman" w:cs="Times New Roman"/>
                <w:sz w:val="24"/>
                <w:szCs w:val="24"/>
              </w:rPr>
              <w:t>autorităţilor</w:t>
            </w:r>
            <w:proofErr w:type="spellEnd"/>
            <w:r>
              <w:rPr>
                <w:rFonts w:ascii="Times New Roman" w:eastAsia="Times New Roman" w:hAnsi="Times New Roman" w:cs="Times New Roman"/>
                <w:sz w:val="24"/>
                <w:szCs w:val="24"/>
              </w:rPr>
              <w:t xml:space="preserve"> publice, ale </w:t>
            </w:r>
            <w:proofErr w:type="spellStart"/>
            <w:r>
              <w:rPr>
                <w:rFonts w:ascii="Times New Roman" w:eastAsia="Times New Roman" w:hAnsi="Times New Roman" w:cs="Times New Roman"/>
                <w:sz w:val="24"/>
                <w:szCs w:val="24"/>
              </w:rPr>
              <w:t>organizaţiilor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internaţionale</w:t>
            </w:r>
            <w:proofErr w:type="spellEnd"/>
            <w:r>
              <w:rPr>
                <w:rFonts w:ascii="Times New Roman" w:eastAsia="Times New Roman" w:hAnsi="Times New Roman" w:cs="Times New Roman"/>
                <w:sz w:val="24"/>
                <w:szCs w:val="24"/>
              </w:rPr>
              <w:t>, numele persoanelor notorii;</w:t>
            </w:r>
          </w:p>
          <w:p w14:paraId="4F1D6B0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respectarea drepturilor de proprietate intelectuală, inclusiv a drepturilor asupra mărcilor înregistrate;</w:t>
            </w:r>
          </w:p>
          <w:p w14:paraId="36A0B77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corelarea denumirii cu genurile de activitate pentru care </w:t>
            </w:r>
            <w:proofErr w:type="spellStart"/>
            <w:r>
              <w:rPr>
                <w:rFonts w:ascii="Times New Roman" w:eastAsia="Times New Roman" w:hAnsi="Times New Roman" w:cs="Times New Roman"/>
                <w:sz w:val="24"/>
                <w:szCs w:val="24"/>
              </w:rPr>
              <w:t>legislaţia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stabileşte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cerinţe</w:t>
            </w:r>
            <w:proofErr w:type="spellEnd"/>
            <w:r>
              <w:rPr>
                <w:rFonts w:ascii="Times New Roman" w:eastAsia="Times New Roman" w:hAnsi="Times New Roman" w:cs="Times New Roman"/>
                <w:sz w:val="24"/>
                <w:szCs w:val="24"/>
              </w:rPr>
              <w:t xml:space="preserve"> speciale privind utilizarea anumitor termeni sau expresii, inclusiv verificarea dreptului solicitantului de a utiliza în denumire cuvinte precum: “bancă”, “</w:t>
            </w:r>
            <w:proofErr w:type="spellStart"/>
            <w:r>
              <w:rPr>
                <w:rFonts w:ascii="Times New Roman" w:eastAsia="Times New Roman" w:hAnsi="Times New Roman" w:cs="Times New Roman"/>
                <w:sz w:val="24"/>
                <w:szCs w:val="24"/>
              </w:rPr>
              <w:t>organizaţie</w:t>
            </w:r>
            <w:proofErr w:type="spellEnd"/>
            <w:r>
              <w:rPr>
                <w:rFonts w:ascii="Times New Roman" w:eastAsia="Times New Roman" w:hAnsi="Times New Roman" w:cs="Times New Roman"/>
                <w:sz w:val="24"/>
                <w:szCs w:val="24"/>
              </w:rPr>
              <w:t xml:space="preserve"> de creditare nebancară”, “lombard”, “asigurare”, “</w:t>
            </w:r>
            <w:proofErr w:type="spellStart"/>
            <w:r>
              <w:rPr>
                <w:rFonts w:ascii="Times New Roman" w:eastAsia="Times New Roman" w:hAnsi="Times New Roman" w:cs="Times New Roman"/>
                <w:sz w:val="24"/>
                <w:szCs w:val="24"/>
              </w:rPr>
              <w:t>microfinanţare</w:t>
            </w:r>
            <w:proofErr w:type="spellEnd"/>
            <w:r>
              <w:rPr>
                <w:rFonts w:ascii="Times New Roman" w:eastAsia="Times New Roman" w:hAnsi="Times New Roman" w:cs="Times New Roman"/>
                <w:sz w:val="24"/>
                <w:szCs w:val="24"/>
              </w:rPr>
              <w:t xml:space="preserve">”, “audit”, “bursă”, “fond de </w:t>
            </w:r>
            <w:proofErr w:type="spellStart"/>
            <w:r>
              <w:rPr>
                <w:rFonts w:ascii="Times New Roman" w:eastAsia="Times New Roman" w:hAnsi="Times New Roman" w:cs="Times New Roman"/>
                <w:sz w:val="24"/>
                <w:szCs w:val="24"/>
              </w:rPr>
              <w:t>investiţii</w:t>
            </w:r>
            <w:proofErr w:type="spellEnd"/>
            <w:r>
              <w:rPr>
                <w:rFonts w:ascii="Times New Roman" w:eastAsia="Times New Roman" w:hAnsi="Times New Roman" w:cs="Times New Roman"/>
                <w:sz w:val="24"/>
                <w:szCs w:val="24"/>
              </w:rPr>
              <w:t xml:space="preserve">” sau alte denumiri a căror folosire este rezervată, limitată ori </w:t>
            </w:r>
            <w:proofErr w:type="spellStart"/>
            <w:r>
              <w:rPr>
                <w:rFonts w:ascii="Times New Roman" w:eastAsia="Times New Roman" w:hAnsi="Times New Roman" w:cs="Times New Roman"/>
                <w:sz w:val="24"/>
                <w:szCs w:val="24"/>
              </w:rPr>
              <w:t>condiţionată</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obţinerea</w:t>
            </w:r>
            <w:proofErr w:type="spellEnd"/>
            <w:r>
              <w:rPr>
                <w:rFonts w:ascii="Times New Roman" w:eastAsia="Times New Roman" w:hAnsi="Times New Roman" w:cs="Times New Roman"/>
                <w:sz w:val="24"/>
                <w:szCs w:val="24"/>
              </w:rPr>
              <w:t xml:space="preserve"> unei </w:t>
            </w:r>
            <w:proofErr w:type="spellStart"/>
            <w:r>
              <w:rPr>
                <w:rFonts w:ascii="Times New Roman" w:eastAsia="Times New Roman" w:hAnsi="Times New Roman" w:cs="Times New Roman"/>
                <w:sz w:val="24"/>
                <w:szCs w:val="24"/>
              </w:rPr>
              <w:t>autorizaţii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licenţe</w:t>
            </w:r>
            <w:proofErr w:type="spellEnd"/>
            <w:r>
              <w:rPr>
                <w:rFonts w:ascii="Times New Roman" w:eastAsia="Times New Roman" w:hAnsi="Times New Roman" w:cs="Times New Roman"/>
                <w:sz w:val="24"/>
                <w:szCs w:val="24"/>
              </w:rPr>
              <w:t xml:space="preserve">, aviz sau de </w:t>
            </w:r>
            <w:proofErr w:type="spellStart"/>
            <w:r>
              <w:rPr>
                <w:rFonts w:ascii="Times New Roman" w:eastAsia="Times New Roman" w:hAnsi="Times New Roman" w:cs="Times New Roman"/>
                <w:sz w:val="24"/>
                <w:szCs w:val="24"/>
              </w:rPr>
              <w:t>deţinerea</w:t>
            </w:r>
            <w:proofErr w:type="spellEnd"/>
            <w:r>
              <w:rPr>
                <w:rFonts w:ascii="Times New Roman" w:eastAsia="Times New Roman" w:hAnsi="Times New Roman" w:cs="Times New Roman"/>
                <w:sz w:val="24"/>
                <w:szCs w:val="24"/>
              </w:rPr>
              <w:t xml:space="preserve"> unui statut juridic special, conform </w:t>
            </w:r>
            <w:proofErr w:type="spellStart"/>
            <w:r>
              <w:rPr>
                <w:rFonts w:ascii="Times New Roman" w:eastAsia="Times New Roman" w:hAnsi="Times New Roman" w:cs="Times New Roman"/>
                <w:sz w:val="24"/>
                <w:szCs w:val="24"/>
              </w:rPr>
              <w:t>legislaţiei</w:t>
            </w:r>
            <w:proofErr w:type="spellEnd"/>
            <w:r>
              <w:rPr>
                <w:rFonts w:ascii="Times New Roman" w:eastAsia="Times New Roman" w:hAnsi="Times New Roman" w:cs="Times New Roman"/>
                <w:sz w:val="24"/>
                <w:szCs w:val="24"/>
              </w:rPr>
              <w:t xml:space="preserve"> în vigoare;</w:t>
            </w:r>
          </w:p>
          <w:p w14:paraId="4EAB906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alte aspecte stabilite de cadrul normativ special, inclusiv al persoanelor juridice cu scop nelucrativ.</w:t>
            </w:r>
          </w:p>
          <w:p w14:paraId="26D0558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verificarea corectitudinii lingvistice a denumirilor este o procedură obligatorie înainte de înregistrarea de stat a unei companii. Aceasta are ca scop asigurarea respectării normelor limbii române, protejarea patrimoniului lingvistic și</w:t>
            </w:r>
          </w:p>
          <w:p w14:paraId="216EE5A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evitarea denumirilor inadecvate sau derutante pentru consumatori.</w:t>
            </w:r>
          </w:p>
          <w:p w14:paraId="366D12E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cadrul acestui proces, specialiștii analizează respectarea normelor gramaticale și ortografice:</w:t>
            </w:r>
          </w:p>
          <w:p w14:paraId="117C177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Ortografia corectă: Se verifică scrierea corectă a cuvintelor conform normelor Academiei Române;</w:t>
            </w:r>
          </w:p>
          <w:p w14:paraId="609C21D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Acordul gramatical: Termenii care compun denumirea trebuie să respecte regulile de gen, număr și caz ale limbii române;</w:t>
            </w:r>
          </w:p>
          <w:p w14:paraId="60CC16F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Punctuație standard: Se urmărește utilizarea corectă a semnelor de punctuație sau a simbolurilor permise.</w:t>
            </w:r>
          </w:p>
          <w:p w14:paraId="109AE3D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cadrului normativ art. 9 alin. (4) din Legea nr. 220/2007, denumirea persoanei juridice include, în limba română, forma de organizare juridică. Totuși, în denumire pot fi utilizate cuvinte din alte limbi, cu condiția ca acestea să fie transcrise cu caractere latine.</w:t>
            </w:r>
          </w:p>
          <w:p w14:paraId="2123999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În cadrul procedurii de transliterare a denumirii se examinează corectitudinea redării caracterelor dintr-un alfabet în altul, asigurarea păstrării </w:t>
            </w:r>
            <w:proofErr w:type="spellStart"/>
            <w:r>
              <w:rPr>
                <w:rFonts w:ascii="Times New Roman" w:eastAsia="Times New Roman" w:hAnsi="Times New Roman" w:cs="Times New Roman"/>
                <w:sz w:val="24"/>
                <w:szCs w:val="24"/>
              </w:rPr>
              <w:t>identităţii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distinctivităţii</w:t>
            </w:r>
            <w:proofErr w:type="spellEnd"/>
            <w:r>
              <w:rPr>
                <w:rFonts w:ascii="Times New Roman" w:eastAsia="Times New Roman" w:hAnsi="Times New Roman" w:cs="Times New Roman"/>
                <w:sz w:val="24"/>
                <w:szCs w:val="24"/>
              </w:rPr>
              <w:t xml:space="preserve"> denumirii, evitarea denaturării sensului sau a </w:t>
            </w:r>
            <w:proofErr w:type="spellStart"/>
            <w:r>
              <w:rPr>
                <w:rFonts w:ascii="Times New Roman" w:eastAsia="Times New Roman" w:hAnsi="Times New Roman" w:cs="Times New Roman"/>
                <w:sz w:val="24"/>
                <w:szCs w:val="24"/>
              </w:rPr>
              <w:t>pronunţiei</w:t>
            </w:r>
            <w:proofErr w:type="spellEnd"/>
            <w:r>
              <w:rPr>
                <w:rFonts w:ascii="Times New Roman" w:eastAsia="Times New Roman" w:hAnsi="Times New Roman" w:cs="Times New Roman"/>
                <w:sz w:val="24"/>
                <w:szCs w:val="24"/>
              </w:rPr>
              <w:t xml:space="preserve"> acesteia, precum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prevenirea </w:t>
            </w:r>
            <w:proofErr w:type="spellStart"/>
            <w:r>
              <w:rPr>
                <w:rFonts w:ascii="Times New Roman" w:eastAsia="Times New Roman" w:hAnsi="Times New Roman" w:cs="Times New Roman"/>
                <w:sz w:val="24"/>
                <w:szCs w:val="24"/>
              </w:rPr>
              <w:t>apariţiei</w:t>
            </w:r>
            <w:proofErr w:type="spellEnd"/>
            <w:r>
              <w:rPr>
                <w:rFonts w:ascii="Times New Roman" w:eastAsia="Times New Roman" w:hAnsi="Times New Roman" w:cs="Times New Roman"/>
                <w:sz w:val="24"/>
                <w:szCs w:val="24"/>
              </w:rPr>
              <w:t xml:space="preserve"> unor similitudini ori confuzii cu denumiri deja înregistrare în RSUD.</w:t>
            </w:r>
          </w:p>
          <w:p w14:paraId="6DC7A0E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Deși alfabetul chirilic modern este adaptat pentru limbile slave (</w:t>
            </w:r>
            <w:proofErr w:type="spellStart"/>
            <w:r>
              <w:rPr>
                <w:rFonts w:ascii="Times New Roman" w:eastAsia="Times New Roman" w:hAnsi="Times New Roman" w:cs="Times New Roman"/>
                <w:sz w:val="24"/>
                <w:szCs w:val="24"/>
              </w:rPr>
              <w:t>belarusă,bulgară</w:t>
            </w:r>
            <w:proofErr w:type="spellEnd"/>
            <w:r>
              <w:rPr>
                <w:rFonts w:ascii="Times New Roman" w:eastAsia="Times New Roman" w:hAnsi="Times New Roman" w:cs="Times New Roman"/>
                <w:sz w:val="24"/>
                <w:szCs w:val="24"/>
              </w:rPr>
              <w:t>, rusă, ucraineană), transliterarea acestor caractere în caractere latine trebuie să se facă strict conform normelor și regulilor stabilite în standardele oficiale. Practica</w:t>
            </w:r>
          </w:p>
          <w:p w14:paraId="1E73909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demonstrează că majoritatea denumirilor solicitate din alte limbi sunt transliterate incorect, fapt ce necesită intervenția directă a unui specialist terminolog.</w:t>
            </w:r>
          </w:p>
          <w:p w14:paraId="527F856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verificarea și transliterarea termenilor străini se au în vedere următoarele aspecte:</w:t>
            </w:r>
          </w:p>
          <w:p w14:paraId="012E1E0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Cuvintele străine sau inventate: Neologismele sau termenii preluați din alte limbi (de exemplu, din engleză) sunt analizați pentru a garanta că respectă scrierea corectă din limba de origine și că pot fi integrați fonetic.</w:t>
            </w:r>
          </w:p>
          <w:p w14:paraId="6143E42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Evitarea abuzului de jargon și a cuvintelor vulgare: Sunt respinse denumirile care conțin termeni licențioși, argouri ofensatoare, cuvinte vulgare sau expresii care contravin normelor de etică și morală publică.</w:t>
            </w:r>
          </w:p>
          <w:p w14:paraId="0494FA6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ciuda acestor criterii clare, mecanismul tehnic și pașii exacți prin care se va desfășura această procedură de verificare, în regim online pe portalul oficial al ASP, rămân în prezent neclarificați.</w:t>
            </w:r>
          </w:p>
          <w:p w14:paraId="6255EF0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de menționat că Legea nr. 220/2007 conține norme generale aplicabile pentru toate persoanele juridice, inclusiv pentru persoanele juridice cu scop nelucrativ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nu stabilește pentru acestea o procedură de înregistrare distinctă, inclusiv la verificarea denumirii. În acest sens, organul înregistrării de stat verifică conformitatea denumirii nu doar cu regulile generale privind disponibilitatea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distinctivitatea</w:t>
            </w:r>
            <w:proofErr w:type="spellEnd"/>
            <w:r>
              <w:rPr>
                <w:rFonts w:ascii="Times New Roman" w:eastAsia="Times New Roman" w:hAnsi="Times New Roman" w:cs="Times New Roman"/>
                <w:sz w:val="24"/>
                <w:szCs w:val="24"/>
              </w:rPr>
              <w:t xml:space="preserve"> acesteia, ci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cu prevederile legislației specifice aplicabile anumitor categorii de organizații necomerciale: partidelor politice, </w:t>
            </w:r>
            <w:r>
              <w:rPr>
                <w:rFonts w:ascii="Times New Roman" w:eastAsia="Times New Roman" w:hAnsi="Times New Roman" w:cs="Times New Roman"/>
                <w:sz w:val="24"/>
                <w:szCs w:val="24"/>
              </w:rPr>
              <w:lastRenderedPageBreak/>
              <w:t xml:space="preserve">cultelor religioase, sindicatelor, patronatelor, federațiilor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altor </w:t>
            </w:r>
            <w:proofErr w:type="spellStart"/>
            <w:r>
              <w:rPr>
                <w:rFonts w:ascii="Times New Roman" w:eastAsia="Times New Roman" w:hAnsi="Times New Roman" w:cs="Times New Roman"/>
                <w:sz w:val="24"/>
                <w:szCs w:val="24"/>
              </w:rPr>
              <w:t>entităţi</w:t>
            </w:r>
            <w:proofErr w:type="spellEnd"/>
            <w:r>
              <w:rPr>
                <w:rFonts w:ascii="Times New Roman" w:eastAsia="Times New Roman" w:hAnsi="Times New Roman" w:cs="Times New Roman"/>
                <w:sz w:val="24"/>
                <w:szCs w:val="24"/>
              </w:rPr>
              <w:t>.</w:t>
            </w:r>
          </w:p>
          <w:p w14:paraId="15BF6AD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Examinarea acestor aspecte necesită efectuarea unor verificări juridice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tehnice complexe, care depășesc simpla constatare a existenței sau inexistenței unei denumiri identice în Registrul de stat al unităților de drept.</w:t>
            </w:r>
          </w:p>
          <w:p w14:paraId="6B733DC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cele expuse în Nota de fundamentare precum că antreprenorii sunt obligați să achite taxa de verificare și rezervare pentru fiecare tentativă, fără a avea acces la un instrument online gratuit care să permită verificarea preliminară a disponibilității denumirii în Registrul de stat al unităților de drept, este de menționat că modulul “Verificarea și rezervarea denumirii” din Sistemul informațional ,,Registrul de stat al unităților de drept” (SI RSUD):</w:t>
            </w:r>
          </w:p>
          <w:p w14:paraId="3F16F76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permite verificarea unei singure variante de denumire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numai după achitarea taxelor necesare;</w:t>
            </w:r>
          </w:p>
          <w:p w14:paraId="6F1E161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nu are posibilitatea verificării preliminare a disponibilității denumirii;</w:t>
            </w:r>
          </w:p>
          <w:p w14:paraId="70424AD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în cazul în care documentele pentru înregistrarea de stat se depun de către solicitant în condițiile art. 8 alin. (1) lit. b) (la sediul organului înregistrării de stat pe suport de hârtie), solicitantul este obligat să verifice online disponibilitatea denumirii până la depunerea efectivă a documentelor, din motivul că solicitantul vine cu actele perfectate care conțin inclusiv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denumirea. Respectiv, verificarea denumirii la</w:t>
            </w:r>
          </w:p>
          <w:p w14:paraId="3A3F10A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ghișeu este imposibilă, ce contravine prevederilor actuale ale art. 9 alin. (7) din Legea nr.220/2007, iar propunerile de modificare în proiect nu vor putea fi implementate.</w:t>
            </w:r>
          </w:p>
          <w:p w14:paraId="206F713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Astfel, considerăm oportun de a dezvolta modul “Verificarea și rezervarea denumirii” din Sistemul informațional ,,Registrul de stat al unităților de drept” în vederea oferirii posibilității depunerii cererii cu posibilitatea indicării a 3 variante de denumiri în ordine preferențială, crearea posibilității verificării preliminare, cât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verificarea disponibilității denumirii la ghișeu.</w:t>
            </w:r>
          </w:p>
          <w:p w14:paraId="6E57704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Verificarea și rezervarea denumirii este un serviciu cu plată, mărimea taxei de 71 de lei stabilită în anexa la Legea </w:t>
            </w:r>
            <w:r>
              <w:rPr>
                <w:rFonts w:ascii="Times New Roman" w:eastAsia="Times New Roman" w:hAnsi="Times New Roman" w:cs="Times New Roman"/>
                <w:sz w:val="24"/>
                <w:szCs w:val="24"/>
              </w:rPr>
              <w:lastRenderedPageBreak/>
              <w:t>nr.220/2007 privind înregistrarea de stat a persoanelor juridice și a întreprinzătorilor individuali și 100 de lei pentru aprobarea</w:t>
            </w:r>
          </w:p>
          <w:p w14:paraId="2B7AFBB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acesteia sub aspectul corectitudinii lingvistice conform Anexei nr.2 la Hotărârea Guvernului nr.966/2020 cu privire la serviciile prestate de către Agenția Servicii Publice.</w:t>
            </w:r>
          </w:p>
          <w:p w14:paraId="281807B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Taxa de 71 de lei pentru verificarea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rezervarea denumirii a fost stabilită în anul 2007, în condițiile economice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financiare existente la acel moment diferit de cel actual. Menținerea aceluiași cuantum confirmă caracterul moderat al taxei.</w:t>
            </w:r>
          </w:p>
          <w:p w14:paraId="3CED5FC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Taxele percepute au drept scop doar acoperirea parțială a cheltuielilor administrative generate de prestarea serviciilor publice vizate.</w:t>
            </w:r>
          </w:p>
          <w:p w14:paraId="797F729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Din considerentele expuse supra, Agenția Servicii Publice nu susține, de principiu, propunerile de la Art. III din proiect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consideră imperativ păstrarea taxelor pentru acoperirea cheltuielilor administrative, iar cele invocate de autor în Nota de fundamentare vor decădea odată cu efectuarea modificărilor necesare la modulul “Verificarea și rezervarea denumirii” din Sistemul informațional ,,Registrul de stat al</w:t>
            </w:r>
          </w:p>
          <w:p w14:paraId="0456D85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unităților de drept” .</w:t>
            </w:r>
          </w:p>
          <w:p w14:paraId="295CC269" w14:textId="77777777" w:rsidR="002E1162" w:rsidRDefault="002E1162"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69AF3C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618838D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Textul se reformulează astfel încât etapa gratuită să vizeze exclusiv verificarea preliminară a disponibilității denumirii în Registrul de stat al unităților de drept, operațiune realizabilă automatizat, </w:t>
            </w:r>
            <w:proofErr w:type="spellStart"/>
            <w:r>
              <w:rPr>
                <w:rFonts w:ascii="Times New Roman" w:eastAsia="Times New Roman" w:hAnsi="Times New Roman" w:cs="Times New Roman"/>
                <w:sz w:val="24"/>
                <w:szCs w:val="24"/>
              </w:rPr>
              <w:t>distinctivitatea</w:t>
            </w:r>
            <w:proofErr w:type="spellEnd"/>
            <w:r>
              <w:rPr>
                <w:rFonts w:ascii="Times New Roman" w:eastAsia="Times New Roman" w:hAnsi="Times New Roman" w:cs="Times New Roman"/>
                <w:sz w:val="24"/>
                <w:szCs w:val="24"/>
              </w:rPr>
              <w:t xml:space="preserve"> și conformitatea lingvistică rămânând în sfera serviciului prestat contra plată.</w:t>
            </w:r>
          </w:p>
          <w:p w14:paraId="41F99ED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acceptă, totodată, observația privind trimiterea eronată la art. 8 alin. (1) lit. a), ipoteza depunerii documentelor pe suport de hârtie la sediul organului înregistrării de stat fiind reglementată la lit. b) a aceluiași alineat. Trimiterea se corectează în mod corespunzător.</w:t>
            </w:r>
          </w:p>
          <w:p w14:paraId="204F9F4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Propunere de inclus în proiectul de lege:</w:t>
            </w:r>
          </w:p>
          <w:p w14:paraId="299E6CB1" w14:textId="77777777" w:rsidR="00B9643D" w:rsidRDefault="00B9643D" w:rsidP="002E1162">
            <w:pPr>
              <w:jc w:val="both"/>
              <w:rPr>
                <w:rFonts w:ascii="Times New Roman" w:eastAsia="Times New Roman" w:hAnsi="Times New Roman" w:cs="Times New Roman"/>
                <w:sz w:val="24"/>
                <w:szCs w:val="24"/>
              </w:rPr>
            </w:pPr>
          </w:p>
          <w:p w14:paraId="3DBC8C7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 III pct. 1 se expune în următoarea redacție:</w:t>
            </w:r>
          </w:p>
          <w:p w14:paraId="05661DC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La articolul 9, alineatul (7) va avea următorul cuprins:</w:t>
            </w:r>
          </w:p>
          <w:p w14:paraId="399145F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Anterior înregistrării persoanei juridice, solicitantul beneficiază de posibilitatea verificării preliminare gratuite, în regim online, pe portalul oficial al Agenției, a </w:t>
            </w:r>
            <w:r>
              <w:rPr>
                <w:rFonts w:ascii="Times New Roman" w:eastAsia="Times New Roman" w:hAnsi="Times New Roman" w:cs="Times New Roman"/>
                <w:sz w:val="24"/>
                <w:szCs w:val="24"/>
              </w:rPr>
              <w:lastRenderedPageBreak/>
              <w:t>disponibilității denumirii propuse în Registrul de stat al unităților de drept. Solicitantul poate indica până la trei variante de denumire, în ordine preferențială. Verificarea preliminară are caracter informativ și nu produce efectul rezervării denumirii.</w:t>
            </w:r>
          </w:p>
          <w:p w14:paraId="1536EDE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(7¹) Verificarea denumirii sub aspectul </w:t>
            </w:r>
            <w:proofErr w:type="spellStart"/>
            <w:r>
              <w:rPr>
                <w:rFonts w:ascii="Times New Roman" w:eastAsia="Times New Roman" w:hAnsi="Times New Roman" w:cs="Times New Roman"/>
                <w:sz w:val="24"/>
                <w:szCs w:val="24"/>
              </w:rPr>
              <w:t>distinctivității</w:t>
            </w:r>
            <w:proofErr w:type="spellEnd"/>
            <w:r>
              <w:rPr>
                <w:rFonts w:ascii="Times New Roman" w:eastAsia="Times New Roman" w:hAnsi="Times New Roman" w:cs="Times New Roman"/>
                <w:sz w:val="24"/>
                <w:szCs w:val="24"/>
              </w:rPr>
              <w:t xml:space="preserve"> și al conformității lingvistice, precum și rezervarea acesteia, se efectuează de organul înregistrării de stat la cererea solicitantului, în condițiile prezentei legi. Taxa pentru rezervarea denumirii se percepe doar în cazul confirmării posibilității rezervării.</w:t>
            </w:r>
          </w:p>
          <w:p w14:paraId="77526FF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(7²) În cazul în care documentele pentru înregistrarea de stat se depun de către solicitant în condițiile art. 8 alin. (1) lit. b), verificarea disponibilității denumirii se asigură inclusiv la sediul organului înregistrării de stat, la momentul depunerii documentelor."</w:t>
            </w:r>
          </w:p>
          <w:p w14:paraId="309E52E3" w14:textId="77777777" w:rsidR="00B9643D" w:rsidRDefault="00B9643D" w:rsidP="002E1162">
            <w:pPr>
              <w:jc w:val="both"/>
              <w:rPr>
                <w:rFonts w:ascii="Times New Roman" w:eastAsia="Times New Roman" w:hAnsi="Times New Roman" w:cs="Times New Roman"/>
                <w:sz w:val="24"/>
                <w:szCs w:val="24"/>
              </w:rPr>
            </w:pPr>
          </w:p>
        </w:tc>
      </w:tr>
      <w:tr w:rsidR="00B9643D" w14:paraId="737B4E4D" w14:textId="77777777" w:rsidTr="00CA3607">
        <w:tc>
          <w:tcPr>
            <w:tcW w:w="420" w:type="dxa"/>
            <w:shd w:val="clear" w:color="auto" w:fill="FFFFFF"/>
          </w:tcPr>
          <w:p w14:paraId="2CCECB4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45A2536"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152531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109</w:t>
            </w:r>
          </w:p>
        </w:tc>
        <w:tc>
          <w:tcPr>
            <w:tcW w:w="6075" w:type="dxa"/>
            <w:tcBorders>
              <w:top w:val="single" w:sz="4" w:space="0" w:color="000000"/>
              <w:bottom w:val="single" w:sz="4" w:space="0" w:color="000000"/>
              <w:right w:val="single" w:sz="4" w:space="0" w:color="000000"/>
            </w:tcBorders>
            <w:shd w:val="clear" w:color="auto" w:fill="FFFFFF"/>
          </w:tcPr>
          <w:p w14:paraId="2E4AAEB0"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La pct. 4 din Art. VI (Legea nr.308/2017 cu privire la prevenirea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combaterea spălării banilor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finanţării</w:t>
            </w:r>
            <w:proofErr w:type="spellEnd"/>
            <w:r>
              <w:rPr>
                <w:rFonts w:ascii="Times New Roman" w:eastAsia="Times New Roman" w:hAnsi="Times New Roman" w:cs="Times New Roman"/>
                <w:sz w:val="24"/>
                <w:szCs w:val="24"/>
              </w:rPr>
              <w:t xml:space="preserve"> terorismului) al proiectului de lege se propune substituirea sintagmei „registrele publice” cu sintagma „registrele de publicitate” , întrucât aceasta corespunde terminologiei reglementate de Codul civil.</w:t>
            </w:r>
          </w:p>
        </w:tc>
        <w:tc>
          <w:tcPr>
            <w:tcW w:w="4530" w:type="dxa"/>
            <w:tcBorders>
              <w:top w:val="single" w:sz="4" w:space="0" w:color="000000"/>
              <w:bottom w:val="single" w:sz="4" w:space="0" w:color="000000"/>
              <w:right w:val="single" w:sz="4" w:space="0" w:color="000000"/>
            </w:tcBorders>
            <w:shd w:val="clear" w:color="auto" w:fill="FFFFFF"/>
          </w:tcPr>
          <w:p w14:paraId="021C702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1807565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Art. VI pct. 4, în textul propus pentru art. 5² alineatul (3), sintagma „registrele publice" se substituie cu sintagma „Registrul de stat al unităților de drept și Registrul </w:t>
            </w:r>
            <w:proofErr w:type="spellStart"/>
            <w:r>
              <w:rPr>
                <w:rFonts w:ascii="Times New Roman" w:eastAsia="Times New Roman" w:hAnsi="Times New Roman" w:cs="Times New Roman"/>
                <w:sz w:val="24"/>
                <w:szCs w:val="24"/>
              </w:rPr>
              <w:t>fiduciilor</w:t>
            </w:r>
            <w:proofErr w:type="spellEnd"/>
            <w:r>
              <w:rPr>
                <w:rFonts w:ascii="Times New Roman" w:eastAsia="Times New Roman" w:hAnsi="Times New Roman" w:cs="Times New Roman"/>
                <w:sz w:val="24"/>
                <w:szCs w:val="24"/>
              </w:rPr>
              <w:t xml:space="preserve"> și construcțiilor juridice similare". </w:t>
            </w:r>
          </w:p>
          <w:p w14:paraId="1D918A82" w14:textId="77777777" w:rsidR="00B9643D" w:rsidRDefault="00B9643D" w:rsidP="002E1162">
            <w:pPr>
              <w:jc w:val="both"/>
              <w:rPr>
                <w:rFonts w:ascii="Times New Roman" w:eastAsia="Times New Roman" w:hAnsi="Times New Roman" w:cs="Times New Roman"/>
                <w:b/>
                <w:bCs/>
                <w:sz w:val="24"/>
                <w:szCs w:val="24"/>
              </w:rPr>
            </w:pPr>
          </w:p>
        </w:tc>
      </w:tr>
      <w:tr w:rsidR="00B9643D" w14:paraId="34A40209" w14:textId="77777777" w:rsidTr="00CA3607">
        <w:tc>
          <w:tcPr>
            <w:tcW w:w="420" w:type="dxa"/>
            <w:shd w:val="clear" w:color="auto" w:fill="FFFFFF"/>
          </w:tcPr>
          <w:p w14:paraId="5C77DF3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DBA91D9"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97A285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110</w:t>
            </w:r>
          </w:p>
        </w:tc>
        <w:tc>
          <w:tcPr>
            <w:tcW w:w="6075" w:type="dxa"/>
            <w:tcBorders>
              <w:top w:val="single" w:sz="4" w:space="0" w:color="000000"/>
              <w:bottom w:val="single" w:sz="4" w:space="0" w:color="000000"/>
              <w:right w:val="single" w:sz="4" w:space="0" w:color="000000"/>
            </w:tcBorders>
            <w:shd w:val="clear" w:color="auto" w:fill="FFFFFF"/>
          </w:tcPr>
          <w:p w14:paraId="5E6B85C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La pct. 1 din Art. VII (Legea nr. 174/2021 privind mecanismul de examinare a investițiilor de importanță pentru securitatea statului) al proiectului de lege se propune completarea art. 2 cu noțiunea „tehnologie critică”:</w:t>
            </w:r>
          </w:p>
          <w:p w14:paraId="5DF7DEDC"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Noțiunea propusă conține o trimitere largă la Recomandarea Comisiei Europene C(2023) 6689 din 3 octombrie 2023, precum și la „actele ulterioare de modificare </w:t>
            </w:r>
            <w:r>
              <w:rPr>
                <w:rFonts w:ascii="Times New Roman" w:eastAsia="Times New Roman" w:hAnsi="Times New Roman" w:cs="Times New Roman"/>
                <w:sz w:val="24"/>
                <w:szCs w:val="24"/>
              </w:rPr>
              <w:lastRenderedPageBreak/>
              <w:t>sau înlocuire ale acesteia”. O asemenea formulare poate genera incertitudine juridică în aplicarea Legii nr. 174/2021 privind mecanismul de examinare a investițiilor de importanță pentru securitatea statului, întrucât sfera noțiunii de „tehnologie critică” ar putea fi modificată indirect, prin acte normative UE adoptate ulterior, fără o transpunere clară în legislația națională.</w:t>
            </w:r>
          </w:p>
          <w:p w14:paraId="092D8746"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sens, considerăm necesară revizuirea redacției noțiunii, astfel încât definiția să corespundă exigențelor de claritate și aplicabilitate a normei juridice, iar referințele la actele Uniunii Europene să fie utilizate ca repere de aliniere și</w:t>
            </w:r>
          </w:p>
          <w:p w14:paraId="58858AA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interpretare, fără a crea o preluare automată și nedeterminată a unor modificări ulterioare.</w:t>
            </w:r>
          </w:p>
          <w:p w14:paraId="32AB4ABE" w14:textId="77777777" w:rsidR="002E1162" w:rsidRDefault="002E1162"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05F2B5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0E0EC462" w14:textId="77777777" w:rsidR="00B9643D" w:rsidRDefault="00B9643D" w:rsidP="002E1162">
            <w:pPr>
              <w:jc w:val="both"/>
              <w:rPr>
                <w:rFonts w:ascii="Times New Roman" w:eastAsia="Times New Roman" w:hAnsi="Times New Roman" w:cs="Times New Roman"/>
                <w:b/>
                <w:bCs/>
                <w:sz w:val="24"/>
                <w:szCs w:val="24"/>
              </w:rPr>
            </w:pPr>
          </w:p>
          <w:p w14:paraId="6790AF5A" w14:textId="77777777" w:rsidR="00B9643D" w:rsidRDefault="00000000" w:rsidP="002E116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Modificarea se va ajusta în baza observațiilor ASP și ATIC.</w:t>
            </w:r>
          </w:p>
        </w:tc>
      </w:tr>
      <w:tr w:rsidR="00B9643D" w14:paraId="5A45CEC6" w14:textId="77777777" w:rsidTr="00CA3607">
        <w:tc>
          <w:tcPr>
            <w:tcW w:w="420" w:type="dxa"/>
            <w:shd w:val="clear" w:color="auto" w:fill="FFFFFF"/>
          </w:tcPr>
          <w:p w14:paraId="12EEF42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41950AF"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A39459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111</w:t>
            </w:r>
          </w:p>
        </w:tc>
        <w:tc>
          <w:tcPr>
            <w:tcW w:w="6075" w:type="dxa"/>
            <w:tcBorders>
              <w:top w:val="single" w:sz="4" w:space="0" w:color="000000"/>
              <w:bottom w:val="single" w:sz="4" w:space="0" w:color="000000"/>
              <w:right w:val="single" w:sz="4" w:space="0" w:color="000000"/>
            </w:tcBorders>
            <w:shd w:val="clear" w:color="auto" w:fill="FFFFFF"/>
          </w:tcPr>
          <w:p w14:paraId="522F304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La pct. 2 din Art. VII (Legea nr. 174/2021 privind mecanismul de examinare a investițiilor de importanță pentru securitatea statului) al proiectului de lege se propune modificarea art. 4 lit. b). </w:t>
            </w:r>
          </w:p>
          <w:p w14:paraId="44517CA8" w14:textId="77777777" w:rsidR="00B9643D" w:rsidRDefault="00000000" w:rsidP="002E1162">
            <w:pPr>
              <w:ind w:firstLine="3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Apreciem oportună revizuirea redacției art. 4 lit. b) din Legea nr. 174/2021, astfel încât domeniul tehnologiilor informaționale să fie menținut ca domeniu de importanță pentru securitatea statului. În acest sens, norma urmează să reflecte distinct securitatea cibernetică/infrastructurile digitale (sistemele de procesare, stocare, transfer și protecție a datelor), precum și alte componente tehnologice cu impact asupra securității statului. Or, domeniul securității cibernetice are o relevanță transversală și nu poate fi limitat la infrastructura energetică critică sau la regimul produselor cu dublă utilizare.</w:t>
            </w:r>
          </w:p>
          <w:p w14:paraId="775C1B1C" w14:textId="77777777" w:rsidR="002E1162" w:rsidRDefault="002E1162" w:rsidP="002E1162">
            <w:pPr>
              <w:ind w:firstLine="378"/>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389030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ia act.</w:t>
            </w:r>
          </w:p>
        </w:tc>
      </w:tr>
      <w:tr w:rsidR="00B9643D" w14:paraId="7E26205F" w14:textId="77777777" w:rsidTr="00CA3607">
        <w:tc>
          <w:tcPr>
            <w:tcW w:w="420" w:type="dxa"/>
            <w:shd w:val="clear" w:color="auto" w:fill="FFFFFF"/>
          </w:tcPr>
          <w:p w14:paraId="431A7AB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9E290D3"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3DAE06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112</w:t>
            </w:r>
          </w:p>
        </w:tc>
        <w:tc>
          <w:tcPr>
            <w:tcW w:w="6075" w:type="dxa"/>
            <w:tcBorders>
              <w:top w:val="single" w:sz="4" w:space="0" w:color="000000"/>
              <w:bottom w:val="single" w:sz="4" w:space="0" w:color="000000"/>
              <w:right w:val="single" w:sz="4" w:space="0" w:color="000000"/>
            </w:tcBorders>
            <w:shd w:val="clear" w:color="auto" w:fill="FFFFFF"/>
          </w:tcPr>
          <w:p w14:paraId="6EDF523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Cu referire la pct. 3 din Art. VII (Legea nr. 174/2021 privind mecanismul de examinare a investițiilor de importanță pentru securitatea statului) privind completarea art. 4 cu alin. (2), privind utilizarea codurilor CAEM:</w:t>
            </w:r>
          </w:p>
          <w:p w14:paraId="0860F0E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Considerăm că introducerea unei norme potrivit căreia codurile din Clasificatorul activităților din economia </w:t>
            </w:r>
            <w:r>
              <w:rPr>
                <w:rFonts w:ascii="Times New Roman" w:eastAsia="Times New Roman" w:hAnsi="Times New Roman" w:cs="Times New Roman"/>
                <w:sz w:val="24"/>
                <w:szCs w:val="24"/>
              </w:rPr>
              <w:lastRenderedPageBreak/>
              <w:t>Moldovei se utilizează, chiar și „cu titlu orientativ”, pentru identificarea activităților prevăzute la art. 4 alin. (1), este de natură să creeze confuzii în aplicarea Legii nr. 174/2021 și să restrângă nejustificat mecanismul de examinare a investițiilor de importanță pentru securitatea statului.</w:t>
            </w:r>
          </w:p>
          <w:p w14:paraId="0A0786B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Legea nr. 174/2021 nu are ca obiect examinarea formală a codurilor de activitate declarate de o persoană juridică, ci examinarea investițiilor realizate în domenii de importanță pentru securitatea statului, prin raportare la natura activității</w:t>
            </w:r>
          </w:p>
          <w:p w14:paraId="5DC90E4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efective. În practică, o persoană juridică poate desfășura sau poate intenționa să desfășoare activități în domeniile prevăzute de art. 4 din Legea prenotată fără ca acestea să fie reflectate în mod corespunzător prin codurile CAEM declarate în statutul societății. Totodată, anumite activități investiționale pot viza active, tehnologii, infrastructuri, capacități operaționale, drepturi contractuale sau participații</w:t>
            </w:r>
          </w:p>
          <w:p w14:paraId="053578D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care generează riscuri pentru securitatea statului, chiar dacă acestea nu rezultă direct din codurile CAEM al entității vizate. Prin urmare, includerea codurilor CAEM în textul Legii nr. 174/2021 nu este justificată nici din perspectiva scopului legii, nici din perspectiva practicilor europene și internaționale în domeniu.</w:t>
            </w:r>
          </w:p>
          <w:p w14:paraId="6F686DD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plus, formularea propusă, potrivit căreia codurile CAEM se utilizează „fără a extinde sfera de aplicare a prezentei legi”, poate genera interpretări restrictive (nu produce un efect juridic necesar în lege) și litigii privind competența autorității de a examina anumite investiții. La fel, utilizarea codurilor CAEM în textul legii ar putea crea premise pentru eludarea mecanismului de examinare, prin omiterea includerii unor coduri relevante și prin declararea unor coduri generale sau prin neactualizarea obiectului de activitate. În materia investițiilor de importanță pentru securitatea statului, asemenea elemente formale nu trebuie să limiteze competența autorităților de a examina o investiție atunci când aceasta vizează, în fapt, un domeniu reglementat de art. 4 din Legea nr. 174/2021.</w:t>
            </w:r>
          </w:p>
          <w:p w14:paraId="1449FC3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Adițional, informăm că, în cooperare cu Delegația Uniunii Europene, a fost contractat un expert din Uniunea Europeană, cu care se colaborează în vederea analizării și elaborării unor propuneri de îmbunătățire a cadrului normativ aferent Legii nr. 174/2021, inclusiv din perspectiva alinierii la standardele și practicile relevante ale Uniunii Europene. În acest context, urmează să fi întreprinse demersurile procedurale necesare pentru inițierea procesului de modificare și ajustare a Legii</w:t>
            </w:r>
          </w:p>
          <w:p w14:paraId="755D853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menționate.</w:t>
            </w:r>
          </w:p>
          <w:p w14:paraId="1FCDB5B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4530" w:type="dxa"/>
            <w:tcBorders>
              <w:top w:val="single" w:sz="4" w:space="0" w:color="000000"/>
              <w:bottom w:val="single" w:sz="4" w:space="0" w:color="000000"/>
              <w:right w:val="single" w:sz="4" w:space="0" w:color="000000"/>
            </w:tcBorders>
            <w:shd w:val="clear" w:color="auto" w:fill="FFFFFF"/>
          </w:tcPr>
          <w:p w14:paraId="31C1738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65796BB6" w14:textId="77777777" w:rsidR="00B9643D" w:rsidRDefault="00B9643D" w:rsidP="002E1162">
            <w:pPr>
              <w:jc w:val="both"/>
              <w:rPr>
                <w:rFonts w:ascii="Times New Roman" w:eastAsia="Times New Roman" w:hAnsi="Times New Roman" w:cs="Times New Roman"/>
                <w:b/>
                <w:bCs/>
                <w:sz w:val="24"/>
                <w:szCs w:val="24"/>
              </w:rPr>
            </w:pPr>
          </w:p>
        </w:tc>
      </w:tr>
      <w:tr w:rsidR="00B9643D" w14:paraId="57B550D8" w14:textId="77777777" w:rsidTr="00CA3607">
        <w:tc>
          <w:tcPr>
            <w:tcW w:w="420" w:type="dxa"/>
            <w:shd w:val="clear" w:color="auto" w:fill="FFFFFF"/>
          </w:tcPr>
          <w:p w14:paraId="17B4D50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F5C177A"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AFD58D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113</w:t>
            </w:r>
          </w:p>
        </w:tc>
        <w:tc>
          <w:tcPr>
            <w:tcW w:w="6075" w:type="dxa"/>
            <w:tcBorders>
              <w:top w:val="single" w:sz="4" w:space="0" w:color="000000"/>
              <w:bottom w:val="single" w:sz="4" w:space="0" w:color="000000"/>
              <w:right w:val="single" w:sz="4" w:space="0" w:color="000000"/>
            </w:tcBorders>
            <w:shd w:val="clear" w:color="auto" w:fill="FFFFFF"/>
          </w:tcPr>
          <w:p w14:paraId="44453E4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intervenim cu propunerea de a expune art.6 alin. (1) lit. b) din Legea nr. 174/2021 în următoarea redacție: </w:t>
            </w:r>
            <w:r>
              <w:rPr>
                <w:rFonts w:ascii="Times New Roman" w:eastAsia="Times New Roman" w:hAnsi="Times New Roman" w:cs="Times New Roman"/>
                <w:i/>
                <w:iCs/>
                <w:sz w:val="24"/>
                <w:szCs w:val="24"/>
              </w:rPr>
              <w:t>,, b) în privința cărora organele responsabile ale statului dețin probe și informații documentate că au fost sau sunt implicate în acțiuni sau inacțiuni care prezintă un pericol pentru securitatea statului</w:t>
            </w:r>
            <w:r>
              <w:rPr>
                <w:rFonts w:ascii="Times New Roman" w:eastAsia="Times New Roman" w:hAnsi="Times New Roman" w:cs="Times New Roman"/>
                <w:sz w:val="24"/>
                <w:szCs w:val="24"/>
              </w:rPr>
              <w:t>”, luând în considerare faptul că Legea securității statului nr. 618/1995 a fost abrogată prin Legea nr. 249/2025 privind securitatea națională a Republicii Moldova</w:t>
            </w:r>
          </w:p>
        </w:tc>
        <w:tc>
          <w:tcPr>
            <w:tcW w:w="4530" w:type="dxa"/>
            <w:tcBorders>
              <w:top w:val="single" w:sz="4" w:space="0" w:color="000000"/>
              <w:bottom w:val="single" w:sz="4" w:space="0" w:color="000000"/>
              <w:right w:val="single" w:sz="4" w:space="0" w:color="000000"/>
            </w:tcBorders>
            <w:shd w:val="clear" w:color="auto" w:fill="FFFFFF"/>
          </w:tcPr>
          <w:p w14:paraId="2F737A1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7C1FC30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VII se completează cu punctul 4, cu următorul cuprins:</w:t>
            </w:r>
          </w:p>
          <w:p w14:paraId="698AF63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La articolul 6 alineatul (1), litera b) va avea următorul cuprins:</w:t>
            </w:r>
          </w:p>
          <w:p w14:paraId="13142E7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în privința cărora organele responsabile ale statului dețin probe și informații documentate că au fost sau sunt implicate în acțiuni sau inacțiuni care prezintă un pericol pentru securitatea statului;"</w:t>
            </w:r>
          </w:p>
          <w:p w14:paraId="08484615" w14:textId="77777777" w:rsidR="00B9643D" w:rsidRDefault="00B9643D" w:rsidP="002E1162">
            <w:pPr>
              <w:jc w:val="both"/>
              <w:rPr>
                <w:rFonts w:ascii="Times New Roman" w:eastAsia="Times New Roman" w:hAnsi="Times New Roman" w:cs="Times New Roman"/>
                <w:b/>
                <w:bCs/>
                <w:sz w:val="24"/>
                <w:szCs w:val="24"/>
              </w:rPr>
            </w:pPr>
          </w:p>
        </w:tc>
      </w:tr>
      <w:tr w:rsidR="00B9643D" w14:paraId="512AEBA1" w14:textId="77777777" w:rsidTr="00CA3607">
        <w:tc>
          <w:tcPr>
            <w:tcW w:w="420" w:type="dxa"/>
            <w:shd w:val="clear" w:color="auto" w:fill="FFFFFF"/>
          </w:tcPr>
          <w:p w14:paraId="61EB57A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C8F15D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Congresul Autorităților Locale din Moldova </w:t>
            </w:r>
          </w:p>
          <w:p w14:paraId="3846717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nr.229 din 25.06.2026</w:t>
            </w:r>
          </w:p>
        </w:tc>
        <w:tc>
          <w:tcPr>
            <w:tcW w:w="720" w:type="dxa"/>
            <w:tcBorders>
              <w:top w:val="single" w:sz="4" w:space="0" w:color="000000"/>
              <w:bottom w:val="single" w:sz="4" w:space="0" w:color="000000"/>
            </w:tcBorders>
            <w:shd w:val="clear" w:color="auto" w:fill="FFFFFF"/>
          </w:tcPr>
          <w:p w14:paraId="017C96B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114</w:t>
            </w:r>
          </w:p>
        </w:tc>
        <w:tc>
          <w:tcPr>
            <w:tcW w:w="6075" w:type="dxa"/>
            <w:tcBorders>
              <w:top w:val="single" w:sz="4" w:space="0" w:color="000000"/>
              <w:bottom w:val="single" w:sz="4" w:space="0" w:color="000000"/>
              <w:right w:val="single" w:sz="4" w:space="0" w:color="000000"/>
            </w:tcBorders>
            <w:shd w:val="clear" w:color="auto" w:fill="FFFFFF"/>
          </w:tcPr>
          <w:p w14:paraId="23AE96D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Congresul Autorităților Locale din Moldova (CALM) a examinat adresarea Cancelariei de Stat a Republicii Moldova nr. DGPȘG-2242-18-69-1543 din 15.06.2026, privind avizarea proiectului de lege pentru modificarea unor acte normative (pentru promovarea economiei digitale și a comerțului electronic) (număr unic 629/MDED/2026), și comunică următoarele.</w:t>
            </w:r>
          </w:p>
          <w:p w14:paraId="7BDD7DF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Referitor la Art. II (Codul fiscal nr. 1163/1997 (…), cu modificările ulterioare, se modifică după cum urmează: 3. Articolul 291 alin. (1) lit. e) se completează cu următoarea propoziție: „Taxa pentru unitățile comerciale și/sau de prestări servicii nu se aplică unităților comerciale de comerț cu amănuntul prin intermediul caselor de comenzi sau prin internet, care desfășoară activitatea de comerț electronic fără a dispune de suprafață comercială”): </w:t>
            </w:r>
          </w:p>
          <w:p w14:paraId="7B36331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în legătură cu diminuarea veniturilor la bugetele locale prin modificarea propusă, este necesară completarea proiectului cu o normă care să echilibreze aceste pierderi. În acest sens,</w:t>
            </w:r>
          </w:p>
          <w:p w14:paraId="6954324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considerăm oportună și propunem completarea proiectului cu mecanismul care să prevadă ca o parte din taxa pe valoare adăugată și din impozitul pe venit al persoanelor juridice să fie transferate în bugetele locale ale unităților administrativ-teritoriale pe teritoriul cărora au fost realizate veniturile respective.</w:t>
            </w:r>
          </w:p>
          <w:p w14:paraId="07B5D45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CALM consideră că pentru asigurarea autonomiei financiare și decizionale locale reale, al cărei rol este accentuat și sporit de contextul reformei preconizate, proiectul necesită modificarea sus-menționată până la promovarea acestuia în procedura legislativă.</w:t>
            </w:r>
          </w:p>
          <w:p w14:paraId="5E1AD8E3" w14:textId="77777777" w:rsidR="00CA3607" w:rsidRDefault="00CA3607"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6FF74A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 în cadrul prezentului proiect. Se ia act de preocupare, cu recomandarea examinării pe platforma Ministerului Finanțelor.</w:t>
            </w:r>
          </w:p>
        </w:tc>
      </w:tr>
      <w:tr w:rsidR="00B9643D" w14:paraId="0A283EF9" w14:textId="77777777" w:rsidTr="00CA3607">
        <w:tc>
          <w:tcPr>
            <w:tcW w:w="420" w:type="dxa"/>
            <w:shd w:val="clear" w:color="auto" w:fill="FFFFFF"/>
          </w:tcPr>
          <w:p w14:paraId="769E6BD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69BBD3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Inspectoratul național pentru Supraveghere Tehnic</w:t>
            </w:r>
          </w:p>
          <w:p w14:paraId="0FB7DEE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 4358/26 din 25.06.2026</w:t>
            </w:r>
          </w:p>
        </w:tc>
        <w:tc>
          <w:tcPr>
            <w:tcW w:w="720" w:type="dxa"/>
            <w:tcBorders>
              <w:top w:val="single" w:sz="4" w:space="0" w:color="000000"/>
              <w:bottom w:val="single" w:sz="4" w:space="0" w:color="000000"/>
            </w:tcBorders>
            <w:shd w:val="clear" w:color="auto" w:fill="FFFFFF"/>
          </w:tcPr>
          <w:p w14:paraId="1BEEDC3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115</w:t>
            </w:r>
          </w:p>
        </w:tc>
        <w:tc>
          <w:tcPr>
            <w:tcW w:w="6075" w:type="dxa"/>
            <w:tcBorders>
              <w:top w:val="single" w:sz="4" w:space="0" w:color="000000"/>
              <w:bottom w:val="single" w:sz="4" w:space="0" w:color="000000"/>
              <w:right w:val="single" w:sz="4" w:space="0" w:color="000000"/>
            </w:tcBorders>
            <w:shd w:val="clear" w:color="auto" w:fill="FFFFFF"/>
          </w:tcPr>
          <w:p w14:paraId="3A4990A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Urmare examinării proiectului de lege pentru modificarea unor acte normative (pentru promovarea economiei digitale și a comerțului electronic), remis spre avizare, precum și a notei de fundamentare, sintezei obiecțiilor și propunerilor și tabelului comparativ aferente, Inspectoratul Național pentru Supraveghere Tehnică comunică că susține proiectul de lege și îl avizează pozitiv, fără obiecții și propuneri.</w:t>
            </w:r>
          </w:p>
          <w:p w14:paraId="35823E4F" w14:textId="77777777" w:rsidR="00CA3607" w:rsidRDefault="00CA3607"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09D35D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 luat act</w:t>
            </w:r>
          </w:p>
        </w:tc>
      </w:tr>
      <w:tr w:rsidR="00B9643D" w14:paraId="69F7B5C7" w14:textId="77777777" w:rsidTr="00CA3607">
        <w:tc>
          <w:tcPr>
            <w:tcW w:w="420" w:type="dxa"/>
            <w:shd w:val="clear" w:color="auto" w:fill="FFFFFF"/>
          </w:tcPr>
          <w:p w14:paraId="4504883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9EA4A7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Medicamentului și Dispozitivelor Medicale</w:t>
            </w:r>
          </w:p>
          <w:p w14:paraId="0C37C90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nr.RG02-3371 din 01.07.2026</w:t>
            </w:r>
          </w:p>
        </w:tc>
        <w:tc>
          <w:tcPr>
            <w:tcW w:w="720" w:type="dxa"/>
            <w:tcBorders>
              <w:top w:val="single" w:sz="4" w:space="0" w:color="000000"/>
              <w:bottom w:val="single" w:sz="4" w:space="0" w:color="000000"/>
            </w:tcBorders>
            <w:shd w:val="clear" w:color="auto" w:fill="FFFFFF"/>
          </w:tcPr>
          <w:p w14:paraId="5328709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116</w:t>
            </w:r>
          </w:p>
        </w:tc>
        <w:tc>
          <w:tcPr>
            <w:tcW w:w="6075" w:type="dxa"/>
            <w:tcBorders>
              <w:top w:val="single" w:sz="4" w:space="0" w:color="000000"/>
              <w:bottom w:val="single" w:sz="4" w:space="0" w:color="000000"/>
              <w:right w:val="single" w:sz="4" w:space="0" w:color="000000"/>
            </w:tcBorders>
            <w:shd w:val="clear" w:color="auto" w:fill="FFFFFF"/>
          </w:tcPr>
          <w:p w14:paraId="5174BA5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prezenta, Agenția Medicamentului și Dispozitivelor Medicale a examinat proiectul de lege pentru modificarea unor acte normative (pentru promovarea economiei digitale și a comerțului electronic) (număr unic 629/MDED/2026).</w:t>
            </w:r>
          </w:p>
          <w:p w14:paraId="6F2ACC9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limita competențelor funcționale atribuite, AMDM nu are propuneri sau obiecții asupra proiectului examinat și susține promovarea acestuia în redacția propusă.</w:t>
            </w:r>
          </w:p>
          <w:p w14:paraId="061D286C" w14:textId="77777777" w:rsidR="00CA3607" w:rsidRDefault="00CA3607"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7A46D0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 luat act</w:t>
            </w:r>
          </w:p>
        </w:tc>
      </w:tr>
      <w:tr w:rsidR="00B9643D" w14:paraId="3399E507" w14:textId="77777777" w:rsidTr="00CA3607">
        <w:tc>
          <w:tcPr>
            <w:tcW w:w="420" w:type="dxa"/>
            <w:shd w:val="clear" w:color="auto" w:fill="FFFFFF"/>
          </w:tcPr>
          <w:p w14:paraId="5F05866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201377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Națională pentru Sănătate Publică</w:t>
            </w:r>
          </w:p>
          <w:p w14:paraId="33B8BBB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nr.01-24/3-3554 din 29.06.2026</w:t>
            </w:r>
          </w:p>
        </w:tc>
        <w:tc>
          <w:tcPr>
            <w:tcW w:w="720" w:type="dxa"/>
            <w:tcBorders>
              <w:top w:val="single" w:sz="4" w:space="0" w:color="000000"/>
              <w:bottom w:val="single" w:sz="4" w:space="0" w:color="000000"/>
            </w:tcBorders>
            <w:shd w:val="clear" w:color="auto" w:fill="FFFFFF"/>
          </w:tcPr>
          <w:p w14:paraId="510681B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117</w:t>
            </w:r>
          </w:p>
        </w:tc>
        <w:tc>
          <w:tcPr>
            <w:tcW w:w="6075" w:type="dxa"/>
            <w:tcBorders>
              <w:top w:val="single" w:sz="4" w:space="0" w:color="000000"/>
              <w:bottom w:val="single" w:sz="4" w:space="0" w:color="000000"/>
              <w:right w:val="single" w:sz="4" w:space="0" w:color="000000"/>
            </w:tcBorders>
            <w:shd w:val="clear" w:color="auto" w:fill="FFFFFF"/>
          </w:tcPr>
          <w:p w14:paraId="65D7E4E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Agenția Națională pentru Sănătate Publică a examinat, în limita competențelor funcționale, proiectul de lege pentru modificarea unor acte normative, elaborat în scopul promovării economiei digitale și a comerțului electronic, număr unic 629/MDED/2026. Urmare examinării materialelor prezentate, comunicăm că Agenția Națională </w:t>
            </w:r>
            <w:r>
              <w:rPr>
                <w:rFonts w:ascii="Times New Roman" w:eastAsia="Times New Roman" w:hAnsi="Times New Roman" w:cs="Times New Roman"/>
                <w:sz w:val="24"/>
                <w:szCs w:val="24"/>
              </w:rPr>
              <w:lastRenderedPageBreak/>
              <w:t>pentru Sănătate Publică nu are obiecții și propuneri asupra proiectului menționat.</w:t>
            </w:r>
          </w:p>
          <w:p w14:paraId="01AC588D" w14:textId="77777777" w:rsidR="00CA3607" w:rsidRDefault="00CA3607"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BCDDCB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S-a luat act</w:t>
            </w:r>
          </w:p>
        </w:tc>
      </w:tr>
      <w:tr w:rsidR="00B9643D" w14:paraId="04329CDA" w14:textId="77777777" w:rsidTr="00CA3607">
        <w:tc>
          <w:tcPr>
            <w:tcW w:w="420" w:type="dxa"/>
            <w:shd w:val="clear" w:color="auto" w:fill="FFFFFF"/>
          </w:tcPr>
          <w:p w14:paraId="31F4080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9E496C8" w14:textId="77777777" w:rsidR="00B9643D" w:rsidRDefault="00000000" w:rsidP="002E1162">
            <w:pPr>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AmCham</w:t>
            </w:r>
            <w:proofErr w:type="spellEnd"/>
            <w:r>
              <w:rPr>
                <w:rFonts w:ascii="Times New Roman" w:eastAsia="Times New Roman" w:hAnsi="Times New Roman" w:cs="Times New Roman"/>
                <w:b/>
                <w:bCs/>
                <w:sz w:val="24"/>
                <w:szCs w:val="24"/>
              </w:rPr>
              <w:t xml:space="preserve"> Moldova</w:t>
            </w:r>
          </w:p>
          <w:p w14:paraId="5179773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nr.88 din 25.06.2026</w:t>
            </w:r>
          </w:p>
        </w:tc>
        <w:tc>
          <w:tcPr>
            <w:tcW w:w="720" w:type="dxa"/>
            <w:tcBorders>
              <w:top w:val="single" w:sz="4" w:space="0" w:color="000000"/>
              <w:bottom w:val="single" w:sz="4" w:space="0" w:color="000000"/>
            </w:tcBorders>
            <w:shd w:val="clear" w:color="auto" w:fill="FFFFFF"/>
          </w:tcPr>
          <w:p w14:paraId="3BE006F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118</w:t>
            </w:r>
          </w:p>
        </w:tc>
        <w:tc>
          <w:tcPr>
            <w:tcW w:w="6075" w:type="dxa"/>
            <w:tcBorders>
              <w:top w:val="single" w:sz="4" w:space="0" w:color="000000"/>
              <w:bottom w:val="single" w:sz="4" w:space="0" w:color="000000"/>
              <w:right w:val="single" w:sz="4" w:space="0" w:color="000000"/>
            </w:tcBorders>
            <w:shd w:val="clear" w:color="auto" w:fill="FFFFFF"/>
          </w:tcPr>
          <w:p w14:paraId="1C775D1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Urmare a examinării Proiectului de lege pentru modificarea unor acte normative pentru promovarea economiei digitale și a comerțului electronic, intervenim cu următoarele:</w:t>
            </w:r>
          </w:p>
          <w:p w14:paraId="2A39FEE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1.Reglementarea arhivării electronice și distrugerea documentelor pe suport de hârtie după digitizare</w:t>
            </w:r>
          </w:p>
          <w:p w14:paraId="0DF5112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introduce posibilitatea utilizării serviciilor de arhivă electronică prestate de furnizori calificați pentru păstrarea documentelor electronice și recunoaște expres faptul că documentele păstrate în arhive electronice sunt considerate păstrate în conformitate cu legislația arhivistică, cu respectarea unor standarde minime de integritate, autenticitate, disponibilitate și trasabilitate. Totodată, proiectul reglementează posibilitatea distrugerii documentelor pe suport de hârtie după digitizarea conformă a acestora, cu excepția documentelor cu termen permanent de păstrare și a celor care fac parte din Fondul Arhivistic al Republicii Moldova. Procedura urmează să fie detaliată prin acte normative subsecvente.</w:t>
            </w:r>
          </w:p>
          <w:p w14:paraId="0D9FDD36"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Potrivit notei de fundamentare, intervenția legislativă urmărește eliminarea costurilor semnificative generate de arhivarea fizică, reducerea obligației de menținere a arhivelor paralele (fizice și electronice), recunoașterea utilizării soluțiilor moderne de arhivare electronică și crearea unui cadru care să permită dezvoltarea serviciilor private de arhivare digitală, în paralel cu implementarea Sistemului informațional „e-Arhiva”. De asemenea, autorii evidențiază necesitatea de a depăși limitările actuale ale Legii nr. 880/1992, care nu reglementează suficient regimul documentelor digitalizate și distrugerea originalelor pe suport de hârtie.</w:t>
            </w:r>
          </w:p>
          <w:p w14:paraId="48F62481" w14:textId="77777777" w:rsidR="00B9643D" w:rsidRDefault="00000000" w:rsidP="002E1162">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AmCham</w:t>
            </w:r>
            <w:proofErr w:type="spellEnd"/>
            <w:r>
              <w:rPr>
                <w:rFonts w:ascii="Times New Roman" w:eastAsia="Times New Roman" w:hAnsi="Times New Roman" w:cs="Times New Roman"/>
                <w:sz w:val="24"/>
                <w:szCs w:val="24"/>
              </w:rPr>
              <w:t xml:space="preserve"> Moldova salută faptul că proiectul preia, în esență, o serie de preocupări formulate anterior de comunitatea noastră de afaceri privind necesitatea eliminării obligației de menținere a arhivelor paralele și crearea unui cadru funcțional </w:t>
            </w:r>
            <w:r>
              <w:rPr>
                <w:rFonts w:ascii="Times New Roman" w:eastAsia="Times New Roman" w:hAnsi="Times New Roman" w:cs="Times New Roman"/>
                <w:sz w:val="24"/>
                <w:szCs w:val="24"/>
              </w:rPr>
              <w:lastRenderedPageBreak/>
              <w:t>pentru arhivarea electronică pe termen pe care o consideră un pas important în direcția digitalizării complete a ciclului de viață al documentelor în mediul de afaceri. Propunerea răspunde unei preocupări constante a comunității de afaceri privind costurile ridicate asociate păstrării arhivelor fizice și lipsa unui mecanism clar, recunoscut și uniform aplicabil pentru arhivarea pe termen lung a documentelor electronice.</w:t>
            </w:r>
          </w:p>
          <w:p w14:paraId="25E3321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considerăm că proiectul reprezintă doar primul pas al reformei și necesită completarea printr-un cadru normativ primar și secundar suficient de clar și predictibil, care să ofere mediului de afaceri certitudinea că documentele arhivate electronic vor beneficia de aceeași recunoaștere juridică și probatorie ca documentele pe suport de hârtie.</w:t>
            </w:r>
          </w:p>
          <w:p w14:paraId="1804A1C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recomandăm:</w:t>
            </w:r>
          </w:p>
          <w:p w14:paraId="04BEFC7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revizuirea și actualizarea cadrului normativ secundar, inclusiv a Indicatorului documentelor-tip și al termenelor de păstrare, pentru eliminarea oricăror interpretări care ar putea impune păstrarea fizică a documentelor;</w:t>
            </w:r>
          </w:p>
          <w:p w14:paraId="2DE89C1A" w14:textId="77777777" w:rsidR="00B9643D" w:rsidRDefault="00000000" w:rsidP="002E1162">
            <w:pPr>
              <w:numPr>
                <w:ilvl w:val="0"/>
                <w:numId w:val="4"/>
              </w:numPr>
              <w:ind w:firstLine="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stabilirea unor cerințe tehnice clare privind validarea pe termen lung, utilizarea mărcilor temporale, trasabilitatea accesului, backup-ul și recuperarea datelor; </w:t>
            </w:r>
          </w:p>
          <w:p w14:paraId="4FB96BBC" w14:textId="77777777" w:rsidR="00B9643D" w:rsidRDefault="00000000" w:rsidP="002E1162">
            <w:pPr>
              <w:numPr>
                <w:ilvl w:val="0"/>
                <w:numId w:val="4"/>
              </w:numPr>
              <w:ind w:firstLine="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reglementarea expresă a modului în care documentele arhivate electronic vor putea fi prezentate și acceptate în cadrul controalelor fiscale, vamale, al auditului și al altor proceduri administrative; </w:t>
            </w:r>
          </w:p>
          <w:p w14:paraId="1766E06B" w14:textId="77777777" w:rsidR="00B9643D" w:rsidRDefault="00000000" w:rsidP="002E1162">
            <w:pPr>
              <w:numPr>
                <w:ilvl w:val="0"/>
                <w:numId w:val="4"/>
              </w:numPr>
              <w:ind w:firstLine="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asigurarea interoperabilității dintre soluțiile private de arhivare electronică și viitorul Sistem informațional „Arhiva electronică”; </w:t>
            </w:r>
          </w:p>
          <w:p w14:paraId="60BC2988" w14:textId="77777777" w:rsidR="00B9643D" w:rsidRDefault="00000000" w:rsidP="002E1162">
            <w:pPr>
              <w:numPr>
                <w:ilvl w:val="0"/>
                <w:numId w:val="4"/>
              </w:numPr>
              <w:ind w:firstLine="1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evaluarea oportunității instituirii unui mecanism clar și transparent de acreditare sau certificare a furnizorilor de servicii de arhivare electronică, în vederea sporirii încrederii și reducerii riscurilor de conformare. </w:t>
            </w:r>
          </w:p>
          <w:p w14:paraId="2D923D3E" w14:textId="77777777" w:rsidR="00B9643D" w:rsidRDefault="00000000" w:rsidP="002E1162">
            <w:pPr>
              <w:ind w:firstLine="1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Considerăm că digitalizarea</w:t>
            </w:r>
            <w:r>
              <w:rPr>
                <w:rFonts w:ascii="Times New Roman" w:eastAsia="Times New Roman" w:hAnsi="Times New Roman" w:cs="Times New Roman"/>
                <w:sz w:val="24"/>
                <w:szCs w:val="24"/>
              </w:rPr>
              <w:t xml:space="preserve"> reală a economiei nu poate fi realizată fără digitalizarea completă a întregului ciclu de viață al documentelor, inclusiv a etapei de arhivare. Din această perspectivă, susținem direcția propusă de proiect și încurajăm </w:t>
            </w:r>
            <w:r>
              <w:rPr>
                <w:rFonts w:ascii="Times New Roman" w:eastAsia="Times New Roman" w:hAnsi="Times New Roman" w:cs="Times New Roman"/>
                <w:sz w:val="24"/>
                <w:szCs w:val="24"/>
              </w:rPr>
              <w:lastRenderedPageBreak/>
              <w:t>continuarea dialogului cu mediul de afaceri la etapa elaborării actelor normative subsecvente.</w:t>
            </w:r>
          </w:p>
        </w:tc>
        <w:tc>
          <w:tcPr>
            <w:tcW w:w="4530" w:type="dxa"/>
            <w:tcBorders>
              <w:top w:val="single" w:sz="4" w:space="0" w:color="000000"/>
              <w:bottom w:val="single" w:sz="4" w:space="0" w:color="000000"/>
              <w:right w:val="single" w:sz="4" w:space="0" w:color="000000"/>
            </w:tcBorders>
            <w:shd w:val="clear" w:color="auto" w:fill="FFFFFF"/>
          </w:tcPr>
          <w:p w14:paraId="5E44508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7DD17506" w14:textId="77777777" w:rsidR="00B9643D" w:rsidRDefault="00B9643D" w:rsidP="002E1162">
            <w:pPr>
              <w:jc w:val="both"/>
              <w:rPr>
                <w:rFonts w:ascii="Times New Roman" w:eastAsia="Times New Roman" w:hAnsi="Times New Roman" w:cs="Times New Roman"/>
                <w:sz w:val="24"/>
                <w:szCs w:val="24"/>
              </w:rPr>
            </w:pPr>
          </w:p>
          <w:p w14:paraId="6783534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Recomandările privind interoperabilitatea cu Sistemul informațional „Arhiva electronică" și instituirea unui mecanism de acreditare a furnizorilor sunt acoperite de art. 21¹ alin. (3) și, respectiv, alin. (1) din Legea nr. 880/1992, în redacția propusă, nefiind necesară intervenție suplimentară. </w:t>
            </w:r>
          </w:p>
          <w:p w14:paraId="341F8F02" w14:textId="77777777" w:rsidR="00B9643D" w:rsidRDefault="00B9643D" w:rsidP="002E1162">
            <w:pPr>
              <w:jc w:val="both"/>
              <w:rPr>
                <w:rFonts w:ascii="Times New Roman" w:eastAsia="Times New Roman" w:hAnsi="Times New Roman" w:cs="Times New Roman"/>
                <w:sz w:val="24"/>
                <w:szCs w:val="24"/>
              </w:rPr>
            </w:pPr>
          </w:p>
          <w:p w14:paraId="39BE17F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Recomandarea privind cerințele tehnice (validarea pe termen lung, mărcile temporale, trasabilitatea accesului, backup-ul și recuperarea datelor) constituie materie de reglementare subordonată și se realizează prin regulamentul Guvernului prevăzut la art. 21¹ alin. (2), cu preluarea ca reper a standardelor europene aplicabile; se acceptă completarea enumerării din acest alineat cu lizibilitatea și conservarea valorii probante pe termen lung.</w:t>
            </w:r>
          </w:p>
          <w:p w14:paraId="4CAB4410" w14:textId="77777777" w:rsidR="00B9643D" w:rsidRDefault="00B9643D" w:rsidP="002E1162">
            <w:pPr>
              <w:jc w:val="both"/>
              <w:rPr>
                <w:rFonts w:ascii="Times New Roman" w:eastAsia="Times New Roman" w:hAnsi="Times New Roman" w:cs="Times New Roman"/>
                <w:sz w:val="24"/>
                <w:szCs w:val="24"/>
              </w:rPr>
            </w:pPr>
          </w:p>
          <w:p w14:paraId="615EFD0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acceptă recomandarea privind revizuirea cadrului normativ secundar, inclusiv a Indicatorului documentelor-tip și al termenelor de păstrare, care se reflectă printr-o dispoziție finală de aducere în concordanță a actelor subordonate. </w:t>
            </w:r>
          </w:p>
          <w:p w14:paraId="141D6F2D" w14:textId="77777777" w:rsidR="00B9643D" w:rsidRDefault="00B9643D" w:rsidP="002E1162">
            <w:pPr>
              <w:jc w:val="both"/>
              <w:rPr>
                <w:rFonts w:ascii="Times New Roman" w:eastAsia="Times New Roman" w:hAnsi="Times New Roman" w:cs="Times New Roman"/>
                <w:sz w:val="24"/>
                <w:szCs w:val="24"/>
              </w:rPr>
            </w:pPr>
          </w:p>
          <w:p w14:paraId="483EDA5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acceptă recomandarea privind acceptarea documentelor arhivate electronic în controalele fiscale, vamale, în audit și în alte proceduri administrative: art. 21¹ alin. (2) produce efecte limitate la legislația </w:t>
            </w:r>
            <w:r>
              <w:rPr>
                <w:rFonts w:ascii="Times New Roman" w:eastAsia="Times New Roman" w:hAnsi="Times New Roman" w:cs="Times New Roman"/>
                <w:sz w:val="24"/>
                <w:szCs w:val="24"/>
              </w:rPr>
              <w:lastRenderedPageBreak/>
              <w:t xml:space="preserve">arhivistică, fără a împiedica solicitarea originalului pe suport de hârtie care, potrivit art. 27¹, poate fi legal distrus, motiv pentru care proiectul se completează cu o normă de recunoaștere transversală și cu prezumția de integritate și origine, după modelul art. 45i din Regulamentul (UE) nr. 910/2014, astfel cum a fost modificat prin Regulamentul (UE) 2024/1183. </w:t>
            </w:r>
          </w:p>
          <w:p w14:paraId="2E4A9F36" w14:textId="77777777" w:rsidR="00B9643D" w:rsidRDefault="00B9643D" w:rsidP="002E1162">
            <w:pPr>
              <w:jc w:val="both"/>
              <w:rPr>
                <w:rFonts w:ascii="Times New Roman" w:eastAsia="Times New Roman" w:hAnsi="Times New Roman" w:cs="Times New Roman"/>
                <w:sz w:val="24"/>
                <w:szCs w:val="24"/>
              </w:rPr>
            </w:pPr>
          </w:p>
          <w:p w14:paraId="7FCA9429"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Propunere de modificare de inclus în proiect:</w:t>
            </w:r>
          </w:p>
          <w:p w14:paraId="19A2D5EB" w14:textId="77777777" w:rsidR="00B9643D" w:rsidRDefault="00B9643D" w:rsidP="002E1162">
            <w:pPr>
              <w:jc w:val="both"/>
              <w:rPr>
                <w:rFonts w:ascii="Times New Roman" w:eastAsia="Times New Roman" w:hAnsi="Times New Roman" w:cs="Times New Roman"/>
                <w:sz w:val="24"/>
                <w:szCs w:val="24"/>
              </w:rPr>
            </w:pPr>
          </w:p>
          <w:p w14:paraId="16F556F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21¹ se completează cu alineatele (4) și (5), cu următorul cuprins:</w:t>
            </w:r>
          </w:p>
          <w:p w14:paraId="5D15025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Documentelor electronice păstrate în condițiile prezentului articol nu li se poate refuza efectul juridic și nici admisibilitatea ca mijloc de probă pentru simplul motiv că sunt în formă electronică ori că serviciul de arhivă electronică utilizat nu are statut de serviciu calificat. Aceste documente se prezintă și se acceptă în forma în care sunt păstrate în cadrul controalelor fiscale, vamale și de altă natură, în procedurile de audit, precum și în orice alte proceduri administrative, fără a putea fi solicitată prezentarea documentului corespunzător pe suport de hârtie, în cazul în care acesta a fost distrus în condițiile art. 27¹.</w:t>
            </w:r>
          </w:p>
          <w:p w14:paraId="0A08871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Documentele electronice păstrate în cadrul unui serviciu calificat de arhivă electronică beneficiază de prezumția de integritate a datelor și de exactitate a originii acestora pe durata întregii perioade de păstrare."</w:t>
            </w:r>
          </w:p>
        </w:tc>
      </w:tr>
      <w:tr w:rsidR="00B9643D" w14:paraId="367B5275" w14:textId="77777777" w:rsidTr="00CA3607">
        <w:tc>
          <w:tcPr>
            <w:tcW w:w="420" w:type="dxa"/>
            <w:shd w:val="clear" w:color="auto" w:fill="FFFFFF"/>
          </w:tcPr>
          <w:p w14:paraId="24B80C79"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3C3370D"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323D74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119</w:t>
            </w:r>
          </w:p>
        </w:tc>
        <w:tc>
          <w:tcPr>
            <w:tcW w:w="6075" w:type="dxa"/>
            <w:tcBorders>
              <w:top w:val="single" w:sz="4" w:space="0" w:color="000000"/>
              <w:bottom w:val="single" w:sz="4" w:space="0" w:color="000000"/>
              <w:right w:val="single" w:sz="4" w:space="0" w:color="000000"/>
            </w:tcBorders>
            <w:shd w:val="clear" w:color="auto" w:fill="FFFFFF"/>
          </w:tcPr>
          <w:p w14:paraId="117469FB" w14:textId="77777777" w:rsidR="00B9643D" w:rsidRDefault="00000000" w:rsidP="002E1162">
            <w:pPr>
              <w:numPr>
                <w:ilvl w:val="1"/>
                <w:numId w:val="5"/>
              </w:numP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2. Cu privire la modificările propuse la Codul fiscal Cu privire la modificările propuse la art. 103 Cod fiscal al Republicii Moldova – Limitarea scutirii de TVA pentru serviciile poștale </w:t>
            </w:r>
          </w:p>
          <w:p w14:paraId="3A126BFF" w14:textId="77777777" w:rsidR="00B9643D" w:rsidRDefault="00B9643D" w:rsidP="002E1162">
            <w:pPr>
              <w:numPr>
                <w:ilvl w:val="1"/>
                <w:numId w:val="5"/>
              </w:numPr>
              <w:jc w:val="both"/>
              <w:rPr>
                <w:rFonts w:ascii="Times New Roman" w:eastAsia="Times New Roman" w:hAnsi="Times New Roman" w:cs="Times New Roman"/>
                <w:color w:val="000000"/>
                <w:sz w:val="24"/>
                <w:szCs w:val="24"/>
              </w:rPr>
            </w:pPr>
          </w:p>
          <w:p w14:paraId="6FC5E240"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Proiectul propune modificarea art. 103 alin. (1) pct. 13) din Codul fiscal, astfel încât scutirea de TVA să fie aplicabilă exclusiv serviciilor poștale universale prestate de furnizorul serviciului poștal universal, inclusiv distribuirea pensiilor, subvențiilor și indemnizațiilor. Serviciile poștale și de curierat prestate în regim concurențial vor fi supuse regimului general de TVA. Potrivit notei de fundamentare, modificarea urmărește alinierea cadrului fiscal național la practica Uniunii Europene, eliminarea tratamentului fiscal diferențiat dintre operatorii poștali și cei de curierat, precum și asigurarea neutralității TVA pe piața serviciilor poștale.</w:t>
            </w:r>
          </w:p>
          <w:p w14:paraId="158593DC"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Deși susținem obiectivul de armonizare cu standardele europene și promovarea unui mediu concurențial echitabil, considerăm necesară o evaluare suplimentară a impactului acestei măsuri asupra dezvoltării comerțului electronic și asupra competitivității exportatorilor locali. </w:t>
            </w:r>
          </w:p>
          <w:p w14:paraId="408613E5"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În primul rând, măsura propusă riscă să majoreze costurile logistice suportate de comercianții care desfășoară activități de comerț electronic, în special de întreprinderile mici și mijlocii care utilizează serviciile poștale și de curierat pentru exportul produselor, expedierea mostrelor comerciale și gestionarea retururilor aferente vânzărilor online. În condițiile în care proiectul de lege are drept obiectiv declarat promovarea economiei digitale și a comerțului electronic, considerăm că orice măsură care conduce la creșterea costurilor operaționale ale acestui sector trebuie analizată cu cea mai mare atenție.</w:t>
            </w:r>
          </w:p>
          <w:p w14:paraId="72B6222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al doilea rând, în cazul importurilor realizate prin intermediul serviciilor poștale și de curierat internațional, costul transportului și al livrării este inclus în valoarea în </w:t>
            </w:r>
            <w:r>
              <w:rPr>
                <w:rFonts w:ascii="Times New Roman" w:eastAsia="Times New Roman" w:hAnsi="Times New Roman" w:cs="Times New Roman"/>
                <w:sz w:val="24"/>
                <w:szCs w:val="24"/>
              </w:rPr>
              <w:lastRenderedPageBreak/>
              <w:t>vamă a mărfurilor și constituie parte a bazei de calcul a TVA la import. Prin urmare, aplicarea TVA asupra serviciului de livrare și includerea ulterioară a acestuia în baza de calcul a TVA la import pot genera efecte de dublă impunere economică asupra aceleiași componente valorice, cu impact direct asupra costului final suportat de consumatori și agenți economici.</w:t>
            </w:r>
          </w:p>
          <w:p w14:paraId="504892C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Codul fiscal acordă în prezent tratament preferențial serviciilor de transport internațional de mărfuri, prin aplicarea cotei zero de TVA. Având în vedere rolul similar al serviciilor poștale și de curierat internațional în facilitarea comerțului transfrontalier, considerăm oportună examinarea unor soluții fiscale care să asigure o abordare coerentă a serviciilor logistice cu componentă internațională.</w:t>
            </w:r>
          </w:p>
          <w:p w14:paraId="0B338BBA"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Nu în ultimul rând, majorarea costurilor serviciilor poștale și de curierat internațional poate determina migrarea unei părți a fluxurilor comerciale către canale informale de transport și livrare, diminuând gradul de conformare fiscală și afectând concurența loială pe piață. </w:t>
            </w:r>
          </w:p>
          <w:p w14:paraId="53841139" w14:textId="77777777" w:rsidR="00B9643D" w:rsidRDefault="00000000" w:rsidP="002E1162">
            <w:pP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Reieșind din argumentele în cauză, venim cu propunerea unei redacții alternative a punctul 13), din alineatul (1), articolul 103 Cod Fiscal:</w:t>
            </w:r>
          </w:p>
          <w:p w14:paraId="0C95897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103:</w:t>
            </w:r>
          </w:p>
          <w:p w14:paraId="5FC7077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w:t>
            </w:r>
          </w:p>
          <w:p w14:paraId="7177839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punctul 13) va avea următorul cuprins:</w:t>
            </w:r>
          </w:p>
          <w:p w14:paraId="11009D7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serviciile poștale din sfera serviciului poștal universal; serviciile poștale pentru trimiterile poștale internaționale; serviciile de distribuire a pensiilor, subvențiilor, indemnizațiilor;”.</w:t>
            </w:r>
          </w:p>
          <w:p w14:paraId="5FA49A2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Redacția propusă este racordată la principiile prevăzute în articolele 144 și 146 ale Directivei 2006/112/CE privind sistemul comun al taxei pe valoarea adăugată.</w:t>
            </w:r>
          </w:p>
        </w:tc>
        <w:tc>
          <w:tcPr>
            <w:tcW w:w="4530" w:type="dxa"/>
            <w:tcBorders>
              <w:top w:val="single" w:sz="4" w:space="0" w:color="000000"/>
              <w:bottom w:val="single" w:sz="4" w:space="0" w:color="000000"/>
              <w:right w:val="single" w:sz="4" w:space="0" w:color="000000"/>
            </w:tcBorders>
            <w:shd w:val="clear" w:color="auto" w:fill="FFFFFF"/>
          </w:tcPr>
          <w:p w14:paraId="48BA49B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propunerea alternativă</w:t>
            </w:r>
          </w:p>
          <w:p w14:paraId="2DAAEE3D" w14:textId="77777777" w:rsidR="00B9643D" w:rsidRDefault="00B9643D" w:rsidP="002E1162">
            <w:pPr>
              <w:jc w:val="both"/>
              <w:rPr>
                <w:rFonts w:ascii="Times New Roman" w:eastAsia="Times New Roman" w:hAnsi="Times New Roman" w:cs="Times New Roman"/>
                <w:b/>
                <w:bCs/>
                <w:sz w:val="24"/>
                <w:szCs w:val="24"/>
              </w:rPr>
            </w:pPr>
          </w:p>
          <w:p w14:paraId="11825E3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Modificarea pentru proiectul de lege:</w:t>
            </w:r>
          </w:p>
          <w:p w14:paraId="51647B4E" w14:textId="77777777" w:rsidR="00B9643D" w:rsidRDefault="00B9643D" w:rsidP="002E1162">
            <w:pPr>
              <w:jc w:val="both"/>
              <w:rPr>
                <w:rFonts w:ascii="Times New Roman" w:eastAsia="Times New Roman" w:hAnsi="Times New Roman" w:cs="Times New Roman"/>
                <w:b/>
                <w:bCs/>
                <w:sz w:val="24"/>
                <w:szCs w:val="24"/>
              </w:rPr>
            </w:pPr>
          </w:p>
          <w:p w14:paraId="16DB42B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103:</w:t>
            </w:r>
          </w:p>
          <w:p w14:paraId="749A5498"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w:t>
            </w:r>
          </w:p>
          <w:p w14:paraId="5FAC325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punctul 13) va avea următorul cuprins:</w:t>
            </w:r>
          </w:p>
          <w:p w14:paraId="6C134B3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serviciile poștale din sfera serviciului poștal universal; serviciile poștale pentru trimiterile poștale internaționale; serviciile de distribuire a pensiilor, subvențiilor, indemnizațiilor;”.</w:t>
            </w:r>
          </w:p>
          <w:p w14:paraId="3B39EF4D" w14:textId="77777777" w:rsidR="00B9643D" w:rsidRDefault="00B9643D" w:rsidP="002E1162">
            <w:pPr>
              <w:jc w:val="both"/>
              <w:rPr>
                <w:rFonts w:ascii="Times New Roman" w:eastAsia="Times New Roman" w:hAnsi="Times New Roman" w:cs="Times New Roman"/>
                <w:sz w:val="24"/>
                <w:szCs w:val="24"/>
              </w:rPr>
            </w:pPr>
          </w:p>
          <w:p w14:paraId="389E20E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Autorul susține în continuare, pe fond, propunerile formulate la Art. II din proiect, apreciind că acestea răspund unor necesități reale ale mediului de afaceri din sectorul comerțului electronic: încadrarea persoanelor fizice care desfășoară comerț electronic în regimul de impunere prevăzut la capitolul 10² din Codul fiscal (art. 69⁷ alin. (1)), armonizarea regimului scutirii de TVA pentru serviciile poștale universale cu Directiva 2006/112/CE a Consiliului (art. 103 alin. (1) pct. 13) și eliminarea aplicării taxei pentru unitățile comerciale și/sau de prestări servicii în cazul operatorilor de comerț electronic care nu dispun de suprafață comercială (art. 291 alin. (1) lit. e)). Autorul reține, în acest sens, că Ministerul Finanțelor a comunicat susținerea propunerilor de la pct. 1 și 2, iar Centrul de Armonizare a Legislației nu a identificat probleme de compatibilitate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Uniunii Europene.</w:t>
            </w:r>
          </w:p>
          <w:p w14:paraId="25624100" w14:textId="77777777" w:rsidR="00B9643D" w:rsidRDefault="00B9643D" w:rsidP="002E1162">
            <w:pPr>
              <w:jc w:val="both"/>
              <w:rPr>
                <w:rFonts w:ascii="Times New Roman" w:eastAsia="Times New Roman" w:hAnsi="Times New Roman" w:cs="Times New Roman"/>
                <w:sz w:val="24"/>
                <w:szCs w:val="24"/>
              </w:rPr>
            </w:pPr>
          </w:p>
          <w:p w14:paraId="45645E1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Totodată, ținând cont de necesitatea unei evaluări integrate a impactului fiscal-bugetar și de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propunerile din proiectul de lege se transferă spre preluare și examinare în cadrul exercițiului de modificare a politicii bugetar-fiscale, coordonat de Ministerul Finanțelor, potrivit competenței acestuia. </w:t>
            </w:r>
          </w:p>
        </w:tc>
      </w:tr>
      <w:tr w:rsidR="00B9643D" w14:paraId="354B5480" w14:textId="77777777" w:rsidTr="00CA3607">
        <w:tc>
          <w:tcPr>
            <w:tcW w:w="420" w:type="dxa"/>
            <w:shd w:val="clear" w:color="auto" w:fill="FFFFFF"/>
          </w:tcPr>
          <w:p w14:paraId="341716C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4D122E2"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634357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120</w:t>
            </w:r>
          </w:p>
        </w:tc>
        <w:tc>
          <w:tcPr>
            <w:tcW w:w="6075" w:type="dxa"/>
            <w:tcBorders>
              <w:top w:val="single" w:sz="4" w:space="0" w:color="000000"/>
              <w:bottom w:val="single" w:sz="4" w:space="0" w:color="000000"/>
              <w:right w:val="single" w:sz="4" w:space="0" w:color="000000"/>
            </w:tcBorders>
            <w:shd w:val="clear" w:color="auto" w:fill="FFFFFF"/>
          </w:tcPr>
          <w:p w14:paraId="6BF39EFF" w14:textId="2DB790F8"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Cu privire la veniturile obținute din e-</w:t>
            </w:r>
            <w:r w:rsidR="00CA3607">
              <w:rPr>
                <w:rFonts w:ascii="Times New Roman" w:eastAsia="Times New Roman" w:hAnsi="Times New Roman" w:cs="Times New Roman"/>
                <w:color w:val="000000"/>
                <w:sz w:val="24"/>
                <w:szCs w:val="24"/>
              </w:rPr>
              <w:t>Commerce</w:t>
            </w:r>
            <w:r>
              <w:rPr>
                <w:rFonts w:ascii="Times New Roman" w:eastAsia="Times New Roman" w:hAnsi="Times New Roman" w:cs="Times New Roman"/>
                <w:color w:val="000000"/>
                <w:sz w:val="24"/>
                <w:szCs w:val="24"/>
              </w:rPr>
              <w:t xml:space="preserve"> </w:t>
            </w:r>
          </w:p>
          <w:p w14:paraId="7C278023"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Art. II pct. 1 din proiect, în art. 69</w:t>
            </w:r>
            <w:r>
              <w:rPr>
                <w:rFonts w:ascii="Times New Roman" w:eastAsia="Times New Roman" w:hAnsi="Times New Roman" w:cs="Times New Roman"/>
                <w:color w:val="000000"/>
                <w:sz w:val="24"/>
                <w:szCs w:val="24"/>
                <w:vertAlign w:val="superscript"/>
              </w:rPr>
              <w:t>7</w:t>
            </w:r>
            <w:r>
              <w:rPr>
                <w:rFonts w:ascii="Times New Roman" w:eastAsia="Times New Roman" w:hAnsi="Times New Roman" w:cs="Times New Roman"/>
                <w:color w:val="000000"/>
                <w:sz w:val="24"/>
                <w:szCs w:val="24"/>
              </w:rPr>
              <w:t xml:space="preserve"> alin. (1) din Codul fiscal se propune substituirea sintagmei: „prin intermediul caselor de comenzi sau prin internet” cu sintagma: „prin intermediul caselor de comenzi, paginilor web, aplicațiilor </w:t>
            </w:r>
            <w:r>
              <w:rPr>
                <w:rFonts w:ascii="Times New Roman" w:eastAsia="Times New Roman" w:hAnsi="Times New Roman" w:cs="Times New Roman"/>
                <w:color w:val="000000"/>
                <w:sz w:val="24"/>
                <w:szCs w:val="24"/>
              </w:rPr>
              <w:lastRenderedPageBreak/>
              <w:t xml:space="preserve">mobile, platformelor de socializare, </w:t>
            </w:r>
            <w:proofErr w:type="spellStart"/>
            <w:r>
              <w:rPr>
                <w:rFonts w:ascii="Times New Roman" w:eastAsia="Times New Roman" w:hAnsi="Times New Roman" w:cs="Times New Roman"/>
                <w:color w:val="000000"/>
                <w:sz w:val="24"/>
                <w:szCs w:val="24"/>
              </w:rPr>
              <w:t>marketplace</w:t>
            </w:r>
            <w:proofErr w:type="spellEnd"/>
            <w:r>
              <w:rPr>
                <w:rFonts w:ascii="Times New Roman" w:eastAsia="Times New Roman" w:hAnsi="Times New Roman" w:cs="Times New Roman"/>
                <w:color w:val="000000"/>
                <w:sz w:val="24"/>
                <w:szCs w:val="24"/>
              </w:rPr>
              <w:t>-urilor sau altor interfețe digitale care permit plasarea comenzilor ori încheierea contractelor la distanță”.</w:t>
            </w:r>
          </w:p>
          <w:p w14:paraId="126BC750" w14:textId="77777777" w:rsidR="00B9643D" w:rsidRDefault="00B9643D" w:rsidP="002E1162">
            <w:pPr>
              <w:jc w:val="both"/>
              <w:rPr>
                <w:rFonts w:ascii="Times New Roman" w:eastAsia="Times New Roman" w:hAnsi="Times New Roman" w:cs="Times New Roman"/>
                <w:color w:val="000000"/>
                <w:sz w:val="24"/>
                <w:szCs w:val="24"/>
              </w:rPr>
            </w:pPr>
          </w:p>
          <w:p w14:paraId="4BCA00A2"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 formulare mai largă reduce riscul de interpretare restrictivă și contribuie la formalizarea veniturilor obținute din e-comerț.</w:t>
            </w:r>
          </w:p>
          <w:p w14:paraId="1F872603" w14:textId="77777777" w:rsidR="00B9643D" w:rsidRDefault="00B9643D" w:rsidP="002E1162">
            <w:pPr>
              <w:jc w:val="both"/>
              <w:rPr>
                <w:rFonts w:ascii="Times New Roman" w:eastAsia="Times New Roman" w:hAnsi="Times New Roman" w:cs="Times New Roman"/>
                <w:color w:val="000000"/>
                <w:sz w:val="24"/>
                <w:szCs w:val="24"/>
              </w:rPr>
            </w:pPr>
          </w:p>
          <w:p w14:paraId="1ECA0ECB" w14:textId="77777777" w:rsidR="00B9643D" w:rsidRDefault="00000000" w:rsidP="002E1162">
            <w:pP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Totodată, atragem atenția că, pornind de la obiectivul deja implementat prin </w:t>
            </w:r>
            <w:r>
              <w:rPr>
                <w:rFonts w:ascii="Times New Roman" w:eastAsia="Times New Roman" w:hAnsi="Times New Roman" w:cs="Times New Roman"/>
                <w:b/>
                <w:bCs/>
                <w:color w:val="0000FF"/>
                <w:sz w:val="24"/>
                <w:szCs w:val="24"/>
              </w:rPr>
              <w:t>Politica fiscală și vamală 2027, promovată de Ministerul Finanțelor</w:t>
            </w:r>
            <w:r>
              <w:rPr>
                <w:rFonts w:ascii="Times New Roman" w:eastAsia="Times New Roman" w:hAnsi="Times New Roman" w:cs="Times New Roman"/>
                <w:b/>
                <w:bCs/>
                <w:sz w:val="24"/>
                <w:szCs w:val="24"/>
              </w:rPr>
              <w:t xml:space="preserve">, de revizuire fundamentală a Codului fiscal pe partea de impozit pe venit și TVA, considerăm corectă examinarea normelor ce vizează acest domeniu (prevederile propuse la </w:t>
            </w:r>
            <w:proofErr w:type="spellStart"/>
            <w:r>
              <w:rPr>
                <w:rFonts w:ascii="Times New Roman" w:eastAsia="Times New Roman" w:hAnsi="Times New Roman" w:cs="Times New Roman"/>
                <w:b/>
                <w:bCs/>
                <w:sz w:val="24"/>
                <w:szCs w:val="24"/>
              </w:rPr>
              <w:t>Art.II</w:t>
            </w:r>
            <w:proofErr w:type="spellEnd"/>
            <w:r>
              <w:rPr>
                <w:rFonts w:ascii="Times New Roman" w:eastAsia="Times New Roman" w:hAnsi="Times New Roman" w:cs="Times New Roman"/>
                <w:b/>
                <w:bCs/>
                <w:sz w:val="24"/>
                <w:szCs w:val="24"/>
              </w:rPr>
              <w:t xml:space="preserve"> al proiectului) pe platforma ministerului dedicată, responsabilă de politicile în domeniul finanțelor publice, pentru a nu admite ajustări dramatice ulterioare.</w:t>
            </w:r>
          </w:p>
        </w:tc>
        <w:tc>
          <w:tcPr>
            <w:tcW w:w="4530" w:type="dxa"/>
            <w:tcBorders>
              <w:top w:val="single" w:sz="4" w:space="0" w:color="000000"/>
              <w:bottom w:val="single" w:sz="4" w:space="0" w:color="000000"/>
              <w:right w:val="single" w:sz="4" w:space="0" w:color="000000"/>
            </w:tcBorders>
            <w:shd w:val="clear" w:color="auto" w:fill="FFFFFF"/>
          </w:tcPr>
          <w:p w14:paraId="48A6431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2D686574" w14:textId="77777777" w:rsidR="00B9643D" w:rsidRDefault="00B9643D" w:rsidP="002E1162">
            <w:pPr>
              <w:jc w:val="both"/>
              <w:rPr>
                <w:rFonts w:ascii="Times New Roman" w:eastAsia="Times New Roman" w:hAnsi="Times New Roman" w:cs="Times New Roman"/>
                <w:b/>
                <w:bCs/>
                <w:sz w:val="24"/>
                <w:szCs w:val="24"/>
              </w:rPr>
            </w:pPr>
          </w:p>
          <w:p w14:paraId="1908F16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Sintagma „prin intermediul caselor de comenzi sau prin internet", utilizată la Art. II pct. 1 din proiect, este generică și neutră din </w:t>
            </w:r>
            <w:r>
              <w:rPr>
                <w:rFonts w:ascii="Times New Roman" w:eastAsia="Times New Roman" w:hAnsi="Times New Roman" w:cs="Times New Roman"/>
                <w:sz w:val="24"/>
                <w:szCs w:val="24"/>
              </w:rPr>
              <w:lastRenderedPageBreak/>
              <w:t xml:space="preserve">punct de vedere tehnologic, reproducând denumirea consacrată a clasei de activitate din clasificarea activităților din economia națională, bazată pe NACE Rev. Potrivit notelor explicative ale acestei clase, sfera de cuprindere include comanda efectuată prin poștă, prin telefon sau pe internet, indiferent de mijlocul prin care cumpărătorul selectează produsul, precum și vânzarea directă prin intermediul televiziunii, radioului sau telefonului și licitațiile cu amănuntul pe internet. Prin urmare, toate canalele enumerate în propunere — pagini web, aplicații mobile, platforme de socializare, </w:t>
            </w:r>
            <w:proofErr w:type="spellStart"/>
            <w:r>
              <w:rPr>
                <w:rFonts w:ascii="Times New Roman" w:eastAsia="Times New Roman" w:hAnsi="Times New Roman" w:cs="Times New Roman"/>
                <w:sz w:val="24"/>
                <w:szCs w:val="24"/>
              </w:rPr>
              <w:t>marketplace</w:t>
            </w:r>
            <w:proofErr w:type="spellEnd"/>
            <w:r>
              <w:rPr>
                <w:rFonts w:ascii="Times New Roman" w:eastAsia="Times New Roman" w:hAnsi="Times New Roman" w:cs="Times New Roman"/>
                <w:sz w:val="24"/>
                <w:szCs w:val="24"/>
              </w:rPr>
              <w:t>-uri — constituie modalități de comerț „prin internet" și sunt deja acoperite.</w:t>
            </w:r>
          </w:p>
          <w:p w14:paraId="436327D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ținând cont de necesitatea unei evaluări integrate a impactului fiscal-bugetar și de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xml:space="preserve">, propunerile din proiectul de lege se transferă spre preluare și examinare în cadrul exercițiului de modificare a politicii bugetar-fiscale, coordonat de Ministerul Finanțelor, potrivit competenței acestuia. </w:t>
            </w:r>
          </w:p>
          <w:p w14:paraId="0721C33B" w14:textId="77777777" w:rsidR="00CA3607" w:rsidRDefault="00CA3607" w:rsidP="002E1162">
            <w:pPr>
              <w:jc w:val="both"/>
              <w:rPr>
                <w:rFonts w:ascii="Times New Roman" w:eastAsia="Times New Roman" w:hAnsi="Times New Roman" w:cs="Times New Roman"/>
                <w:sz w:val="24"/>
                <w:szCs w:val="24"/>
                <w:highlight w:val="yellow"/>
              </w:rPr>
            </w:pPr>
          </w:p>
        </w:tc>
      </w:tr>
      <w:tr w:rsidR="00B9643D" w14:paraId="13636954" w14:textId="77777777" w:rsidTr="00CA3607">
        <w:tc>
          <w:tcPr>
            <w:tcW w:w="420" w:type="dxa"/>
            <w:shd w:val="clear" w:color="auto" w:fill="FFFFFF"/>
          </w:tcPr>
          <w:p w14:paraId="25F5707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3E86763" w14:textId="77777777" w:rsidR="00B9643D" w:rsidRDefault="00000000" w:rsidP="002E1162">
            <w:pPr>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AmCham</w:t>
            </w:r>
            <w:proofErr w:type="spellEnd"/>
            <w:r>
              <w:rPr>
                <w:rFonts w:ascii="Times New Roman" w:eastAsia="Times New Roman" w:hAnsi="Times New Roman" w:cs="Times New Roman"/>
                <w:b/>
                <w:bCs/>
                <w:sz w:val="24"/>
                <w:szCs w:val="24"/>
              </w:rPr>
              <w:t xml:space="preserve"> Moldova</w:t>
            </w:r>
          </w:p>
          <w:p w14:paraId="15D318D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Aviz nr.91 din 02.07.2026</w:t>
            </w:r>
          </w:p>
        </w:tc>
        <w:tc>
          <w:tcPr>
            <w:tcW w:w="720" w:type="dxa"/>
            <w:tcBorders>
              <w:top w:val="single" w:sz="4" w:space="0" w:color="000000"/>
              <w:bottom w:val="single" w:sz="4" w:space="0" w:color="000000"/>
            </w:tcBorders>
            <w:shd w:val="clear" w:color="auto" w:fill="FFFFFF"/>
          </w:tcPr>
          <w:p w14:paraId="5E6D65D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121</w:t>
            </w:r>
          </w:p>
        </w:tc>
        <w:tc>
          <w:tcPr>
            <w:tcW w:w="6075" w:type="dxa"/>
            <w:tcBorders>
              <w:top w:val="single" w:sz="4" w:space="0" w:color="000000"/>
              <w:bottom w:val="single" w:sz="4" w:space="0" w:color="000000"/>
              <w:right w:val="single" w:sz="4" w:space="0" w:color="000000"/>
            </w:tcBorders>
            <w:shd w:val="clear" w:color="auto" w:fill="FFFFFF"/>
          </w:tcPr>
          <w:p w14:paraId="25E9ED76"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color w:val="212121"/>
                <w:sz w:val="24"/>
                <w:szCs w:val="24"/>
              </w:rPr>
              <w:t> </w:t>
            </w:r>
            <w:r>
              <w:rPr>
                <w:rFonts w:ascii="Times New Roman" w:eastAsia="Times New Roman" w:hAnsi="Times New Roman" w:cs="Times New Roman"/>
                <w:sz w:val="24"/>
                <w:szCs w:val="24"/>
              </w:rPr>
              <w:t xml:space="preserve">Suplimentar la scrisoarea nr. 88 din 25 iunie 2026, dorim să atragem atenția asupra modificării propuse la articolul 59 din proiectul de lege, prin introducerea alineatului (9). </w:t>
            </w:r>
          </w:p>
          <w:p w14:paraId="1A478C5B"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Propunerea legislativă instituie un mecanism nou de examinare a solicitărilor de rambursare, potrivit căruia prestatorul de servicii de plată al plătitorului va evalua informațiile și documentele furnizate de părți și va decide dacă sunt întrunite condițiile pentru efectuarea rambursării. </w:t>
            </w:r>
          </w:p>
          <w:p w14:paraId="45E03349"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Considerăm că această intervenție legislativă generează riscul apariției unor contradicții între prevederile legii și regulile sistemelor internaționale de plăți (inclusiv </w:t>
            </w:r>
            <w:r>
              <w:rPr>
                <w:rFonts w:ascii="Times New Roman" w:eastAsia="Times New Roman" w:hAnsi="Times New Roman" w:cs="Times New Roman"/>
                <w:sz w:val="24"/>
                <w:szCs w:val="24"/>
              </w:rPr>
              <w:lastRenderedPageBreak/>
              <w:t xml:space="preserve">mecanismele de </w:t>
            </w:r>
            <w:proofErr w:type="spellStart"/>
            <w:r>
              <w:rPr>
                <w:rFonts w:ascii="Times New Roman" w:eastAsia="Times New Roman" w:hAnsi="Times New Roman" w:cs="Times New Roman"/>
                <w:sz w:val="24"/>
                <w:szCs w:val="24"/>
              </w:rPr>
              <w:t>chargeback</w:t>
            </w:r>
            <w:proofErr w:type="spellEnd"/>
            <w:r>
              <w:rPr>
                <w:rFonts w:ascii="Times New Roman" w:eastAsia="Times New Roman" w:hAnsi="Times New Roman" w:cs="Times New Roman"/>
                <w:sz w:val="24"/>
                <w:szCs w:val="24"/>
              </w:rPr>
              <w:t xml:space="preserve">), la care prestatorii de servicii de plată aderă în baza unor raporturi contractuale. În asemenea situații, instituțiile de plată și băncile ar putea fi puse în imposibilitatea de a respecta simultan ambii seturi de reguli, ceea ce poate conduce la pierderi financiare, litigii și incertitudine juridică. </w:t>
            </w:r>
          </w:p>
          <w:p w14:paraId="451C4226" w14:textId="16405782"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mecanismele de </w:t>
            </w:r>
            <w:proofErr w:type="spellStart"/>
            <w:r>
              <w:rPr>
                <w:rFonts w:ascii="Times New Roman" w:eastAsia="Times New Roman" w:hAnsi="Times New Roman" w:cs="Times New Roman"/>
                <w:sz w:val="24"/>
                <w:szCs w:val="24"/>
              </w:rPr>
              <w:t>charge</w:t>
            </w:r>
            <w:proofErr w:type="spellEnd"/>
            <w:r w:rsidR="00CA360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back reprezintă proceduri instituite prin regulile sistemelor de plăți și nu prin legislația națională. Aceste reguli stabilesc în mod exhaustiv drepturile și obligațiile participanților, precum și mecanismele de soluționare a disputelor dintre plătitori și comercianți. Intervenția asupra acestor mecanisme prin norme legislative naționale, fără o corelare corespunzătoare cu regulile sistemelor de plăți, riscă să creeze obligații suplimentare pentru prestatorii de servicii de plată, care nu sunt compatibile cu cadrul contractual aplicabil. </w:t>
            </w:r>
          </w:p>
          <w:p w14:paraId="68228258"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plus, formularea propusă transferă prestatorului de servicii de plată obligația de a analiza și aprecia executarea corespunzătoare a raportului comercial dintre comerciant și plătitor. </w:t>
            </w:r>
          </w:p>
          <w:p w14:paraId="0EEF624F"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Considerăm că asemenea evaluări </w:t>
            </w:r>
            <w:proofErr w:type="spellStart"/>
            <w:r>
              <w:rPr>
                <w:rFonts w:ascii="Times New Roman" w:eastAsia="Times New Roman" w:hAnsi="Times New Roman" w:cs="Times New Roman"/>
                <w:sz w:val="24"/>
                <w:szCs w:val="24"/>
              </w:rPr>
              <w:t>exced</w:t>
            </w:r>
            <w:proofErr w:type="spellEnd"/>
            <w:r>
              <w:rPr>
                <w:rFonts w:ascii="Times New Roman" w:eastAsia="Times New Roman" w:hAnsi="Times New Roman" w:cs="Times New Roman"/>
                <w:sz w:val="24"/>
                <w:szCs w:val="24"/>
              </w:rPr>
              <w:t xml:space="preserve"> rolului unui prestator de servicii de plată și pot conduce la implicarea acestuia în litigii comerciale sau de protecție a consumatorilor, pentru care acesta nu dispune nici de competențele, nici de instrumentele necesare. De asemenea, remarcăm faptul că Nota informativă nu justifică în mod suficient necesitatea acestei intervenții legislative. Descrierea "situației actuale" nu evidențiază existența unor deficiențe ale cadrului normativ sau a unor practici care ar impune modificarea propusă și nici nu explică modul în care aceasta se corelează cu regulile aplicabile sistemelor internaționale de plăți. </w:t>
            </w:r>
          </w:p>
          <w:p w14:paraId="109B193D"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acest context, considerăm oportună reexaminarea alineatului propus și consultarea suplimentară a prestatorilor de servicii de plată și a participanților relevanți ai pieței, astfel încât soluția legislativă adoptată să fie compatibilă atât cu cadrul normativ național, cât și cu regulile sistemelor </w:t>
            </w:r>
            <w:r>
              <w:rPr>
                <w:rFonts w:ascii="Times New Roman" w:eastAsia="Times New Roman" w:hAnsi="Times New Roman" w:cs="Times New Roman"/>
                <w:sz w:val="24"/>
                <w:szCs w:val="24"/>
              </w:rPr>
              <w:lastRenderedPageBreak/>
              <w:t>internaționale de plăți și să nu genereze riscuri juridice și operaționale pentru participanții la piață.</w:t>
            </w:r>
          </w:p>
          <w:p w14:paraId="2923F6E7"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Propunem următoarea redacție la articolul 59 se completează cu alineatul (9), cu următorul cuprins: </w:t>
            </w:r>
          </w:p>
          <w:p w14:paraId="63C3C92B" w14:textId="77777777" w:rsidR="00B9643D" w:rsidRDefault="00000000" w:rsidP="002E1162">
            <w:pPr>
              <w:shd w:val="clear" w:color="auto" w:fill="FFFFFF"/>
              <w:jc w:val="both"/>
              <w:rPr>
                <w:rFonts w:ascii="Times New Roman" w:eastAsia="Times New Roman" w:hAnsi="Times New Roman" w:cs="Times New Roman"/>
                <w:color w:val="212121"/>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9) În cazul operațiunilor de plată autorizate inițiate prin intermediul beneficiarului plății, atunci când plătitorul solicită rambursarea conform prezentului articol, prestatorul de servicii de plată al plătitorului poate efectua rambursarea numai după evaluarea informațiilor și documentelor furnizate de plătitor și, după caz, de beneficiarul plății. În situația în care, din aceste informații și documente, rezultă că bunurile sau serviciile comandate și achitate de plătitor au fost livrate ori prestate în mod corespunzător de beneficiarul plății, prestatorul serviciilor de plată nu are obligația de a rambursa suma operațiunii de plată în temeiul prezentului articol și informează plătitorul că eventualele pretenții urmează a fi soluționate în condițiile legislației civile sau de protecție a consumatorilor”.</w:t>
            </w:r>
          </w:p>
          <w:p w14:paraId="69095ADF" w14:textId="77777777" w:rsidR="00B9643D" w:rsidRDefault="00B9643D" w:rsidP="002E1162">
            <w:pPr>
              <w:rPr>
                <w:rFonts w:ascii="Times New Roman" w:eastAsia="Times New Roman" w:hAnsi="Times New Roman" w:cs="Times New Roman"/>
                <w:color w:val="000000"/>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6F01E9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p w14:paraId="64D15653" w14:textId="77777777" w:rsidR="00B9643D" w:rsidRDefault="00B9643D" w:rsidP="002E1162">
            <w:pPr>
              <w:jc w:val="both"/>
              <w:rPr>
                <w:rFonts w:ascii="Times New Roman" w:eastAsia="Times New Roman" w:hAnsi="Times New Roman" w:cs="Times New Roman"/>
                <w:sz w:val="24"/>
                <w:szCs w:val="24"/>
                <w:highlight w:val="yellow"/>
              </w:rPr>
            </w:pPr>
          </w:p>
          <w:p w14:paraId="4DE98A17" w14:textId="77777777" w:rsidR="00B9643D" w:rsidRDefault="00000000" w:rsidP="002E116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Amendamentul a fost transferat după competență. A se vedea argumentarea la pct. 8.</w:t>
            </w:r>
          </w:p>
        </w:tc>
      </w:tr>
      <w:tr w:rsidR="00B9643D" w14:paraId="4618BCF7" w14:textId="77777777" w:rsidTr="00CA3607">
        <w:tc>
          <w:tcPr>
            <w:tcW w:w="420" w:type="dxa"/>
            <w:shd w:val="clear" w:color="auto" w:fill="FFFFFF"/>
          </w:tcPr>
          <w:p w14:paraId="67CC6E3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8AE193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Asociația Businessului European</w:t>
            </w:r>
          </w:p>
          <w:p w14:paraId="3A0B156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Aviz nr.67-26/NC din 02.07.2026</w:t>
            </w:r>
          </w:p>
        </w:tc>
        <w:tc>
          <w:tcPr>
            <w:tcW w:w="720" w:type="dxa"/>
            <w:tcBorders>
              <w:top w:val="single" w:sz="4" w:space="0" w:color="000000"/>
              <w:bottom w:val="single" w:sz="4" w:space="0" w:color="000000"/>
            </w:tcBorders>
            <w:shd w:val="clear" w:color="auto" w:fill="FFFFFF"/>
          </w:tcPr>
          <w:p w14:paraId="5640B48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122</w:t>
            </w:r>
          </w:p>
        </w:tc>
        <w:tc>
          <w:tcPr>
            <w:tcW w:w="6075" w:type="dxa"/>
            <w:tcBorders>
              <w:top w:val="single" w:sz="4" w:space="0" w:color="000000"/>
              <w:bottom w:val="single" w:sz="4" w:space="0" w:color="000000"/>
              <w:right w:val="single" w:sz="4" w:space="0" w:color="000000"/>
            </w:tcBorders>
            <w:shd w:val="clear" w:color="auto" w:fill="FFFFFF"/>
          </w:tcPr>
          <w:p w14:paraId="0B5AB461"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Asociația Businessului European (EBA Moldova), în contextul consultării proiectului de lege pentru modificarea unor acte normative (pentru promovarea economiei digitale și a comerțului electronic) comunică următoarele.</w:t>
            </w:r>
          </w:p>
          <w:p w14:paraId="31C6A117"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La art. I, Legea nr. 880/1992</w:t>
            </w:r>
            <w:r>
              <w:rPr>
                <w:rFonts w:ascii="Times New Roman" w:eastAsia="Times New Roman" w:hAnsi="Times New Roman" w:cs="Times New Roman"/>
                <w:sz w:val="24"/>
                <w:szCs w:val="24"/>
              </w:rPr>
              <w:t xml:space="preserve"> privind Fondul Arhivistic al Republicii Moldova, la art. 211 , propunem completarea după cuvintele ”documentelor electronice” cu cuvintele ,,datelor, documentelor, documentelor digitizate” la forma gramaticală corespunzătoare. Propunerea are scopul de a extinde obiectul de reglementare în ceea ce privește utilizarea serviciilor de arhivă electronică în raport cu alte tipuri de fișiere și informații precum: datele și documentele digitizate, or, la moment, nejustificat, norma vizată se referă exclusiv la documentele electronice – care în sensul art. 2 din Legea nr. 124/2022 reprezintă doar ,,conținutul în formă electronică, în special sub formă de text ori de înregistrare sonoră, vizuală sau audiovizuală, căruia i-a fost aplicată semnătura electronică sau sigiliul electronic”. La alin. (2) al </w:t>
            </w:r>
            <w:r>
              <w:rPr>
                <w:rFonts w:ascii="Times New Roman" w:eastAsia="Times New Roman" w:hAnsi="Times New Roman" w:cs="Times New Roman"/>
                <w:sz w:val="24"/>
                <w:szCs w:val="24"/>
              </w:rPr>
              <w:lastRenderedPageBreak/>
              <w:t xml:space="preserve">art. 211 cuvintele ,, , cu condiția respectării standardelor minimale” propunem să se substituie cu cuvintele ,, În cazul documentelor electronice ce fac parte din Fondul Arhivistic de Stat, se aprobă standarde minime”. La final se completează cu o propoziție nouă: ,,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cazul </w:t>
            </w:r>
            <w:proofErr w:type="spellStart"/>
            <w:r>
              <w:rPr>
                <w:rFonts w:ascii="Times New Roman" w:eastAsia="Times New Roman" w:hAnsi="Times New Roman" w:cs="Times New Roman"/>
                <w:sz w:val="24"/>
                <w:szCs w:val="24"/>
              </w:rPr>
              <w:t>în</w:t>
            </w:r>
            <w:proofErr w:type="spellEnd"/>
            <w:r>
              <w:rPr>
                <w:rFonts w:ascii="Times New Roman" w:eastAsia="Times New Roman" w:hAnsi="Times New Roman" w:cs="Times New Roman"/>
                <w:sz w:val="24"/>
                <w:szCs w:val="24"/>
              </w:rPr>
              <w:t xml:space="preserve"> care legislația nu prevede expres termenul de stocare a datelor, acesta este stabilit de operator prin decizie motivată”. </w:t>
            </w:r>
          </w:p>
          <w:p w14:paraId="2C1EBD82"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Propunerile au sarcina de a extinde domeniul de aplicare a normelor de reglementare față de toate tipurile de date, documente digitizate și documente electronice, atât în sectorul public și privat, iar pentru a susține obiectivul proiectului de lege în a facilita comerțul electronic și economia digitală, cerințe de ținere a documentelor electronice ar trebui aprobate doar pentru documentele electronice ce fac parte din Fondul Arhivistic de Stat, or, în formula inițială, ar rezulta că Guvernul va aproba cerințe pentru orice document electronic (cerere, demers, petiție gestionată prin email, aplicație, </w:t>
            </w:r>
            <w:proofErr w:type="spellStart"/>
            <w:r>
              <w:rPr>
                <w:rFonts w:ascii="Times New Roman" w:eastAsia="Times New Roman" w:hAnsi="Times New Roman" w:cs="Times New Roman"/>
                <w:sz w:val="24"/>
                <w:szCs w:val="24"/>
              </w:rPr>
              <w:t>cloud</w:t>
            </w:r>
            <w:proofErr w:type="spellEnd"/>
            <w:r>
              <w:rPr>
                <w:rFonts w:ascii="Times New Roman" w:eastAsia="Times New Roman" w:hAnsi="Times New Roman" w:cs="Times New Roman"/>
                <w:sz w:val="24"/>
                <w:szCs w:val="24"/>
              </w:rPr>
              <w:t xml:space="preserve">, aplicații de comunicare sau oricare alt canal de comunicare - ceea ce este ireal). </w:t>
            </w:r>
          </w:p>
          <w:p w14:paraId="3258E903" w14:textId="77777777" w:rsidR="00B9643D" w:rsidRDefault="00000000" w:rsidP="002E1162">
            <w:pPr>
              <w:shd w:val="clear" w:color="auto" w:fill="FFFFFF"/>
              <w:rPr>
                <w:rFonts w:ascii="Times New Roman" w:eastAsia="Times New Roman" w:hAnsi="Times New Roman" w:cs="Times New Roman"/>
                <w:color w:val="212121"/>
                <w:sz w:val="24"/>
                <w:szCs w:val="24"/>
              </w:rPr>
            </w:pPr>
            <w:r>
              <w:rPr>
                <w:rFonts w:ascii="Times New Roman" w:eastAsia="Times New Roman" w:hAnsi="Times New Roman" w:cs="Times New Roman"/>
                <w:sz w:val="24"/>
                <w:szCs w:val="24"/>
              </w:rPr>
              <w:t>Mai mult, se propune a reglementa acele viduri existente, în care legislația nu prevede un termen de stocare a datelor, în astfel de cazuri având în vedere art. 4 alin. (1) lit. d) și art. 11 din Legea nr. 133/2011 privind protecția datelor cu caracter personal (</w:t>
            </w:r>
            <w:proofErr w:type="spellStart"/>
            <w:r>
              <w:rPr>
                <w:rFonts w:ascii="Times New Roman" w:eastAsia="Times New Roman" w:hAnsi="Times New Roman" w:cs="Times New Roman"/>
                <w:sz w:val="24"/>
                <w:szCs w:val="24"/>
              </w:rPr>
              <w:t>art</w:t>
            </w:r>
            <w:proofErr w:type="spellEnd"/>
            <w:r>
              <w:rPr>
                <w:rFonts w:ascii="Times New Roman" w:eastAsia="Times New Roman" w:hAnsi="Times New Roman" w:cs="Times New Roman"/>
                <w:sz w:val="24"/>
                <w:szCs w:val="24"/>
              </w:rPr>
              <w:t xml:space="preserve"> 5 alin. (1) lit. d) din Legea nr. 195/2024 privind protecția datelor cu caracter personal , care intră in vigoare in august 2026), termenul de stocare a datelor să poată fi determinat de entitatea vizată, normă similară celei din art. 10 alin. (3) din Legea nr. 284/2004 privind serviciile societății informaționale.</w:t>
            </w:r>
          </w:p>
        </w:tc>
        <w:tc>
          <w:tcPr>
            <w:tcW w:w="4530" w:type="dxa"/>
            <w:tcBorders>
              <w:top w:val="single" w:sz="4" w:space="0" w:color="000000"/>
              <w:bottom w:val="single" w:sz="4" w:space="0" w:color="000000"/>
              <w:right w:val="single" w:sz="4" w:space="0" w:color="000000"/>
            </w:tcBorders>
            <w:shd w:val="clear" w:color="auto" w:fill="FFFFFF"/>
          </w:tcPr>
          <w:p w14:paraId="17EFE83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69AB59F1" w14:textId="77777777" w:rsidR="00B9643D" w:rsidRDefault="00B9643D" w:rsidP="002E1162">
            <w:pPr>
              <w:jc w:val="both"/>
              <w:rPr>
                <w:rFonts w:ascii="Times New Roman" w:eastAsia="Times New Roman" w:hAnsi="Times New Roman" w:cs="Times New Roman"/>
                <w:b/>
                <w:bCs/>
                <w:sz w:val="24"/>
                <w:szCs w:val="24"/>
              </w:rPr>
            </w:pPr>
          </w:p>
          <w:p w14:paraId="6DA670F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Propunerile EBA sunt acceptate în principiu, cu reformulări de claritate. Se va extinde obiectul de reglementare de la ”documente electronice” la documente electronice, date, documente și documente digitizate, astfel încât serviciile de arhivă electronică să poată fi utilizate pentru toate tipurile relevante de fișiere, nu doar pentru documente semnate electronic, în concordanță cu definițiile din Legea nr. 124/2022. Totodată, se va delimita expres faptul că standardele minime aprobate prin hotărâre de Guvern vizează documentele care fac parte din Fondul Arhivistic de Stat, pentru a evita reglementarea generală a oricărui document electronic (email, fișier în </w:t>
            </w:r>
            <w:proofErr w:type="spellStart"/>
            <w:r>
              <w:rPr>
                <w:rFonts w:ascii="Times New Roman" w:eastAsia="Times New Roman" w:hAnsi="Times New Roman" w:cs="Times New Roman"/>
                <w:sz w:val="24"/>
                <w:szCs w:val="24"/>
              </w:rPr>
              <w:t>cloud</w:t>
            </w:r>
            <w:proofErr w:type="spellEnd"/>
            <w:r>
              <w:rPr>
                <w:rFonts w:ascii="Times New Roman" w:eastAsia="Times New Roman" w:hAnsi="Times New Roman" w:cs="Times New Roman"/>
                <w:sz w:val="24"/>
                <w:szCs w:val="24"/>
              </w:rPr>
              <w:t xml:space="preserve"> etc.), iar în situațiile în care legislația </w:t>
            </w:r>
            <w:r>
              <w:rPr>
                <w:rFonts w:ascii="Times New Roman" w:eastAsia="Times New Roman" w:hAnsi="Times New Roman" w:cs="Times New Roman"/>
                <w:sz w:val="24"/>
                <w:szCs w:val="24"/>
              </w:rPr>
              <w:lastRenderedPageBreak/>
              <w:t xml:space="preserve">nu prevede un termen de stocare a datelor, operatorul va stabili perioada prin decizie motivată, în conformitate cu principiile legislației privind protecția datelor cu caracter personal. </w:t>
            </w:r>
          </w:p>
          <w:p w14:paraId="25482AE4" w14:textId="77777777" w:rsidR="00B9643D" w:rsidRDefault="00B9643D" w:rsidP="002E1162">
            <w:pPr>
              <w:jc w:val="both"/>
              <w:rPr>
                <w:rFonts w:ascii="Times New Roman" w:eastAsia="Times New Roman" w:hAnsi="Times New Roman" w:cs="Times New Roman"/>
                <w:sz w:val="24"/>
                <w:szCs w:val="24"/>
              </w:rPr>
            </w:pPr>
          </w:p>
          <w:p w14:paraId="5CA2362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 de inclus în proiectul de lege:</w:t>
            </w:r>
          </w:p>
          <w:p w14:paraId="56057C3E" w14:textId="77777777" w:rsidR="00B9643D" w:rsidRDefault="00B9643D" w:rsidP="002E1162">
            <w:pPr>
              <w:jc w:val="both"/>
              <w:rPr>
                <w:rFonts w:ascii="Times New Roman" w:eastAsia="Times New Roman" w:hAnsi="Times New Roman" w:cs="Times New Roman"/>
                <w:sz w:val="24"/>
                <w:szCs w:val="24"/>
              </w:rPr>
            </w:pPr>
          </w:p>
          <w:p w14:paraId="2B7C483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Art. I.</w:t>
            </w:r>
            <w:r>
              <w:rPr>
                <w:rFonts w:ascii="Times New Roman" w:eastAsia="Times New Roman" w:hAnsi="Times New Roman" w:cs="Times New Roman"/>
                <w:sz w:val="24"/>
                <w:szCs w:val="24"/>
              </w:rPr>
              <w:t xml:space="preserve"> – Legea nr. 880/1992 privind Fondul Arhivistic al Republicii Moldova se modifică după cum urmează:</w:t>
            </w:r>
          </w:p>
          <w:p w14:paraId="59EA485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211, alineatul (1) se modifică și va avea următorul cuprins:</w:t>
            </w:r>
            <w:r>
              <w:rPr>
                <w:rFonts w:ascii="Times New Roman" w:eastAsia="Times New Roman" w:hAnsi="Times New Roman" w:cs="Times New Roman"/>
                <w:sz w:val="24"/>
                <w:szCs w:val="24"/>
              </w:rPr>
              <w:br/>
              <w:t>„(1) Autoritățile publice și alte persoane juridice pot utiliza servicii de arhivă electronică pentru păstrarea documentelor electronice, a datelor, a documentelor și a documentelor digitizate, în condițiile prezentei legi, ale legislației privind identificarea electronică și serviciile de încredere, precum și ale legislației privind protecția datelor cu caracter personal.”</w:t>
            </w:r>
          </w:p>
          <w:p w14:paraId="0BE5B82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articolul 211, alineatul (2) se modifică și se completează, având următorul cuprins:</w:t>
            </w:r>
            <w:r>
              <w:rPr>
                <w:rFonts w:ascii="Times New Roman" w:eastAsia="Times New Roman" w:hAnsi="Times New Roman" w:cs="Times New Roman"/>
                <w:sz w:val="24"/>
                <w:szCs w:val="24"/>
              </w:rPr>
              <w:br/>
              <w:t>„(2) Pentru documentele electronice, datele, documentele și documentele digitizate care fac parte din Fondul Arhivistic de Stat, standardele minime de păstrare și de securitate a arhivelor electronice se aprobă prin hotărâre de Guvern.</w:t>
            </w:r>
            <w:r>
              <w:rPr>
                <w:rFonts w:ascii="Times New Roman" w:eastAsia="Times New Roman" w:hAnsi="Times New Roman" w:cs="Times New Roman"/>
                <w:sz w:val="24"/>
                <w:szCs w:val="24"/>
              </w:rPr>
              <w:br/>
              <w:t xml:space="preserve">Pentru celelalte categorii de documente electronice, date, documente și documente digitizate, cerințele tehnice și organizatorice privind arhivarea electronică se stabilesc prin acte normative speciale sau prin politicile interne ale operatorilor, în conformitate cu legislația privind protecția datelor cu caracter </w:t>
            </w:r>
            <w:r>
              <w:rPr>
                <w:rFonts w:ascii="Times New Roman" w:eastAsia="Times New Roman" w:hAnsi="Times New Roman" w:cs="Times New Roman"/>
                <w:sz w:val="24"/>
                <w:szCs w:val="24"/>
              </w:rPr>
              <w:lastRenderedPageBreak/>
              <w:t>personal și cu scopurile prelucrării. În cazul în care legislația nu prevede expres termenul de stocare a datelor, operatorul stabilește perioada de stocare prin decizie motivată, în conformitate cu principiile prevăzute de legislația privind protecția datelor cu caracter personal și cu scopurile pentru care datele sunt prelucrate.”</w:t>
            </w:r>
          </w:p>
          <w:p w14:paraId="06D575E6" w14:textId="77777777" w:rsidR="00B9643D" w:rsidRDefault="00B9643D" w:rsidP="002E1162">
            <w:pPr>
              <w:jc w:val="both"/>
              <w:rPr>
                <w:rFonts w:ascii="Times New Roman" w:eastAsia="Times New Roman" w:hAnsi="Times New Roman" w:cs="Times New Roman"/>
                <w:sz w:val="24"/>
                <w:szCs w:val="24"/>
              </w:rPr>
            </w:pPr>
          </w:p>
        </w:tc>
      </w:tr>
      <w:tr w:rsidR="00B9643D" w14:paraId="66826B62" w14:textId="77777777" w:rsidTr="00CA3607">
        <w:tc>
          <w:tcPr>
            <w:tcW w:w="420" w:type="dxa"/>
            <w:shd w:val="clear" w:color="auto" w:fill="FFFFFF"/>
          </w:tcPr>
          <w:p w14:paraId="3E16235A"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2570271"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F05A59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123</w:t>
            </w:r>
          </w:p>
        </w:tc>
        <w:tc>
          <w:tcPr>
            <w:tcW w:w="6075" w:type="dxa"/>
            <w:tcBorders>
              <w:top w:val="single" w:sz="4" w:space="0" w:color="000000"/>
              <w:bottom w:val="single" w:sz="4" w:space="0" w:color="000000"/>
              <w:right w:val="single" w:sz="4" w:space="0" w:color="000000"/>
            </w:tcBorders>
            <w:shd w:val="clear" w:color="auto" w:fill="FFFFFF"/>
          </w:tcPr>
          <w:p w14:paraId="66AE1AC5"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La art. VIII, ce ține de completarea Legii nr. 105/2023 privind protecția consumatorilor</w:t>
            </w:r>
            <w:r>
              <w:rPr>
                <w:rFonts w:ascii="Times New Roman" w:eastAsia="Times New Roman" w:hAnsi="Times New Roman" w:cs="Times New Roman"/>
                <w:sz w:val="24"/>
                <w:szCs w:val="24"/>
              </w:rPr>
              <w:t xml:space="preserve">, proiectul de lege conține prevederi care afectează nejustificat echilibrul dintre drepturile consumatorului și cele ale comerciantului și care contravin principiului echității. În redacția propusă, normele introduse la art. 25 limitează dreptul comerciantului de a recupera cheltuielile efective suportate pentru efectuarea expertizei tehnice independente, chiar și în situația în care această expertiză este necesară pentru a răsturna prezumția de neconformitate instituită de art. 23 alin. (6). </w:t>
            </w:r>
          </w:p>
          <w:p w14:paraId="4045E902"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potrivit cadrului legal în vigoare, comerciantul este ținut să dovedească faptul că neconformitatea nu îi este imputabilă, atunci când consumatorul contestă refuzul de soluționare a reclamației. În acest context, expertiza tehnică independentă reprezintă un mijloc probator indispensabil pentru îndeplinirea obligației legale de probațiune, iar nu un cost care ar trebui exclus, în mod absolut, din posibilitatea de recuperare. </w:t>
            </w:r>
          </w:p>
          <w:p w14:paraId="5508CBB7"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Normele propuse creează o restricție disproporționată Potrivit art. 25, în situația în care comerciantul refuză satisfacerea reclamației pe motiv că neconformitatea a apărut din motive imputabile consumatorului, acesta are obligația de a dovedi această împrejurare prin expertiză tehnică independentă. Totodată, art. 23 alin. (6) instituie o prezumție legală în favoarea consumatorului, potrivit căreia orice neconformitate constatată în termen de un an de la livrare este prezumată a fi existat la momentul livrării, până la proba contrarie. În aceste condiții, dacă expertiza este solicitată de </w:t>
            </w:r>
            <w:r>
              <w:rPr>
                <w:rFonts w:ascii="Times New Roman" w:eastAsia="Times New Roman" w:hAnsi="Times New Roman" w:cs="Times New Roman"/>
                <w:sz w:val="24"/>
                <w:szCs w:val="24"/>
              </w:rPr>
              <w:lastRenderedPageBreak/>
              <w:t xml:space="preserve">comerciant tocmai pentru a răsturna această prezumție legală, este inechitabil ca acesta să fie lipsit, în mod automat, de posibilitatea de a recupera costurile, chiar și atunci când expertiza confirmă că defectul a fost cauzat de consumator sau de factori </w:t>
            </w:r>
            <w:proofErr w:type="spellStart"/>
            <w:r>
              <w:rPr>
                <w:rFonts w:ascii="Times New Roman" w:eastAsia="Times New Roman" w:hAnsi="Times New Roman" w:cs="Times New Roman"/>
                <w:sz w:val="24"/>
                <w:szCs w:val="24"/>
              </w:rPr>
              <w:t>apăruti</w:t>
            </w:r>
            <w:proofErr w:type="spellEnd"/>
            <w:r>
              <w:rPr>
                <w:rFonts w:ascii="Times New Roman" w:eastAsia="Times New Roman" w:hAnsi="Times New Roman" w:cs="Times New Roman"/>
                <w:sz w:val="24"/>
                <w:szCs w:val="24"/>
              </w:rPr>
              <w:t xml:space="preserve"> ulterior livrării.</w:t>
            </w:r>
          </w:p>
          <w:p w14:paraId="4D7C0B17"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Se creează un regim dezechilibrat în raport cu principiul echității Reglementarea propusă produce un efect excesiv: comerciantul suportă întotdeauna costul expertizei, indiferent de rezultatul acesteia și indiferent de conduita consumatorului. Această soluție nu este proporțională, întrucât transferă asupra comerciantului o sarcină financiară care, în mod firesc, ar trebui să fie suportată de partea în culpa căreia s-a produs defectul, atunci când aceasta este identificată prin probe obiective. </w:t>
            </w:r>
          </w:p>
          <w:p w14:paraId="2AC24281"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Se descurajează utilizarea corectă a mecanismului probator Dacă comerciantul nu are posibilitatea de a recupera costul expertizei nici măcar în cazul în care se dovedește culpa consumatorului, se ajunge la o descurajare a exercitării legitime a dreptului de apărare și a obligației de probațiune prevăzute de lege.</w:t>
            </w:r>
          </w:p>
          <w:p w14:paraId="797E1DD6"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practică, aceasta poate conduce fie la refuzul comercianților de a recurge la expertize, fie la asumarea unor costuri care nu mai au un temei echitabil, ceea ce nu servește nici interesului consumatorului, nici unei aplicări corecte a legii.</w:t>
            </w:r>
          </w:p>
          <w:p w14:paraId="764B85D0"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Prin urmare, formularea propusă trebuie revizuită, deoarece, în redacția actuală, are ca efect excluderea nejustificată a dreptului comerciantului de a solicita rambursarea cheltuielilor pentru expertiza tehnică independentă, inclusiv în ipoteza în care expertiza confirmă că neconformitatea este imputabilă consumatorului. </w:t>
            </w:r>
          </w:p>
          <w:p w14:paraId="4A596C21"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se propune excluderea sintagmelor:</w:t>
            </w:r>
          </w:p>
          <w:p w14:paraId="639619A9"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 cu excepția situației în care expertiza a fost necesară vânzătorului sau prestatorului pentru a-și îndeplini propria obligație legală de a răsturna prezumția de neconformitate în favoarea consumatorului, în condițiile legii”; și </w:t>
            </w:r>
          </w:p>
          <w:p w14:paraId="106342E9"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„Obligația de rambursare de către consumator nu este aplicabilă în ipoteza în care expertiza a fost necesară vânzătorului pentru a-și îndeplini obligația legală de probațiune pusă în sarcina sa conform art. 23 alin. (6)”, întrucât acestea restrâng în mod nejustificat dreptul comerciantului de a recupera cheltuielile efective suportate pentru expertiză în cazurile în care neconformitatea este cauzată de consumator.</w:t>
            </w:r>
          </w:p>
          <w:p w14:paraId="224003F7"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Mulțumim anticipat pentru considerare și exprimăm deschiderea și disponibilitatea comunității de afaceri de a oferi suportul și expertiza necesară în vederea ajustării cadrului legal pentru realizarea unei dezvoltări sustenabile pe termen lung.</w:t>
            </w:r>
          </w:p>
          <w:p w14:paraId="4B0AA84E" w14:textId="77777777" w:rsidR="00CA3607" w:rsidRDefault="00CA3607"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2E792F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38FF3899" w14:textId="77777777" w:rsidR="00B9643D" w:rsidRDefault="00B9643D" w:rsidP="002E1162">
            <w:pPr>
              <w:jc w:val="both"/>
              <w:rPr>
                <w:rFonts w:ascii="Times New Roman" w:eastAsia="Times New Roman" w:hAnsi="Times New Roman" w:cs="Times New Roman"/>
                <w:b/>
                <w:bCs/>
                <w:sz w:val="24"/>
                <w:szCs w:val="24"/>
              </w:rPr>
            </w:pPr>
          </w:p>
          <w:p w14:paraId="322B181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Regimul din proiect (în care comerciantul nu poate cere consumatorului rambursarea costurilor expertizei atunci când expertiza este necesară pentru a răsturna prezumția legală în favoarea consumatorului) este în linie cu logica Legii nr. 105/2023 și cu principiul protecției sporite a consumatorului. Proiectul asigură un echilibru corespunzător între drepturile și obligațiile părților: comerciantul își poate utiliza toate mijloacele probatorii (inclusiv expertiza), dar își asumă costurile aferente ca parte a responsabilității sale profesionale.</w:t>
            </w:r>
          </w:p>
          <w:p w14:paraId="3A479095" w14:textId="77777777" w:rsidR="00B9643D" w:rsidRDefault="00B9643D" w:rsidP="002E1162">
            <w:pPr>
              <w:jc w:val="both"/>
              <w:rPr>
                <w:rFonts w:ascii="Times New Roman" w:eastAsia="Times New Roman" w:hAnsi="Times New Roman" w:cs="Times New Roman"/>
                <w:sz w:val="24"/>
                <w:szCs w:val="24"/>
              </w:rPr>
            </w:pPr>
          </w:p>
        </w:tc>
      </w:tr>
      <w:tr w:rsidR="00B9643D" w14:paraId="7A03B643" w14:textId="77777777" w:rsidTr="00CA3607">
        <w:tc>
          <w:tcPr>
            <w:tcW w:w="420" w:type="dxa"/>
            <w:shd w:val="clear" w:color="auto" w:fill="FFFFFF"/>
          </w:tcPr>
          <w:p w14:paraId="345E84D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91AF7B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Asociația Băncilor din Moldova</w:t>
            </w:r>
          </w:p>
          <w:p w14:paraId="0A9DBF2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Aviz nr.02-06/212 din 10.07.2026</w:t>
            </w:r>
          </w:p>
        </w:tc>
        <w:tc>
          <w:tcPr>
            <w:tcW w:w="720" w:type="dxa"/>
            <w:tcBorders>
              <w:top w:val="single" w:sz="4" w:space="0" w:color="000000"/>
              <w:bottom w:val="single" w:sz="4" w:space="0" w:color="000000"/>
            </w:tcBorders>
            <w:shd w:val="clear" w:color="auto" w:fill="FFFFFF"/>
          </w:tcPr>
          <w:p w14:paraId="60BB4AA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124</w:t>
            </w:r>
          </w:p>
        </w:tc>
        <w:tc>
          <w:tcPr>
            <w:tcW w:w="6075" w:type="dxa"/>
            <w:tcBorders>
              <w:top w:val="single" w:sz="4" w:space="0" w:color="000000"/>
              <w:bottom w:val="single" w:sz="4" w:space="0" w:color="000000"/>
              <w:right w:val="single" w:sz="4" w:space="0" w:color="000000"/>
            </w:tcBorders>
            <w:shd w:val="clear" w:color="auto" w:fill="FFFFFF"/>
          </w:tcPr>
          <w:p w14:paraId="0C2BE2CE"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Asociația Băncilor din Moldova a examinat proiectul de Lege pentru modificarea unor acte normative (pentru promovarea economiei digitale și a comerțului electronic) și comunică următoarele comentarii și obiecții cu referire la modificările propuse:</w:t>
            </w:r>
          </w:p>
          <w:p w14:paraId="0AA8AF2A"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1.La art. 59 din Legea nr. 114 privind serviciile de plată și moneda electronică din 18.05.2012 (în continuare „Legea 114/2012”).</w:t>
            </w:r>
          </w:p>
          <w:p w14:paraId="045485D3"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Modificarea propusă este discutabilă atât din perspectiva obiectului reglementării art. 59 din Legea nr. 114/2012, cât și din perspectiva rolului și competențelor prestatorilor de servicii de plată. În esență, aceasta confundă executarea operațiunii de plată cu executarea contractului comercial de bază și transformă prestatorul de servicii de plată într-un organ de soluționare a litigiilor contractuale, funcție care îi este străină potrivit cadrului legal al serviciilor de plată și arhitecturii stabilite în spațiul european prin Directiva privind serviciile de plată în cadrul pieței interne din 25 noiembrie 2015 (în continuare„PSD2”).</w:t>
            </w:r>
          </w:p>
          <w:p w14:paraId="399E9F88"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titlu de principiu, menționăm că articolul 59 din Legea 114/2012 reglementează dreptul la rambursarea unei operațiuni de plată și face parte din ansamblul normelor care vizează autorizarea, executarea și răspunderea aferentă </w:t>
            </w:r>
            <w:r>
              <w:rPr>
                <w:rFonts w:ascii="Times New Roman" w:eastAsia="Times New Roman" w:hAnsi="Times New Roman" w:cs="Times New Roman"/>
                <w:sz w:val="24"/>
                <w:szCs w:val="24"/>
              </w:rPr>
              <w:lastRenderedPageBreak/>
              <w:t>operațiunilor de plată. Obiectul său de reglementare îl constituie transferul fondurilor și condițiile în care o operațiune de plată poate fi rambursată, nu executarea obligațiilor comerciale asumate între cumpărător și comerciant. Or, criteriul propus (existența dovezii de livrare a bunului) nu reprezintă un element al operațiunii de plată, ci ține exclusiv de executarea unui raport juridic distinct, derivat din contractul de vânzare-cumpărare, de prestări servicii, de transport sau din alte raporturi contractuale secundare. Introducerea unui asemenea criteriu în cadrul art. 59 extinde artificial obiectul reglementării și deplasează analiza din sfera serviciilor de plată în sfera executării obligațiilor contractuale.</w:t>
            </w:r>
          </w:p>
          <w:p w14:paraId="155B00DF"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alt aspect care necesită a fi avut în vedere rezultă din însăși structura art. 59. </w:t>
            </w:r>
          </w:p>
          <w:p w14:paraId="5F3D2408"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această ordine de idei, dreptul la rambursare reglementat de această dispoziție nu reprezintă regula în materia operațiunilor de plată autorizate, ci o excepție expresă și limitativă prevăzută de către legiuitor. Rambursarea poate fi solicitată numai în situații particulare, atunci când autorizația acordată de plătitor nu specifica suma exactă a operațiunii de plată la momentul exprimării consimțământului, iar suma debitată a depășit în mod rezonabil ceea ce plătitorul se putea aștepta să achite. Prin urmare, legiuitorul a condiționat accesul la mecanismul de rambursare de existența unor circumstanțe excepționale care privesc însăși modalitatea de autorizare și executare a operațiunii de plată.</w:t>
            </w:r>
          </w:p>
          <w:p w14:paraId="479C2983" w14:textId="77777777" w:rsidR="00B9643D" w:rsidRDefault="00B9643D" w:rsidP="002E1162">
            <w:pPr>
              <w:shd w:val="clear" w:color="auto" w:fill="FFFFFF"/>
              <w:jc w:val="both"/>
              <w:rPr>
                <w:rFonts w:ascii="Times New Roman" w:eastAsia="Times New Roman" w:hAnsi="Times New Roman" w:cs="Times New Roman"/>
                <w:sz w:val="24"/>
                <w:szCs w:val="24"/>
              </w:rPr>
            </w:pPr>
          </w:p>
          <w:p w14:paraId="4CF161ED"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 context, introducerea unei obligații suplimentare de refuz al rambursării în cazul existenței unei dovezi de livrare a bunului echivalează cu instituirea unei veritabile excepții de la un mecanism care are deja caracter excepțional.</w:t>
            </w:r>
          </w:p>
          <w:p w14:paraId="6346AB0B"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 mult, criteriul propus și anume existența dovezii de livrare a bunului, nu are nicio legătură juridică cu elementele pe care art. 59 alin. (1) le consideră relevante pentru acordarea rambursării.</w:t>
            </w:r>
          </w:p>
          <w:p w14:paraId="291CBF0E"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Totodată, pentru a aplica în mod efectiv norma propusă, prestatorul de servicii de plată ar fi obligat să aprecieze aspecte care excedează competențelor sale legale și instituționale. Acesta ar trebui să stabilească dacă bunul a fost efectiv livrat, dacă a fost livrat persoanei îndreptățite, dacă livrarea a fost completă, dacă bunul era conform contractului, dacă prezenta defecte, dacă corespundea descrierii și specificațiilor convenite ori dacă consumatorul beneficia de anumite remedii contractuale sau legale. Aceste chestiuni presupun interpretarea și aplicarea normelor de drept civil și de protecție a consumatorilor, precum și aprecierea probelor aferente executării contractului. Prestatorul de servicii de plată nu este însă instanță de judecată, arbitru și nici autoritate competentă în materia protecției consumatorilor, iar legislația serviciilor de plată nu îi conferă atribuții de constatare și soluționare a unor asemenea litigii.</w:t>
            </w:r>
          </w:p>
          <w:p w14:paraId="4EDA51CE"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Mai mult, existența unei dovezi de livrare nu demonstrează, prin ea însăși, executarea corespunzătoare a obligațiilor contractuale ale comerciantului. Pot exista numeroase situații în care bunul a fost livrat, însă obligația contractuală nu a fost executată conform contractului: a fost livrat un alt produs decât cel comandat, produsul era deteriorat, incomplet, nefuncțional, contrafăcut sau neconform condițiilor contractuale. În toate aceste cazuri poate exista o dovadă formală a livrării, fără ca aceasta să echivaleze cu executarea corespunzătoare a obligației vânzătorului.</w:t>
            </w:r>
          </w:p>
          <w:p w14:paraId="28811DE2"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 asemenea, norma propusă ar genera obligații excesive și dificil de realizat în practică pentru prestatorii de servicii de plată. În termenul legal (art. 58 alin. (8) din Legea 114/2012) prevăzut pentru examinarea cererii de rambursare, aceștia ar trebui să colecteze documente, să verifice autenticitatea și relevanța acestora, să analizeze circumstanțele livrării și să aprecieze valoarea probatorie a înscrisurilor prezentate de către părți. O asemenea obligație depășește funcțiile specifice ale unui prestator de servicii de plată și riscă să transforme procedura de rambursare într-un proces cvasi-jurisdicțional, incompatibil cu natura și finalitatea activității de prestare a </w:t>
            </w:r>
            <w:r>
              <w:rPr>
                <w:rFonts w:ascii="Times New Roman" w:eastAsia="Times New Roman" w:hAnsi="Times New Roman" w:cs="Times New Roman"/>
                <w:sz w:val="24"/>
                <w:szCs w:val="24"/>
              </w:rPr>
              <w:lastRenderedPageBreak/>
              <w:t>serviciilor de plată, denaturând astfel mecanismul de rambursare reglementat de Legea nr. 114/2012.</w:t>
            </w:r>
          </w:p>
          <w:p w14:paraId="7C643CF7"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același timp, modificarea propusă este dificil de conciliat cu mecanismul de protecție a plătitorului consacrat de legislația europeană în materia serviciilor de plată (PSD2). Regimul juridic al rambursării este construit în jurul analizei condițiilor în care a fost autorizată și executată operațiunea de plată, nu în jurul examinării raportului contractual dintre comerciant și consumator. Propunerea modifică însă natura instituției juridice reglementate de art. 59, transformând un mecanism specific serviciilor de plată într-un instrument de evaluare a executării contractelor.</w:t>
            </w:r>
          </w:p>
          <w:p w14:paraId="2C83D614"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Modificarea propusă ridică probleme și din perspectiva protecției consumatorilor, întrucât echivalează din punct de vedere juridic dovada livrării cu executarea corespunzătoare a obligației comerciantului. După cum ne-am expus supra, dovada livrării poate demonstra exclusiv faptul că un bun a fost predat consumatorului sau pus la dispoziția acestuia, însă nu poate demonstra că obligațiile contractuale ale comerciantului au fost executate în mod corespunzător. Executarea contractului presupune nu doar livrarea bunului, ci și conformitatea acestuia cu specificațiile convenite, calitatea, cantitatea comandată și celelalte obligații asumate de către comerciant. Din acest motiv, simpla existență a unei dovezi de livrare nu poate constitui un criteriu suficient pentru a concluziona că raportul contractual a fost executat corespunzător.</w:t>
            </w:r>
          </w:p>
          <w:p w14:paraId="58B88AF7"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 mult, soluția propusă riscă să instituie o prezumție legală în favoarea comerciantului, potrivit căreia simpla prezentare a dovezii de livrare ar fi suficientă pentru a înlătura orice pretenție a consumatorului privind restituirea sumelor achitate. O asemenea abordare transferă în mod nejustificat asupra consumatorului riscurile generate de executarea defectuoasă a contractului și creează un dezechilibru între poziția juridică a părților. În practică, comerciantul ar putea opune consumatorului un document de livrare, în timp ce consumatorul ar fi lipsit de posibilitatea efectivă de a </w:t>
            </w:r>
            <w:r>
              <w:rPr>
                <w:rFonts w:ascii="Times New Roman" w:eastAsia="Times New Roman" w:hAnsi="Times New Roman" w:cs="Times New Roman"/>
                <w:sz w:val="24"/>
                <w:szCs w:val="24"/>
              </w:rPr>
              <w:lastRenderedPageBreak/>
              <w:t>demonstra, în cadrul procedurii de rambursare, că bunul era neconform, deteriorat, incomplet, diferit de cel comandat sau că beneficia de alte remedii prevăzute de lege. Prin urmare, transformarea dovezii de livrare într-un motiv legal de refuz al rambursării este arbitrară și disproporționată, întrucât ignoră complexitatea raportului contractual dintre comerciant și consumator.</w:t>
            </w:r>
          </w:p>
          <w:p w14:paraId="3AB80D6F"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plus, mecanismul propus riscă să afecteze efectivitatea drepturilor consumatorilor recunoscute de legislația națională și europeană. Drepturile privind conformitatea bunurilor, remedierea neconformităților, revocarea contractului sau restituirea prestațiilor au fost instituite tocmai pentru a proteja partea aflată într-o poziție economică și informațională inferioară în raport cu comerciantul. Or, atribuirea unei valori aproape decisive dovezii de livrare poate transforma aceste garanții legale în drepturi iluzorii, întrucât consumatorul ar putea fi privat de o cale efectivă de contestare înainte ca fondul raportului contractual să fie examinat de o autoritate competentă. </w:t>
            </w:r>
          </w:p>
          <w:p w14:paraId="41E81DC9"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modificarea propusă nu doar că depășește obiectul reglementării serviciilor de plată, ci riscă să afecteze echilibrul existent între protecția comerciantului și protecția consumatorului, acordând unei simple dovezi de livrare efecte juridice care excedează capacității sale probatorii reale și care nu sunt compatibile cu principiul protecției efective a consumatorului.</w:t>
            </w:r>
          </w:p>
          <w:p w14:paraId="42D5A142"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concluzie, introducerea obligației de a refuza rambursarea pe baza existenței dovezii de livrare a bunului este incompatibilă cu obiectul și finalitatea art. 59 din Legea nr. 114/2012, transferă asupra prestatorilor de servicii de plată atribuții care excedează competențelor lor legale și transformă analiza unei operațiuni de plată într-o examinare a executării contractului comercial. În acest sens, solicităm respectuos renunțarea la completarea art.59 din Legea nr. 114/2012.</w:t>
            </w:r>
          </w:p>
          <w:p w14:paraId="00CB8649" w14:textId="77777777" w:rsidR="00CA3607" w:rsidRDefault="00CA3607"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AEB3EF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Amendamentul a fost transferat după competență</w:t>
            </w:r>
          </w:p>
          <w:p w14:paraId="4DDB5628" w14:textId="77777777" w:rsidR="00B9643D" w:rsidRDefault="00B9643D" w:rsidP="002E1162">
            <w:pPr>
              <w:jc w:val="both"/>
              <w:rPr>
                <w:rFonts w:ascii="Times New Roman" w:eastAsia="Times New Roman" w:hAnsi="Times New Roman" w:cs="Times New Roman"/>
                <w:b/>
                <w:bCs/>
                <w:sz w:val="24"/>
                <w:szCs w:val="24"/>
              </w:rPr>
            </w:pPr>
          </w:p>
          <w:p w14:paraId="72852C5C" w14:textId="77777777" w:rsidR="00B9643D" w:rsidRDefault="00000000" w:rsidP="002E116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 se vedea argumentarea la pct. 8.</w:t>
            </w:r>
          </w:p>
        </w:tc>
      </w:tr>
      <w:tr w:rsidR="00B9643D" w14:paraId="0529276A" w14:textId="77777777" w:rsidTr="00CA3607">
        <w:tc>
          <w:tcPr>
            <w:tcW w:w="420" w:type="dxa"/>
            <w:shd w:val="clear" w:color="auto" w:fill="FFFFFF"/>
          </w:tcPr>
          <w:p w14:paraId="7B74177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FB4CBBB"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5F891E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125</w:t>
            </w:r>
          </w:p>
        </w:tc>
        <w:tc>
          <w:tcPr>
            <w:tcW w:w="6075" w:type="dxa"/>
            <w:tcBorders>
              <w:top w:val="single" w:sz="4" w:space="0" w:color="000000"/>
              <w:bottom w:val="single" w:sz="4" w:space="0" w:color="000000"/>
              <w:right w:val="single" w:sz="4" w:space="0" w:color="000000"/>
            </w:tcBorders>
            <w:shd w:val="clear" w:color="auto" w:fill="FFFFFF"/>
          </w:tcPr>
          <w:p w14:paraId="6C0179D8"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2.Suplimentar, la art. IV din proiectul Legii, care introduce modificări la Legea 308/2017 cu privire la prevenirea și combaterea spălării banilor și finanțării terorismului, pct. 8-10, modificările propuse condiționează obligația de raportare prevăzută la art. 11 alin. (2), (3) și (3¹) de existența unui „risc sporit de spălare a banilor și de finanțare a terorismului”, însă proiectul nu stabilește criteriile în baza cărora acest risc urmează să fie determinat.</w:t>
            </w:r>
          </w:p>
          <w:p w14:paraId="0FAC3F25"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vederea asigurării unei aplicări uniforme și previzibile a legii, considerăm necesară completarea proiectului cu prevederi care să stabilească expres criteriile de identificare a categoriilor de clienți sau produse cu risc sporit ori, cel puțin, instituirea obligației autorității de profil, de a aproba și publica criterii, reguli metodologice sau ghiduri obligatorii în acest sens.</w:t>
            </w:r>
          </w:p>
          <w:p w14:paraId="5DFF22AA"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lipsa unor criterii clare și transparente, există riscul unor interpretări diferite ale noțiunii de „risc sporit” de către entitățile raportoare și autoritatea de supraveghere/control, ceea ce poate conduce la aplicarea neuniformă a obligațiilor legale și la aprecierea subiectivă, inclusiv retrospectivă, a conformității raportărilor.</w:t>
            </w:r>
          </w:p>
          <w:p w14:paraId="1FE1C4C1"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având în vedere nivelul ridicat al sancțiunilor prevăzute de Legea nr. 75/2020 privind procedura de constatare a încălcărilor în domeniul prevenirii spălării banilor și finanțării terorismului și modul de aplicare a sancțiunilor (în special art. 51 și 53), lipsa unor criterii obiective creează un risc semnificativ de insecuritate juridică pentru entitățile raportoare. În asemenea condiții, conformitatea raportărilor ar putea depinde de interpretarea ulterioară a autorității de control, ceea ce este contrar principiilor previzibilității și securității raporturilor juridice.</w:t>
            </w:r>
          </w:p>
          <w:p w14:paraId="18549F38" w14:textId="1898477B"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Prin urmare, se recomandă completarea proiectului cu criterii clare de evaluare a riscului sporit sau cu o normă expresă care să oblige SPCSB să aprobe și să publice metodologia aferentă înainte de intrarea în vigoare a noilor prevederi.</w:t>
            </w:r>
          </w:p>
          <w:p w14:paraId="016CF63F" w14:textId="77777777" w:rsidR="00B9643D" w:rsidRDefault="00B9643D"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C2F8CA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Amendamentul a fost transferat după competență</w:t>
            </w:r>
          </w:p>
          <w:p w14:paraId="5732C9BD" w14:textId="77777777" w:rsidR="00B9643D" w:rsidRDefault="00B9643D" w:rsidP="002E1162">
            <w:pPr>
              <w:jc w:val="both"/>
              <w:rPr>
                <w:rFonts w:ascii="Times New Roman" w:eastAsia="Times New Roman" w:hAnsi="Times New Roman" w:cs="Times New Roman"/>
                <w:sz w:val="24"/>
                <w:szCs w:val="24"/>
              </w:rPr>
            </w:pPr>
          </w:p>
          <w:p w14:paraId="5272476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se vedea argumentarea la pct. 8.</w:t>
            </w:r>
          </w:p>
        </w:tc>
      </w:tr>
      <w:tr w:rsidR="00B9643D" w14:paraId="524E595F" w14:textId="77777777" w:rsidTr="00CA3607">
        <w:tc>
          <w:tcPr>
            <w:tcW w:w="420" w:type="dxa"/>
            <w:shd w:val="clear" w:color="auto" w:fill="FFFFFF"/>
          </w:tcPr>
          <w:p w14:paraId="16D9B27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89FAE4F" w14:textId="77777777" w:rsidR="00B9643D" w:rsidRDefault="00000000" w:rsidP="002E1162">
            <w:pPr>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Primaria</w:t>
            </w:r>
            <w:proofErr w:type="spellEnd"/>
            <w:r>
              <w:rPr>
                <w:rFonts w:ascii="Times New Roman" w:eastAsia="Times New Roman" w:hAnsi="Times New Roman" w:cs="Times New Roman"/>
                <w:b/>
                <w:bCs/>
                <w:sz w:val="24"/>
                <w:szCs w:val="24"/>
              </w:rPr>
              <w:t xml:space="preserve"> municipiului Chișinău</w:t>
            </w:r>
          </w:p>
        </w:tc>
        <w:tc>
          <w:tcPr>
            <w:tcW w:w="720" w:type="dxa"/>
            <w:tcBorders>
              <w:top w:val="single" w:sz="4" w:space="0" w:color="000000"/>
              <w:bottom w:val="single" w:sz="4" w:space="0" w:color="000000"/>
            </w:tcBorders>
            <w:shd w:val="clear" w:color="auto" w:fill="FFFFFF"/>
          </w:tcPr>
          <w:p w14:paraId="60EEDFF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126</w:t>
            </w:r>
          </w:p>
        </w:tc>
        <w:tc>
          <w:tcPr>
            <w:tcW w:w="6075" w:type="dxa"/>
            <w:tcBorders>
              <w:top w:val="single" w:sz="4" w:space="0" w:color="000000"/>
              <w:bottom w:val="single" w:sz="4" w:space="0" w:color="000000"/>
              <w:right w:val="single" w:sz="4" w:space="0" w:color="000000"/>
            </w:tcBorders>
            <w:shd w:val="clear" w:color="auto" w:fill="FFFFFF"/>
          </w:tcPr>
          <w:p w14:paraId="4712192F"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Primăria Municipiului Chișinău a examinat proiectul de lege privind modificarea unor acte normative (pentru promovarea economiei digitale și a comerțului electronic), nr. 629/MDED/2026, elaborat de către Ministerul Dezvoltării Economice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Digitalizării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comunică următoarele. Referitor la art. II din proiectul de lege, pct. 3 prin care se propune completarea art. 291 alin. (1) lit. e) din Codul fiscal nr. 1163/1997. Proiectul de lege propune excluderea din sfera taxei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a unităților comerciale a operatorilor de comerț electronic prin intermediul caselor de comenzi sau prin internet, care desfășoară activitate de comerț electronic fără a dispune de suprafață comercială. Potrivit prevederilor pct. 32 din Nomenclatorul unităților comerciale aprobat prin anexa nr. 5 la Legea nr. 231/2010 cu privire la comerțul interior, constituie obiect al impunerii cu taxa locală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unitățile de comerț cu amănuntul prin intermediul caselor de comenzi sau prin internet, în care activitatea principală </w:t>
            </w:r>
            <w:proofErr w:type="spellStart"/>
            <w:r>
              <w:rPr>
                <w:rFonts w:ascii="Times New Roman" w:eastAsia="Times New Roman" w:hAnsi="Times New Roman" w:cs="Times New Roman"/>
                <w:sz w:val="24"/>
                <w:szCs w:val="24"/>
              </w:rPr>
              <w:t>desfăşurată</w:t>
            </w:r>
            <w:proofErr w:type="spellEnd"/>
            <w:r>
              <w:rPr>
                <w:rFonts w:ascii="Times New Roman" w:eastAsia="Times New Roman" w:hAnsi="Times New Roman" w:cs="Times New Roman"/>
                <w:sz w:val="24"/>
                <w:szCs w:val="24"/>
              </w:rPr>
              <w:t xml:space="preserve"> este comerțul electronic, realizat prin practicile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modalitățile specifice acestui tip de </w:t>
            </w:r>
            <w:proofErr w:type="spellStart"/>
            <w:r>
              <w:rPr>
                <w:rFonts w:ascii="Times New Roman" w:eastAsia="Times New Roman" w:hAnsi="Times New Roman" w:cs="Times New Roman"/>
                <w:sz w:val="24"/>
                <w:szCs w:val="24"/>
              </w:rPr>
              <w:t>comerţ</w:t>
            </w:r>
            <w:proofErr w:type="spellEnd"/>
            <w:r>
              <w:rPr>
                <w:rFonts w:ascii="Times New Roman" w:eastAsia="Times New Roman" w:hAnsi="Times New Roman" w:cs="Times New Roman"/>
                <w:sz w:val="24"/>
                <w:szCs w:val="24"/>
              </w:rPr>
              <w:t>.</w:t>
            </w:r>
          </w:p>
          <w:p w14:paraId="1C5D0AD9" w14:textId="32BD9BF3"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unitățile comerciale care dispun de suprafață comercială, în cazul în care activitatea de comerț cu amănuntul prin intermediul caselor de comenzi sau prin internet nu reprezintă activitatea principală, această activitate se consideră o practică/modalitate de comercializare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nu se notifică suplimentar, respectiv nu este obiect al impunerii. Taxele locale sunt plățile obligatorii cu titlu definitiv, percepute de la persoanele fizice sau juridice de către autoritățile administrației publice locale, instituite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destinate formării bugetului local pentru a finanța infrastructura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serviciile din raza unității </w:t>
            </w:r>
            <w:r w:rsidR="00CA3607">
              <w:rPr>
                <w:rFonts w:ascii="Times New Roman" w:eastAsia="Times New Roman" w:hAnsi="Times New Roman" w:cs="Times New Roman"/>
                <w:sz w:val="24"/>
                <w:szCs w:val="24"/>
              </w:rPr>
              <w:t>administrativ teritoriale</w:t>
            </w:r>
            <w:r>
              <w:rPr>
                <w:rFonts w:ascii="Times New Roman" w:eastAsia="Times New Roman" w:hAnsi="Times New Roman" w:cs="Times New Roman"/>
                <w:sz w:val="24"/>
                <w:szCs w:val="24"/>
              </w:rPr>
              <w:t xml:space="preserve">. În contextul derogării de la achitarea taxei locale propuse prin proiectul de lege, precum și al argumentelor expuse în Tabelul de sinteză a propunerilor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recomandărilor (la propunerea Ministerului Finanțelor, pag. 28, nr. 25), se constată că autorul reține, în mod eronat, că activitatea de </w:t>
            </w:r>
            <w:r>
              <w:rPr>
                <w:rFonts w:ascii="Times New Roman" w:eastAsia="Times New Roman" w:hAnsi="Times New Roman" w:cs="Times New Roman"/>
                <w:sz w:val="24"/>
                <w:szCs w:val="24"/>
              </w:rPr>
              <w:lastRenderedPageBreak/>
              <w:t xml:space="preserve">comerț electronic care nu deține o suprafață comercială deschisă publicului pe teritoriul unității administrativ-teritoriale nu generează sarcini asupra infrastructurii locale. O asemenea concluzie nu corespunde realității, întrucât activitatea de comerț electronic presupune comercializarea bunurilor cu livrarea acestora la domiciliul consumatorului, prin intermediul serviciilor de curierat proprii sau contractate. În procesul de livrare sunt utilizate în mod direct elementele infrastructurii publice locale, inclusiv drumurile publice, parcările, iluminatul stradal și alte amenajări publice, iar activitatea contribuie la intensificarea traficului rutier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la utilizarea serviciilor publice locale, inclusiv a celor de salubrizare.</w:t>
            </w:r>
          </w:p>
          <w:p w14:paraId="3875FA74" w14:textId="77777777" w:rsidR="00B9643D" w:rsidRDefault="00000000" w:rsidP="002E1162">
            <w:pPr>
              <w:shd w:val="clear" w:color="auto" w:fill="FFFFFF"/>
              <w:jc w:val="both"/>
              <w:rPr>
                <w:rFonts w:ascii="Times New Roman" w:eastAsia="Times New Roman" w:hAnsi="Times New Roman" w:cs="Times New Roman"/>
                <w:color w:val="212121"/>
                <w:sz w:val="24"/>
                <w:szCs w:val="24"/>
              </w:rPr>
            </w:pPr>
            <w:r>
              <w:rPr>
                <w:rFonts w:ascii="Times New Roman" w:eastAsia="Times New Roman" w:hAnsi="Times New Roman" w:cs="Times New Roman"/>
                <w:sz w:val="24"/>
                <w:szCs w:val="24"/>
              </w:rPr>
              <w:t xml:space="preserve">Totodată, derogarea propusă creează un tratament diferențiat și anticoncurențial în raport cu agenții economici care </w:t>
            </w:r>
            <w:proofErr w:type="spellStart"/>
            <w:r>
              <w:rPr>
                <w:rFonts w:ascii="Times New Roman" w:eastAsia="Times New Roman" w:hAnsi="Times New Roman" w:cs="Times New Roman"/>
                <w:sz w:val="24"/>
                <w:szCs w:val="24"/>
              </w:rPr>
              <w:t>desfăşoară</w:t>
            </w:r>
            <w:proofErr w:type="spellEnd"/>
            <w:r>
              <w:rPr>
                <w:rFonts w:ascii="Times New Roman" w:eastAsia="Times New Roman" w:hAnsi="Times New Roman" w:cs="Times New Roman"/>
                <w:sz w:val="24"/>
                <w:szCs w:val="24"/>
              </w:rPr>
              <w:t xml:space="preserve"> activitate prin intermediul unităților comerciale cu suprafață fizică. </w:t>
            </w:r>
            <w:proofErr w:type="spellStart"/>
            <w:r>
              <w:rPr>
                <w:rFonts w:ascii="Times New Roman" w:eastAsia="Times New Roman" w:hAnsi="Times New Roman" w:cs="Times New Roman"/>
                <w:sz w:val="24"/>
                <w:szCs w:val="24"/>
              </w:rPr>
              <w:t>Aceştia</w:t>
            </w:r>
            <w:proofErr w:type="spellEnd"/>
            <w:r>
              <w:rPr>
                <w:rFonts w:ascii="Times New Roman" w:eastAsia="Times New Roman" w:hAnsi="Times New Roman" w:cs="Times New Roman"/>
                <w:sz w:val="24"/>
                <w:szCs w:val="24"/>
              </w:rPr>
              <w:t xml:space="preserve">, pe lângă obligația de a achita taxele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impozitele prevăzute de legislația fiscală, suportă și costuri suplimentare aferente întreținerii spațiilor comerciale, inclusiv cheltuieli de locațiune, utilități și personal, precum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taxa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În aceste condiții, exceptarea operatorilor de comerț electronic de la plata taxei locale conduce la instituirea unui avantaj concurențial nejustificat, în detrimentul comercianților care </w:t>
            </w:r>
            <w:proofErr w:type="spellStart"/>
            <w:r>
              <w:rPr>
                <w:rFonts w:ascii="Times New Roman" w:eastAsia="Times New Roman" w:hAnsi="Times New Roman" w:cs="Times New Roman"/>
                <w:sz w:val="24"/>
                <w:szCs w:val="24"/>
              </w:rPr>
              <w:t>îşi</w:t>
            </w:r>
            <w:proofErr w:type="spellEnd"/>
            <w:r>
              <w:rPr>
                <w:rFonts w:ascii="Times New Roman" w:eastAsia="Times New Roman" w:hAnsi="Times New Roman" w:cs="Times New Roman"/>
                <w:sz w:val="24"/>
                <w:szCs w:val="24"/>
              </w:rPr>
              <w:t xml:space="preserve"> desfășoară activitatea prin unități comerciale fizice. Totodată, taxa pentru unitățile comerciale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de prestări servicii constituie venit propriu al bugetelor locale. Acordarea scutirii prevăzute în proiect conduce la diminuarea bazei fiscale a autorităților administrației publice locale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afectează în mod direct autonomia financiară a acestora, reducând capacitatea de finanțare a serviciilor publice locale, a proiectelor de infrastructură și a programelor de dezvoltare comunitară. În condițiile în care veniturile proprii reprezintă unul dintre elementele esențiale ale autonomiei locale, orice restrângere a instrumentelor fiscale aflate la dispoziția APL, are efecte directe asupra eficienței administrării treburilor publice locale și asupra capacității autorităților locale de a </w:t>
            </w:r>
            <w:r>
              <w:rPr>
                <w:rFonts w:ascii="Times New Roman" w:eastAsia="Times New Roman" w:hAnsi="Times New Roman" w:cs="Times New Roman"/>
                <w:sz w:val="24"/>
                <w:szCs w:val="24"/>
              </w:rPr>
              <w:lastRenderedPageBreak/>
              <w:t xml:space="preserve">răspunde necesităților colectivităților pe care le reprezintă. Potrivit calculelor prezentate în nota informativă la acest proiect, din numărul total al notificărilor magazinelor online în municipiul Chișinău în anul 2025, ponderea magazinelor online care nu au declarat existența vreunei suprafețe comerciale, constituie circa 30%. </w:t>
            </w:r>
            <w:proofErr w:type="spellStart"/>
            <w:r>
              <w:rPr>
                <w:rFonts w:ascii="Times New Roman" w:eastAsia="Times New Roman" w:hAnsi="Times New Roman" w:cs="Times New Roman"/>
                <w:sz w:val="24"/>
                <w:szCs w:val="24"/>
              </w:rPr>
              <w:t>Tinând</w:t>
            </w:r>
            <w:proofErr w:type="spellEnd"/>
            <w:r>
              <w:rPr>
                <w:rFonts w:ascii="Times New Roman" w:eastAsia="Times New Roman" w:hAnsi="Times New Roman" w:cs="Times New Roman"/>
                <w:sz w:val="24"/>
                <w:szCs w:val="24"/>
              </w:rPr>
              <w:t xml:space="preserve"> cont de aceste date, veniturile ratate ale municipalității se vor cifra anual la circa 2-2,5 milioane lei. În proiectul de lege nu este explicat prin care mecanism vor fi decompensate pierderile suportate de autoritățile publice locale, fapt ce contravine prevederilor art. 131 alin. (6) din Constituție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art. 27¹ alin. (5) din Legea nr. 100/2017 cu privire la actele normative. Având în vedere cele menționate, considerăm că pct. 3 din proiectul de lege, prin care se propune completarea art. 291 alin. (1) lit. e) din Codul fiscal, urmează să fie exclus.</w:t>
            </w:r>
          </w:p>
        </w:tc>
        <w:tc>
          <w:tcPr>
            <w:tcW w:w="4530" w:type="dxa"/>
            <w:tcBorders>
              <w:top w:val="single" w:sz="4" w:space="0" w:color="000000"/>
              <w:bottom w:val="single" w:sz="4" w:space="0" w:color="000000"/>
              <w:right w:val="single" w:sz="4" w:space="0" w:color="000000"/>
            </w:tcBorders>
            <w:shd w:val="clear" w:color="auto" w:fill="FFFFFF"/>
          </w:tcPr>
          <w:p w14:paraId="211602E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6479BAFE" w14:textId="77777777" w:rsidR="00B9643D" w:rsidRDefault="00B9643D" w:rsidP="002E1162">
            <w:pPr>
              <w:jc w:val="both"/>
              <w:rPr>
                <w:rFonts w:ascii="Times New Roman" w:eastAsia="Times New Roman" w:hAnsi="Times New Roman" w:cs="Times New Roman"/>
                <w:b/>
                <w:bCs/>
                <w:sz w:val="24"/>
                <w:szCs w:val="24"/>
              </w:rPr>
            </w:pPr>
          </w:p>
          <w:p w14:paraId="2D079E2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Poziția Primăriei municipiului Chișinău, care solicită excluderea pct. 3 din proiectul de lege (completarea art. 291 alin. (1) lit. e) Cod fiscal), nu poate fi acceptată. Proiectul nu elimină taxa locală pentru unitățile comerciale, ci clarifică faptul că aceasta se aplică unităților comerciale cu suprafață fizică deschisă publicului, în concordanță cu obiectul și logica taxei, și nu infrastructurilor pur digitale de comerț electronic fără spațiu comercial. </w:t>
            </w:r>
          </w:p>
          <w:p w14:paraId="184A3B7F" w14:textId="77777777" w:rsidR="00B9643D" w:rsidRDefault="00B9643D" w:rsidP="002E1162">
            <w:pPr>
              <w:jc w:val="both"/>
              <w:rPr>
                <w:rFonts w:ascii="Times New Roman" w:eastAsia="Times New Roman" w:hAnsi="Times New Roman" w:cs="Times New Roman"/>
                <w:sz w:val="24"/>
                <w:szCs w:val="24"/>
              </w:rPr>
            </w:pPr>
          </w:p>
          <w:p w14:paraId="72D9330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Activitatea de comerț electronic fără suprafață fizică are un profil diferit de utilizare a infrastructurii locale față de unitățile comerciale clasice, iar impactul logistic al livrărilor este deja supus altor forme de reglementare și impozitare, nefiind justificată menținerea taxei pentru unitățile comerciale în acest caz.</w:t>
            </w:r>
          </w:p>
          <w:p w14:paraId="11868C3A" w14:textId="77777777" w:rsidR="00B9643D" w:rsidRDefault="00B9643D" w:rsidP="002E1162">
            <w:pPr>
              <w:jc w:val="both"/>
              <w:rPr>
                <w:rFonts w:ascii="Times New Roman" w:eastAsia="Times New Roman" w:hAnsi="Times New Roman" w:cs="Times New Roman"/>
                <w:sz w:val="24"/>
                <w:szCs w:val="24"/>
              </w:rPr>
            </w:pPr>
          </w:p>
          <w:p w14:paraId="71BE3F0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Diferența de tratament între operatorii de comerț electronic fără spațiu fizic și comercianții cu unități comerciale este proporțională și obiectiv justificată, fără a crea un avantaj concurențial nejustificat, ci reflectând diversitatea modelelor de business în economia digitală. </w:t>
            </w:r>
          </w:p>
          <w:p w14:paraId="2A858F1F" w14:textId="77777777" w:rsidR="00B9643D" w:rsidRDefault="00B9643D" w:rsidP="002E1162">
            <w:pPr>
              <w:jc w:val="both"/>
              <w:rPr>
                <w:rFonts w:ascii="Times New Roman" w:eastAsia="Times New Roman" w:hAnsi="Times New Roman" w:cs="Times New Roman"/>
                <w:sz w:val="24"/>
                <w:szCs w:val="24"/>
              </w:rPr>
            </w:pPr>
          </w:p>
          <w:p w14:paraId="60D0512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ceea ce privește autonomia financiară locală, proiectul nu suprimă competențe fiscale ale APL, ci adaptează sfera de aplicare a unei taxe existente la natura activității vizate, în contextul digitalizării economiei, iar eventualele pierderi estimate pot fi </w:t>
            </w:r>
            <w:r>
              <w:rPr>
                <w:rFonts w:ascii="Times New Roman" w:eastAsia="Times New Roman" w:hAnsi="Times New Roman" w:cs="Times New Roman"/>
                <w:sz w:val="24"/>
                <w:szCs w:val="24"/>
              </w:rPr>
              <w:lastRenderedPageBreak/>
              <w:t xml:space="preserve">compensate de creșterea activității economice digitale și de consolidarea bazei de impozitare prin alte instrumente fiscale, menținând totodată dreptul APL de a utiliza alte taxe locale conforme Codului fiscal. </w:t>
            </w:r>
          </w:p>
          <w:p w14:paraId="32C55A06" w14:textId="77777777" w:rsidR="00B9643D" w:rsidRDefault="00B9643D" w:rsidP="002E1162">
            <w:pPr>
              <w:jc w:val="both"/>
              <w:rPr>
                <w:rFonts w:ascii="Times New Roman" w:eastAsia="Times New Roman" w:hAnsi="Times New Roman" w:cs="Times New Roman"/>
                <w:sz w:val="24"/>
                <w:szCs w:val="24"/>
              </w:rPr>
            </w:pPr>
          </w:p>
          <w:p w14:paraId="581B5565"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Autorul susține în continuare, pe fond, propunerile formulate la Art. II din proiect, apreciind că acestea răspund unor necesități reale ale mediului de afaceri din sectorul comerțului electronic: încadrarea persoanelor fizice care desfășoară comerț electronic în regimul de impunere prevăzut la capitolul 10² din Codul fiscal (art. 69⁷ alin. (1)), armonizarea regimului scutirii de TVA pentru serviciile poștale universale cu Directiva 2006/112/CE a Consiliului (art. 103 alin. (1) pct. 13) și eliminarea aplicării taxei pentru unitățile comerciale și/sau de prestări servicii în cazul operatorilor de comerț electronic care nu dispun de suprafață comercială (art. 291 alin. (1) lit. e)). Autorul reține, în acest sens, că Ministerul Finanțelor a comunicat susținerea propunerilor de la pct. 1 și 2, iar Centrul de Armonizare a Legislației nu a identificat probleme de compatibilitate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Uniunii Europene.</w:t>
            </w:r>
          </w:p>
          <w:p w14:paraId="2BA7ECE4" w14:textId="77777777" w:rsidR="00B9643D" w:rsidRDefault="00B9643D" w:rsidP="002E1162">
            <w:pPr>
              <w:jc w:val="both"/>
              <w:rPr>
                <w:rFonts w:ascii="Times New Roman" w:eastAsia="Times New Roman" w:hAnsi="Times New Roman" w:cs="Times New Roman"/>
                <w:sz w:val="24"/>
                <w:szCs w:val="24"/>
              </w:rPr>
            </w:pPr>
          </w:p>
          <w:p w14:paraId="6437C190"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luând act de observațiile Ministerului Finanțelor, ale Congresului Autorităților Locale din Moldova, ale Primăriei municipiului Chișinău, ale Consiliului Concurenței și ale celorlalte autorități avizatoare, autorul reține că intervențiile asupra Codului fiscal — în special cele cu impact asupra veniturilor bugetelor unităților administrativ-teritoriale </w:t>
            </w:r>
            <w:r>
              <w:rPr>
                <w:rFonts w:ascii="Times New Roman" w:eastAsia="Times New Roman" w:hAnsi="Times New Roman" w:cs="Times New Roman"/>
                <w:sz w:val="24"/>
                <w:szCs w:val="24"/>
              </w:rPr>
              <w:lastRenderedPageBreak/>
              <w:t xml:space="preserve">și asupra regimului taxelor locale — necesită o evaluare integrată a impactului fiscal-bugetar, consultarea autorităților administrației publice locale și corelarea cu regulile aplicabile în materia ajutorului de stat și de </w:t>
            </w:r>
            <w:proofErr w:type="spellStart"/>
            <w:r>
              <w:rPr>
                <w:rFonts w:ascii="Times New Roman" w:eastAsia="Times New Roman" w:hAnsi="Times New Roman" w:cs="Times New Roman"/>
                <w:sz w:val="24"/>
                <w:szCs w:val="24"/>
              </w:rPr>
              <w:t>minimis</w:t>
            </w:r>
            <w:proofErr w:type="spellEnd"/>
            <w:r>
              <w:rPr>
                <w:rFonts w:ascii="Times New Roman" w:eastAsia="Times New Roman" w:hAnsi="Times New Roman" w:cs="Times New Roman"/>
                <w:sz w:val="24"/>
                <w:szCs w:val="24"/>
              </w:rPr>
              <w:t>, evaluare care se realizează, potrivit practicii consacrate, în cadrul exercițiului anual de modificare a politicii bugetar-fiscale.</w:t>
            </w:r>
          </w:p>
          <w:p w14:paraId="4A09B03E" w14:textId="77777777" w:rsidR="00B9643D" w:rsidRDefault="00B9643D" w:rsidP="002E1162">
            <w:pPr>
              <w:jc w:val="both"/>
              <w:rPr>
                <w:rFonts w:ascii="Times New Roman" w:eastAsia="Times New Roman" w:hAnsi="Times New Roman" w:cs="Times New Roman"/>
                <w:sz w:val="24"/>
                <w:szCs w:val="24"/>
              </w:rPr>
            </w:pPr>
          </w:p>
          <w:p w14:paraId="440C0FA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prevederile Art. II se retrag din proiectul de lege nr. 629/MDED/2026 și se transmit Ministerului Finanțelor, urmând a fi promovate pe platforma acestuia, în cadrul exercițiului amplu de modificare a politicii bugetar-fiscale, împreună cu argumentarea aferentă și cu estimările de impact. Autorul își exprimă disponibilitatea de a participa la definitivarea acestora și de a susține propunerile în cadrul consultărilor organizate de Ministerul Finanțelor, cu implicarea Serviciului Fiscal de Stat, a autorităților administrației publice locale și a comunității de afaceri din domeniul comerțului electronic.</w:t>
            </w:r>
          </w:p>
          <w:p w14:paraId="70BB08D2" w14:textId="77777777" w:rsidR="00CA3607" w:rsidRDefault="00CA3607" w:rsidP="002E1162">
            <w:pPr>
              <w:jc w:val="both"/>
              <w:rPr>
                <w:rFonts w:ascii="Times New Roman" w:eastAsia="Times New Roman" w:hAnsi="Times New Roman" w:cs="Times New Roman"/>
                <w:sz w:val="24"/>
                <w:szCs w:val="24"/>
              </w:rPr>
            </w:pPr>
          </w:p>
        </w:tc>
      </w:tr>
      <w:tr w:rsidR="00B9643D" w14:paraId="1628DCCC" w14:textId="77777777" w:rsidTr="00CA3607">
        <w:tc>
          <w:tcPr>
            <w:tcW w:w="420" w:type="dxa"/>
            <w:shd w:val="clear" w:color="auto" w:fill="FFFFFF"/>
          </w:tcPr>
          <w:p w14:paraId="22C77FBC"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A7C0A3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ATIC</w:t>
            </w:r>
          </w:p>
          <w:p w14:paraId="639FCAC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Aviz nr.778 din 07.07.2026 </w:t>
            </w:r>
          </w:p>
        </w:tc>
        <w:tc>
          <w:tcPr>
            <w:tcW w:w="720" w:type="dxa"/>
            <w:tcBorders>
              <w:top w:val="single" w:sz="4" w:space="0" w:color="000000"/>
              <w:bottom w:val="single" w:sz="4" w:space="0" w:color="000000"/>
            </w:tcBorders>
            <w:shd w:val="clear" w:color="auto" w:fill="FFFFFF"/>
          </w:tcPr>
          <w:p w14:paraId="0433DB8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127</w:t>
            </w:r>
          </w:p>
        </w:tc>
        <w:tc>
          <w:tcPr>
            <w:tcW w:w="6075" w:type="dxa"/>
            <w:tcBorders>
              <w:top w:val="single" w:sz="4" w:space="0" w:color="000000"/>
              <w:bottom w:val="single" w:sz="4" w:space="0" w:color="000000"/>
              <w:right w:val="single" w:sz="4" w:space="0" w:color="000000"/>
            </w:tcBorders>
            <w:shd w:val="clear" w:color="auto" w:fill="FFFFFF"/>
          </w:tcPr>
          <w:p w14:paraId="5478FD8A"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Art. VI din proiectul de lege 629/MDED/2026 de completat cu următoarele propuneri la Legea 308/2017 cu privire la prevenirea și combaterea spălării banilor și finanțării terorismului:</w:t>
            </w:r>
          </w:p>
          <w:p w14:paraId="40A385E1" w14:textId="77777777" w:rsidR="00B9643D" w:rsidRDefault="00B9643D" w:rsidP="002E1162">
            <w:pPr>
              <w:shd w:val="clear" w:color="auto" w:fill="FFFFFF"/>
              <w:jc w:val="both"/>
              <w:rPr>
                <w:rFonts w:ascii="Times New Roman" w:eastAsia="Times New Roman" w:hAnsi="Times New Roman" w:cs="Times New Roman"/>
                <w:sz w:val="24"/>
                <w:szCs w:val="24"/>
              </w:rPr>
            </w:pPr>
          </w:p>
          <w:p w14:paraId="5C53CE0C"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Se exclud din cuprinsul legii: cu excepția art. 4 alin. (1) litera l), cuvintele ”întreprinzător individual” la forma gramaticală corespunzătoare.</w:t>
            </w:r>
          </w:p>
          <w:p w14:paraId="16147CE0" w14:textId="77777777" w:rsidR="00B9643D" w:rsidRDefault="00B9643D"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B07610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552270EF" w14:textId="77777777" w:rsidR="00B9643D" w:rsidRDefault="00B9643D" w:rsidP="002E1162">
            <w:pPr>
              <w:jc w:val="both"/>
              <w:rPr>
                <w:rFonts w:ascii="Times New Roman" w:eastAsia="Times New Roman" w:hAnsi="Times New Roman" w:cs="Times New Roman"/>
                <w:b/>
                <w:bCs/>
                <w:sz w:val="24"/>
                <w:szCs w:val="24"/>
              </w:rPr>
            </w:pPr>
          </w:p>
          <w:p w14:paraId="2553526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Propunerea este conformă obiectivului proiectului de eliminare a normelor de tip „</w:t>
            </w:r>
            <w:proofErr w:type="spellStart"/>
            <w:r>
              <w:rPr>
                <w:rFonts w:ascii="Times New Roman" w:eastAsia="Times New Roman" w:hAnsi="Times New Roman" w:cs="Times New Roman"/>
                <w:sz w:val="24"/>
                <w:szCs w:val="24"/>
              </w:rPr>
              <w:t>gold-plating</w:t>
            </w:r>
            <w:proofErr w:type="spellEnd"/>
            <w:r>
              <w:rPr>
                <w:rFonts w:ascii="Times New Roman" w:eastAsia="Times New Roman" w:hAnsi="Times New Roman" w:cs="Times New Roman"/>
                <w:sz w:val="24"/>
                <w:szCs w:val="24"/>
              </w:rPr>
              <w:t xml:space="preserve">". Întreprinzătorul individual este o persoană fizică fără personalitate juridică, al cărei beneficiar efectiv coincide cu titularul însuși, astfel încât obligațiile de la art. 14 din Legea nr. 308/2017 (declararea și actualizarea propriului beneficiar efectiv, desemnarea persoanei responsabile conform </w:t>
            </w:r>
            <w:r>
              <w:rPr>
                <w:rFonts w:ascii="Times New Roman" w:eastAsia="Times New Roman" w:hAnsi="Times New Roman" w:cs="Times New Roman"/>
                <w:sz w:val="24"/>
                <w:szCs w:val="24"/>
              </w:rPr>
              <w:lastRenderedPageBreak/>
              <w:t xml:space="preserve">alin. (2¹), introdus prin Legea nr. 268/2024) reprezintă pentru această categorie o sarcină formală, fără valoare adăugată de transparență. Excluderea nu afectează nivelul de protecție AML/CFT: riscul de interpunere rămâne acoperit prin măsurile de precauție privind clienții, entitățile raportoare fiind în continuare obligate să identifice beneficiarul efectiv al oricărui client, inclusiv al unui întreprinzător individual, în temeiul art. 5 alin. (2) lit. b) și art. 5² alin. (1), norme care nu sunt vizate de excludere. </w:t>
            </w:r>
          </w:p>
          <w:p w14:paraId="088DCBA9" w14:textId="77777777" w:rsidR="00B9643D" w:rsidRDefault="00B9643D" w:rsidP="002E1162">
            <w:pPr>
              <w:jc w:val="both"/>
              <w:rPr>
                <w:rFonts w:ascii="Times New Roman" w:eastAsia="Times New Roman" w:hAnsi="Times New Roman" w:cs="Times New Roman"/>
                <w:sz w:val="24"/>
                <w:szCs w:val="24"/>
              </w:rPr>
            </w:pPr>
          </w:p>
          <w:p w14:paraId="42CABE6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Modificările a fi introduse în proiectul de lege:</w:t>
            </w:r>
          </w:p>
          <w:p w14:paraId="76F65A9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 VI se completează cu un punct nou, care se introduce după punctul 10</w:t>
            </w:r>
            <w:r>
              <w:rPr>
                <w:rFonts w:ascii="Times New Roman" w:eastAsia="Times New Roman" w:hAnsi="Times New Roman" w:cs="Times New Roman"/>
                <w:sz w:val="24"/>
                <w:szCs w:val="24"/>
              </w:rPr>
              <w:t xml:space="preserve"> (punctele următoare se renumerotează corespunzător, cu ajustarea trimiterilor interne), </w:t>
            </w:r>
            <w:r>
              <w:rPr>
                <w:rFonts w:ascii="Times New Roman" w:eastAsia="Times New Roman" w:hAnsi="Times New Roman" w:cs="Times New Roman"/>
                <w:b/>
                <w:bCs/>
                <w:sz w:val="24"/>
                <w:szCs w:val="24"/>
              </w:rPr>
              <w:t>cu următorul cuprins:</w:t>
            </w:r>
          </w:p>
          <w:p w14:paraId="63FF2EE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Articolul 14 se modifică după cum urmează:</w:t>
            </w:r>
          </w:p>
          <w:p w14:paraId="4FB6FCC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(1), textul „ai întreprinzătorilor individuali" se exclude;</w:t>
            </w:r>
          </w:p>
          <w:p w14:paraId="3A0B51B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(2), textul „întreprinzătorii individuali” se exclude;;</w:t>
            </w:r>
          </w:p>
          <w:p w14:paraId="5F4B2FB3"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(2¹), textul „ , întreprinzătorii individuali" se exclude;</w:t>
            </w:r>
          </w:p>
          <w:p w14:paraId="6271CBC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(3), textul „ , întreprinzătorilor individuali" se exclude;</w:t>
            </w:r>
          </w:p>
          <w:p w14:paraId="476CA78E"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(3¹), textul „ai întreprinzătorilor individuali" se exclude.</w:t>
            </w:r>
          </w:p>
          <w:p w14:paraId="42A384C2" w14:textId="77777777" w:rsidR="00CA3607" w:rsidRDefault="00CA3607" w:rsidP="002E1162">
            <w:pPr>
              <w:jc w:val="both"/>
              <w:rPr>
                <w:rFonts w:ascii="Times New Roman" w:eastAsia="Times New Roman" w:hAnsi="Times New Roman" w:cs="Times New Roman"/>
                <w:sz w:val="24"/>
                <w:szCs w:val="24"/>
              </w:rPr>
            </w:pPr>
          </w:p>
        </w:tc>
      </w:tr>
      <w:tr w:rsidR="00B9643D" w14:paraId="5EE268A4" w14:textId="77777777" w:rsidTr="00CA3607">
        <w:tc>
          <w:tcPr>
            <w:tcW w:w="420" w:type="dxa"/>
            <w:shd w:val="clear" w:color="auto" w:fill="FFFFFF"/>
          </w:tcPr>
          <w:p w14:paraId="38AB3B2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C0A089D"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7F92BA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127</w:t>
            </w:r>
          </w:p>
        </w:tc>
        <w:tc>
          <w:tcPr>
            <w:tcW w:w="6075" w:type="dxa"/>
            <w:tcBorders>
              <w:top w:val="single" w:sz="4" w:space="0" w:color="000000"/>
              <w:bottom w:val="single" w:sz="4" w:space="0" w:color="000000"/>
              <w:right w:val="single" w:sz="4" w:space="0" w:color="000000"/>
            </w:tcBorders>
            <w:shd w:val="clear" w:color="auto" w:fill="FFFFFF"/>
          </w:tcPr>
          <w:p w14:paraId="3D0C7D7C"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Articolul 5</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se completează cu alineatul (6</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următorul cuprins: ”În cazul în care actele menționate la alin. (6) atestă caracter public, obligatoriu, general, impersonal și impun obligații pentru persoane inclusiv în procedura de înregistrare </w:t>
            </w:r>
            <w:r>
              <w:rPr>
                <w:rFonts w:ascii="Times New Roman" w:eastAsia="Times New Roman" w:hAnsi="Times New Roman" w:cs="Times New Roman"/>
                <w:sz w:val="24"/>
                <w:szCs w:val="24"/>
              </w:rPr>
              <w:lastRenderedPageBreak/>
              <w:t>a unei întreprinderi sau de introducerea a unor modificări în registrele de evidență, acestea se adoptă și se publică în temeiul articolelor 16 și 20 din Legea nr. 100/2017 cu privire la actele normative.”</w:t>
            </w:r>
          </w:p>
        </w:tc>
        <w:tc>
          <w:tcPr>
            <w:tcW w:w="4530" w:type="dxa"/>
            <w:tcBorders>
              <w:top w:val="single" w:sz="4" w:space="0" w:color="000000"/>
              <w:bottom w:val="single" w:sz="4" w:space="0" w:color="000000"/>
              <w:right w:val="single" w:sz="4" w:space="0" w:color="000000"/>
            </w:tcBorders>
            <w:shd w:val="clear" w:color="auto" w:fill="FFFFFF"/>
          </w:tcPr>
          <w:p w14:paraId="2336D36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095878E6" w14:textId="77777777" w:rsidR="00B9643D" w:rsidRDefault="00B9643D" w:rsidP="002E1162">
            <w:pPr>
              <w:jc w:val="both"/>
              <w:rPr>
                <w:rFonts w:ascii="Times New Roman" w:eastAsia="Times New Roman" w:hAnsi="Times New Roman" w:cs="Times New Roman"/>
                <w:b/>
                <w:bCs/>
                <w:sz w:val="24"/>
                <w:szCs w:val="24"/>
              </w:rPr>
            </w:pPr>
          </w:p>
          <w:p w14:paraId="2222D3AB"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Articolul 5² se completează cu alineatul (6¹) cu următorul cuprins:</w:t>
            </w:r>
          </w:p>
          <w:p w14:paraId="2D1EFEDF" w14:textId="77777777" w:rsidR="00B9643D" w:rsidRDefault="00B9643D" w:rsidP="002E1162">
            <w:pPr>
              <w:jc w:val="both"/>
              <w:rPr>
                <w:rFonts w:ascii="Times New Roman" w:eastAsia="Times New Roman" w:hAnsi="Times New Roman" w:cs="Times New Roman"/>
                <w:sz w:val="24"/>
                <w:szCs w:val="24"/>
              </w:rPr>
            </w:pPr>
          </w:p>
          <w:p w14:paraId="24FED7C6" w14:textId="2E64CDB3"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„(6¹) În cazul în care actele menționate la alin. (6) au caracter public, obligatoriu, general și impersonal și instituie obligații pentru persoane, inclusiv în procedura de înregistrare de stat sau de introducere a unor modificări în registrele de evidență, acestea constituie acte normative și se elaborează, se adoptă și se publică în condițiile Legii nr. 100/2017 cu privire la actele normative.” </w:t>
            </w:r>
          </w:p>
          <w:p w14:paraId="5FA88425" w14:textId="77777777" w:rsidR="00B9643D" w:rsidRDefault="00B9643D" w:rsidP="002E1162">
            <w:pPr>
              <w:jc w:val="both"/>
              <w:rPr>
                <w:rFonts w:ascii="Times New Roman" w:eastAsia="Times New Roman" w:hAnsi="Times New Roman" w:cs="Times New Roman"/>
                <w:sz w:val="24"/>
                <w:szCs w:val="24"/>
              </w:rPr>
            </w:pPr>
          </w:p>
        </w:tc>
      </w:tr>
      <w:tr w:rsidR="00B9643D" w14:paraId="7EBAF0F1" w14:textId="77777777" w:rsidTr="00CA3607">
        <w:tc>
          <w:tcPr>
            <w:tcW w:w="420" w:type="dxa"/>
            <w:shd w:val="clear" w:color="auto" w:fill="FFFFFF"/>
          </w:tcPr>
          <w:p w14:paraId="2ED5365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49199FE"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0CD739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128</w:t>
            </w:r>
          </w:p>
        </w:tc>
        <w:tc>
          <w:tcPr>
            <w:tcW w:w="6075" w:type="dxa"/>
            <w:tcBorders>
              <w:top w:val="single" w:sz="4" w:space="0" w:color="000000"/>
              <w:bottom w:val="single" w:sz="4" w:space="0" w:color="000000"/>
              <w:right w:val="single" w:sz="4" w:space="0" w:color="000000"/>
            </w:tcBorders>
            <w:shd w:val="clear" w:color="auto" w:fill="FFFFFF"/>
          </w:tcPr>
          <w:p w14:paraId="04D7A121"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Articolul 14 se modifică după cum urmează:</w:t>
            </w:r>
          </w:p>
          <w:p w14:paraId="5F4D107B" w14:textId="77777777" w:rsidR="00B9643D" w:rsidRDefault="00B9643D" w:rsidP="002E1162">
            <w:pPr>
              <w:shd w:val="clear" w:color="auto" w:fill="FFFFFF"/>
              <w:jc w:val="both"/>
              <w:rPr>
                <w:rFonts w:ascii="Times New Roman" w:eastAsia="Times New Roman" w:hAnsi="Times New Roman" w:cs="Times New Roman"/>
                <w:sz w:val="24"/>
                <w:szCs w:val="24"/>
              </w:rPr>
            </w:pPr>
          </w:p>
          <w:p w14:paraId="2A7E1FF1"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(2) cuvintele ”în termen de 30 de zile de la intervenirea modificării datelor acestuia” se substituie cu cuvintele ”în 30 de zile din momentul în care le-au fost făcute cunoscute.”</w:t>
            </w:r>
          </w:p>
          <w:p w14:paraId="439C318C" w14:textId="77777777" w:rsidR="00B9643D" w:rsidRDefault="00B9643D"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A25AF4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72C16A4A" w14:textId="77777777" w:rsidR="00B9643D" w:rsidRDefault="00B9643D" w:rsidP="002E1162">
            <w:pPr>
              <w:jc w:val="both"/>
              <w:rPr>
                <w:rFonts w:ascii="Times New Roman" w:eastAsia="Times New Roman" w:hAnsi="Times New Roman" w:cs="Times New Roman"/>
                <w:sz w:val="24"/>
                <w:szCs w:val="24"/>
              </w:rPr>
            </w:pPr>
          </w:p>
          <w:p w14:paraId="26E58F99"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(2) cuvintele ”în termen de 30 de zile de la intervenirea modificării datelor acestuia” se substituie cu cuvintele ”în 30 de zile din momentul în care le-au fost făcute cunoscute.”</w:t>
            </w:r>
          </w:p>
          <w:p w14:paraId="011787A2" w14:textId="77777777" w:rsidR="00CA3607" w:rsidRDefault="00CA3607" w:rsidP="002E1162">
            <w:pPr>
              <w:shd w:val="clear" w:color="auto" w:fill="FFFFFF"/>
              <w:jc w:val="both"/>
              <w:rPr>
                <w:rFonts w:ascii="Times New Roman" w:eastAsia="Times New Roman" w:hAnsi="Times New Roman" w:cs="Times New Roman"/>
                <w:sz w:val="24"/>
                <w:szCs w:val="24"/>
              </w:rPr>
            </w:pPr>
          </w:p>
        </w:tc>
      </w:tr>
      <w:tr w:rsidR="00B9643D" w14:paraId="4A9E5E5B" w14:textId="77777777" w:rsidTr="00CA3607">
        <w:tc>
          <w:tcPr>
            <w:tcW w:w="420" w:type="dxa"/>
            <w:shd w:val="clear" w:color="auto" w:fill="FFFFFF"/>
          </w:tcPr>
          <w:p w14:paraId="64BA5C5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C76491B"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0DF6B2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129</w:t>
            </w:r>
          </w:p>
        </w:tc>
        <w:tc>
          <w:tcPr>
            <w:tcW w:w="6075" w:type="dxa"/>
            <w:tcBorders>
              <w:top w:val="single" w:sz="4" w:space="0" w:color="000000"/>
              <w:bottom w:val="single" w:sz="4" w:space="0" w:color="000000"/>
              <w:right w:val="single" w:sz="4" w:space="0" w:color="000000"/>
            </w:tcBorders>
            <w:shd w:val="clear" w:color="auto" w:fill="FFFFFF"/>
          </w:tcPr>
          <w:p w14:paraId="561F5312"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alineatul (2</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cu următorul cuprins:</w:t>
            </w:r>
          </w:p>
          <w:p w14:paraId="0AC2BC73"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(2</w:t>
            </w:r>
            <w:r>
              <w:rPr>
                <w:rFonts w:ascii="Times New Roman" w:eastAsia="Times New Roman" w:hAnsi="Times New Roman" w:cs="Times New Roman"/>
                <w:sz w:val="24"/>
                <w:szCs w:val="24"/>
                <w:highlight w:val="white"/>
                <w:vertAlign w:val="superscript"/>
              </w:rPr>
              <w:t>4</w:t>
            </w:r>
            <w:r>
              <w:rPr>
                <w:rFonts w:ascii="Times New Roman" w:eastAsia="Times New Roman" w:hAnsi="Times New Roman" w:cs="Times New Roman"/>
                <w:sz w:val="24"/>
                <w:szCs w:val="24"/>
                <w:highlight w:val="white"/>
              </w:rPr>
              <w:t>) În cazul în care beneficiar efectiv este o persoană nerezidentă, obligația stabilită la alin.(2) se consideră îndeplinită dacă persoanele juridice, fiduciarii sau persoanele care dețin poziții echivalente în cadrul construcțiilor juridice similare:</w:t>
            </w:r>
          </w:p>
          <w:p w14:paraId="6BC43242"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solicită de la beneficiarul efectiv cel puțin următoarele informații: numele, luna și anul nașterii, țara de reședință, cetățenia, inclusiv interesele generatoare de beneficii (natura și amploarea intereselor generatoare de beneficii deținute),</w:t>
            </w:r>
          </w:p>
          <w:p w14:paraId="60C90DCD"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au întreprins măsuri rezonabile și proporționale pentru obținerea informațiilor prevăzute la litera a) privind beneficiarul efectiv și le-au prezentat organului înregistrării de stat și, respectiv, Serviciului Fiscal de Stat, în partea ce ține de </w:t>
            </w:r>
            <w:proofErr w:type="spellStart"/>
            <w:r>
              <w:rPr>
                <w:rFonts w:ascii="Times New Roman" w:eastAsia="Times New Roman" w:hAnsi="Times New Roman" w:cs="Times New Roman"/>
                <w:sz w:val="24"/>
                <w:szCs w:val="24"/>
                <w:highlight w:val="white"/>
              </w:rPr>
              <w:t>fiducii</w:t>
            </w:r>
            <w:proofErr w:type="spellEnd"/>
            <w:r>
              <w:rPr>
                <w:rFonts w:ascii="Times New Roman" w:eastAsia="Times New Roman" w:hAnsi="Times New Roman" w:cs="Times New Roman"/>
                <w:sz w:val="24"/>
                <w:szCs w:val="24"/>
                <w:highlight w:val="white"/>
              </w:rPr>
              <w:t xml:space="preserve"> și construcții juridice similare, în 30 de zile din momentul în care le-au fost făcute cunoscute.”</w:t>
            </w:r>
          </w:p>
          <w:p w14:paraId="1C236D2F" w14:textId="77777777" w:rsidR="00B9643D" w:rsidRDefault="00B9643D" w:rsidP="002E1162">
            <w:pPr>
              <w:shd w:val="clear" w:color="auto" w:fill="FFFFFF"/>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620534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7127B543" w14:textId="77777777" w:rsidR="00B9643D" w:rsidRDefault="00B9643D" w:rsidP="002E1162">
            <w:pPr>
              <w:jc w:val="both"/>
              <w:rPr>
                <w:rFonts w:ascii="Times New Roman" w:eastAsia="Times New Roman" w:hAnsi="Times New Roman" w:cs="Times New Roman"/>
                <w:b/>
                <w:bCs/>
                <w:sz w:val="24"/>
                <w:szCs w:val="24"/>
              </w:rPr>
            </w:pPr>
          </w:p>
          <w:p w14:paraId="1B61CFD1"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r>
              <w:rPr>
                <w:rFonts w:ascii="Times New Roman" w:eastAsia="Times New Roman" w:hAnsi="Times New Roman" w:cs="Times New Roman"/>
                <w:sz w:val="24"/>
                <w:szCs w:val="24"/>
                <w:highlight w:val="white"/>
                <w:vertAlign w:val="superscript"/>
              </w:rPr>
              <w:t>4</w:t>
            </w:r>
            <w:r>
              <w:rPr>
                <w:rFonts w:ascii="Times New Roman" w:eastAsia="Times New Roman" w:hAnsi="Times New Roman" w:cs="Times New Roman"/>
                <w:sz w:val="24"/>
                <w:szCs w:val="24"/>
                <w:highlight w:val="white"/>
              </w:rPr>
              <w:t>) În cazul în care beneficiar efectiv este o persoană nerezidentă, obligația stabilită la alin.(2) se consideră îndeplinită dacă persoanele juridice, fiduciarii sau persoanele care dețin poziții echivalente în cadrul construcțiilor juridice similare:</w:t>
            </w:r>
          </w:p>
          <w:p w14:paraId="126E3DCD"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solicită de la beneficiarul efectiv cel puțin următoarele informații: numele, luna și anul nașterii, țara de reședință, cetățenia, inclusiv interesele generatoare de beneficii (natura și amploarea intereselor generatoare de beneficii deținute),</w:t>
            </w:r>
          </w:p>
          <w:p w14:paraId="2A458FC8"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au întreprins măsuri rezonabile și proporționale pentru obținerea informațiilor prevăzute la litera a) privind beneficiarul efectiv și le-au prezentat organului </w:t>
            </w:r>
            <w:r>
              <w:rPr>
                <w:rFonts w:ascii="Times New Roman" w:eastAsia="Times New Roman" w:hAnsi="Times New Roman" w:cs="Times New Roman"/>
                <w:sz w:val="24"/>
                <w:szCs w:val="24"/>
                <w:highlight w:val="white"/>
              </w:rPr>
              <w:lastRenderedPageBreak/>
              <w:t xml:space="preserve">înregistrării de stat și, respectiv, Serviciului Fiscal de Stat, în partea ce ține de </w:t>
            </w:r>
            <w:proofErr w:type="spellStart"/>
            <w:r>
              <w:rPr>
                <w:rFonts w:ascii="Times New Roman" w:eastAsia="Times New Roman" w:hAnsi="Times New Roman" w:cs="Times New Roman"/>
                <w:sz w:val="24"/>
                <w:szCs w:val="24"/>
                <w:highlight w:val="white"/>
              </w:rPr>
              <w:t>fiducii</w:t>
            </w:r>
            <w:proofErr w:type="spellEnd"/>
            <w:r>
              <w:rPr>
                <w:rFonts w:ascii="Times New Roman" w:eastAsia="Times New Roman" w:hAnsi="Times New Roman" w:cs="Times New Roman"/>
                <w:sz w:val="24"/>
                <w:szCs w:val="24"/>
                <w:highlight w:val="white"/>
              </w:rPr>
              <w:t xml:space="preserve"> și construcții juridice similare, în 30 de zile din</w:t>
            </w:r>
          </w:p>
          <w:p w14:paraId="49A9A8DF"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momentul în care le-au fost făcute cunoscute.”</w:t>
            </w:r>
          </w:p>
          <w:p w14:paraId="0CC05C37" w14:textId="77777777" w:rsidR="00B9643D" w:rsidRDefault="00B9643D" w:rsidP="002E1162">
            <w:pPr>
              <w:shd w:val="clear" w:color="auto" w:fill="FFFFFF"/>
              <w:jc w:val="both"/>
              <w:rPr>
                <w:rFonts w:ascii="Times New Roman" w:eastAsia="Times New Roman" w:hAnsi="Times New Roman" w:cs="Times New Roman"/>
                <w:sz w:val="24"/>
                <w:szCs w:val="24"/>
              </w:rPr>
            </w:pPr>
          </w:p>
        </w:tc>
      </w:tr>
      <w:tr w:rsidR="00B9643D" w14:paraId="24880183" w14:textId="77777777" w:rsidTr="00CA3607">
        <w:tc>
          <w:tcPr>
            <w:tcW w:w="420" w:type="dxa"/>
            <w:shd w:val="clear" w:color="auto" w:fill="FFFFFF"/>
          </w:tcPr>
          <w:p w14:paraId="3896A1A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highlight w:val="white"/>
              </w:rPr>
            </w:pPr>
          </w:p>
        </w:tc>
        <w:tc>
          <w:tcPr>
            <w:tcW w:w="2550" w:type="dxa"/>
            <w:shd w:val="clear" w:color="auto" w:fill="FFFFFF"/>
          </w:tcPr>
          <w:p w14:paraId="05C3456E" w14:textId="77777777" w:rsidR="00B9643D" w:rsidRDefault="00B9643D" w:rsidP="002E1162">
            <w:pPr>
              <w:jc w:val="both"/>
              <w:rPr>
                <w:rFonts w:ascii="Times New Roman" w:eastAsia="Times New Roman" w:hAnsi="Times New Roman" w:cs="Times New Roman"/>
                <w:b/>
                <w:bCs/>
                <w:sz w:val="24"/>
                <w:szCs w:val="24"/>
                <w:highlight w:val="white"/>
              </w:rPr>
            </w:pPr>
          </w:p>
        </w:tc>
        <w:tc>
          <w:tcPr>
            <w:tcW w:w="720" w:type="dxa"/>
            <w:tcBorders>
              <w:top w:val="single" w:sz="4" w:space="0" w:color="000000"/>
              <w:bottom w:val="single" w:sz="4" w:space="0" w:color="000000"/>
            </w:tcBorders>
            <w:shd w:val="clear" w:color="auto" w:fill="FFFFFF"/>
          </w:tcPr>
          <w:p w14:paraId="2F4B3952" w14:textId="77777777" w:rsidR="00B9643D" w:rsidRDefault="00000000" w:rsidP="002E1162">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130</w:t>
            </w:r>
          </w:p>
        </w:tc>
        <w:tc>
          <w:tcPr>
            <w:tcW w:w="6075" w:type="dxa"/>
            <w:tcBorders>
              <w:top w:val="single" w:sz="4" w:space="0" w:color="000000"/>
              <w:bottom w:val="single" w:sz="4" w:space="0" w:color="000000"/>
              <w:right w:val="single" w:sz="4" w:space="0" w:color="000000"/>
            </w:tcBorders>
            <w:shd w:val="clear" w:color="auto" w:fill="FFFFFF"/>
          </w:tcPr>
          <w:p w14:paraId="73E2C6A4"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 Totodată, în același context legal, se propune modificarea Codului contravențional al Republicii Moldova nr. 218/2008, după cum urmează:</w:t>
            </w:r>
          </w:p>
          <w:p w14:paraId="5DEB8932"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 XII – Articolul 263</w:t>
            </w:r>
            <w:r>
              <w:rPr>
                <w:rFonts w:ascii="Times New Roman" w:eastAsia="Times New Roman" w:hAnsi="Times New Roman" w:cs="Times New Roman"/>
                <w:sz w:val="24"/>
                <w:szCs w:val="24"/>
                <w:highlight w:val="white"/>
                <w:vertAlign w:val="superscript"/>
              </w:rPr>
              <w:t xml:space="preserve">2 </w:t>
            </w:r>
            <w:r>
              <w:rPr>
                <w:rFonts w:ascii="Times New Roman" w:eastAsia="Times New Roman" w:hAnsi="Times New Roman" w:cs="Times New Roman"/>
                <w:sz w:val="24"/>
                <w:szCs w:val="24"/>
                <w:highlight w:val="white"/>
              </w:rPr>
              <w:t>din Codul contravențional al Republicii Moldova nr. 218/2008 (republicat în Monitorul Oficial al Republicii Moldova, 2017, nr. 78–84, art. 100), cu modificările ulterioare, se completează cu următorul text: ”, refuzul neîntemeiat al beneficiarului efectiv de furnizare persoanelor juridice, fiduciarului/fiduciarilor sau persoanelor ce dețin poziții echivalente în cadrul construcțiilor juridice similare înregistrate în Republica Moldova, inclusiv persoanele care dețin acțiuni, drepturi de vot, cote sociale sau exercită controlul prin alte mijloace, informațiile necesare pentru a se conforma</w:t>
            </w:r>
          </w:p>
          <w:p w14:paraId="2FFB3AAD"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obligațiilor stabilite la art. 14 alin. (2) din Legea nr. 308/2017 cu privire la prevenirea și combaterea spălării banilor și finanțării terorismului”.”</w:t>
            </w:r>
          </w:p>
          <w:p w14:paraId="5406CDD2" w14:textId="77777777" w:rsidR="00B9643D" w:rsidRDefault="00B9643D" w:rsidP="002E1162">
            <w:pPr>
              <w:shd w:val="clear" w:color="auto" w:fill="FFFFFF"/>
              <w:jc w:val="both"/>
              <w:rPr>
                <w:rFonts w:ascii="Times New Roman" w:eastAsia="Times New Roman" w:hAnsi="Times New Roman" w:cs="Times New Roman"/>
                <w:sz w:val="24"/>
                <w:szCs w:val="24"/>
                <w:highlight w:val="white"/>
              </w:rPr>
            </w:pPr>
          </w:p>
        </w:tc>
        <w:tc>
          <w:tcPr>
            <w:tcW w:w="4530" w:type="dxa"/>
            <w:tcBorders>
              <w:top w:val="single" w:sz="4" w:space="0" w:color="000000"/>
              <w:bottom w:val="single" w:sz="4" w:space="0" w:color="000000"/>
              <w:right w:val="single" w:sz="4" w:space="0" w:color="000000"/>
            </w:tcBorders>
            <w:shd w:val="clear" w:color="auto" w:fill="FFFFFF"/>
          </w:tcPr>
          <w:p w14:paraId="2412DC5D" w14:textId="77777777" w:rsidR="00B9643D" w:rsidRDefault="00000000" w:rsidP="002E1162">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Se acceptă</w:t>
            </w:r>
          </w:p>
          <w:p w14:paraId="029CA4EB" w14:textId="77777777" w:rsidR="00B9643D" w:rsidRDefault="00B9643D" w:rsidP="002E1162">
            <w:pPr>
              <w:shd w:val="clear" w:color="auto" w:fill="FFFFFF"/>
              <w:jc w:val="both"/>
              <w:rPr>
                <w:rFonts w:ascii="Times New Roman" w:eastAsia="Times New Roman" w:hAnsi="Times New Roman" w:cs="Times New Roman"/>
                <w:sz w:val="24"/>
                <w:szCs w:val="24"/>
                <w:highlight w:val="white"/>
              </w:rPr>
            </w:pPr>
          </w:p>
          <w:p w14:paraId="4E6F89A3"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 XII – Articolul 263</w:t>
            </w:r>
            <w:r>
              <w:rPr>
                <w:rFonts w:ascii="Times New Roman" w:eastAsia="Times New Roman" w:hAnsi="Times New Roman" w:cs="Times New Roman"/>
                <w:sz w:val="24"/>
                <w:szCs w:val="24"/>
                <w:highlight w:val="white"/>
                <w:vertAlign w:val="superscript"/>
              </w:rPr>
              <w:t xml:space="preserve">2 </w:t>
            </w:r>
            <w:r>
              <w:rPr>
                <w:rFonts w:ascii="Times New Roman" w:eastAsia="Times New Roman" w:hAnsi="Times New Roman" w:cs="Times New Roman"/>
                <w:sz w:val="24"/>
                <w:szCs w:val="24"/>
                <w:highlight w:val="white"/>
              </w:rPr>
              <w:t>din Codul contravențional al Republicii Moldova nr. 218/2008 (republicat în Monitorul Oficial al Republicii Moldova, 2017, nr. 78–84, art. 100), cu modificările ulterioare, se completează cu următorul text: ”, refuzul neîntemeiat al beneficiarului efectiv de furnizare persoanelor juridice, fiduciarului/fiduciarilor sau persoanelor ce dețin poziții echivalente în cadrul construcțiilor juridice similare înregistrate în Republica Moldova, inclusiv persoanele care dețin acțiuni, drepturi de vot, cote sociale sau exercită controlul prin alte mijloace, informațiile necesare pentru a se conforma</w:t>
            </w:r>
          </w:p>
          <w:p w14:paraId="7BB31BB2" w14:textId="77777777" w:rsidR="00B9643D" w:rsidRDefault="00000000" w:rsidP="002E1162">
            <w:pPr>
              <w:shd w:val="clear" w:color="auto" w:fill="FFFFFF"/>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obligațiilor stabilite la art. 14 alin. (2) din Legea nr. 308/2017 cu privire la prevenirea și combaterea spălării banilor și finanțării terorismului”.”</w:t>
            </w:r>
          </w:p>
          <w:p w14:paraId="280009E3" w14:textId="77777777" w:rsidR="00CA3607" w:rsidRDefault="00CA3607" w:rsidP="002E1162">
            <w:pPr>
              <w:shd w:val="clear" w:color="auto" w:fill="FFFFFF"/>
              <w:jc w:val="both"/>
              <w:rPr>
                <w:rFonts w:ascii="Times New Roman" w:eastAsia="Times New Roman" w:hAnsi="Times New Roman" w:cs="Times New Roman"/>
                <w:sz w:val="24"/>
                <w:szCs w:val="24"/>
                <w:highlight w:val="white"/>
              </w:rPr>
            </w:pPr>
          </w:p>
        </w:tc>
      </w:tr>
      <w:tr w:rsidR="00B9643D" w14:paraId="1826BB0D" w14:textId="77777777" w:rsidTr="00CA3607">
        <w:tc>
          <w:tcPr>
            <w:tcW w:w="420" w:type="dxa"/>
            <w:shd w:val="clear" w:color="auto" w:fill="FFFFFF"/>
          </w:tcPr>
          <w:p w14:paraId="10AED35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highlight w:val="white"/>
              </w:rPr>
            </w:pPr>
          </w:p>
        </w:tc>
        <w:tc>
          <w:tcPr>
            <w:tcW w:w="2550" w:type="dxa"/>
            <w:shd w:val="clear" w:color="auto" w:fill="FFFFFF"/>
          </w:tcPr>
          <w:p w14:paraId="1DEE4E6E" w14:textId="77777777" w:rsidR="00B9643D" w:rsidRDefault="00B9643D" w:rsidP="002E1162">
            <w:pPr>
              <w:jc w:val="both"/>
              <w:rPr>
                <w:rFonts w:ascii="Times New Roman" w:eastAsia="Times New Roman" w:hAnsi="Times New Roman" w:cs="Times New Roman"/>
                <w:b/>
                <w:bCs/>
                <w:sz w:val="24"/>
                <w:szCs w:val="24"/>
                <w:highlight w:val="white"/>
              </w:rPr>
            </w:pPr>
          </w:p>
        </w:tc>
        <w:tc>
          <w:tcPr>
            <w:tcW w:w="720" w:type="dxa"/>
            <w:tcBorders>
              <w:top w:val="single" w:sz="4" w:space="0" w:color="000000"/>
              <w:bottom w:val="single" w:sz="4" w:space="0" w:color="000000"/>
            </w:tcBorders>
            <w:shd w:val="clear" w:color="auto" w:fill="FFFFFF"/>
          </w:tcPr>
          <w:p w14:paraId="5A4390AD" w14:textId="77777777" w:rsidR="00B9643D" w:rsidRDefault="00000000" w:rsidP="002E1162">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131</w:t>
            </w:r>
          </w:p>
        </w:tc>
        <w:tc>
          <w:tcPr>
            <w:tcW w:w="6075" w:type="dxa"/>
            <w:tcBorders>
              <w:top w:val="single" w:sz="4" w:space="0" w:color="000000"/>
              <w:bottom w:val="single" w:sz="4" w:space="0" w:color="000000"/>
              <w:right w:val="single" w:sz="4" w:space="0" w:color="000000"/>
            </w:tcBorders>
            <w:shd w:val="clear" w:color="auto" w:fill="FFFFFF"/>
          </w:tcPr>
          <w:p w14:paraId="6D1217F5" w14:textId="77777777" w:rsidR="00B9643D" w:rsidRDefault="00000000" w:rsidP="002E1162">
            <w:pPr>
              <w:widowControl w:val="0"/>
              <w:ind w:right="-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Art. VII din proiectul de lege 629/MDED/2026 de completat cu următoarele propuneri la  Legea nr. 174/2021 privind mecanismul de examinare a investițiilor de importanță pentru securitatea  statului: </w:t>
            </w:r>
          </w:p>
          <w:p w14:paraId="6A2E0D69"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Articolul 3 se completează cu alineatele (3) și (4) cu următorul cuprins: </w:t>
            </w:r>
          </w:p>
          <w:p w14:paraId="03C55548"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În cazul înregistrării unei întreprinderi noi care intenționează să desfășoare activități din  domeniile prevăzute la art. 4 alin. (1) sau înregistrării schimbărilor care țin de </w:t>
            </w:r>
            <w:r>
              <w:rPr>
                <w:rFonts w:ascii="Times New Roman" w:eastAsia="Times New Roman" w:hAnsi="Times New Roman" w:cs="Times New Roman"/>
                <w:sz w:val="24"/>
                <w:szCs w:val="24"/>
                <w:highlight w:val="white"/>
              </w:rPr>
              <w:lastRenderedPageBreak/>
              <w:t xml:space="preserve">includerea în lista  asociaților a persoanelor care desfășoară activități din domeniile prevăzute la art. 4 alin. (1), organul  înregistrării de stat comunică datele persoanelor respective precum și orice alte date relevante  scopului prezentei legi, Consiliului pentru Examinarea Investițiilor de Importantă pentru Securitatea  Statului, pentru aprecierea necesității unei examinări din oficiu. </w:t>
            </w:r>
          </w:p>
          <w:p w14:paraId="4465605B"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(4) Întreprinderile noi menționate la alin. (3), sunt scutite de obligația de depunere a solicitării  de aprobare a investițiilor în cadrul procedurii de înregistrare. Orice investiție ulterioară se va supune  aprobării în temeiul art.7 alin. (1). </w:t>
            </w:r>
          </w:p>
        </w:tc>
        <w:tc>
          <w:tcPr>
            <w:tcW w:w="4530" w:type="dxa"/>
            <w:tcBorders>
              <w:top w:val="single" w:sz="4" w:space="0" w:color="000000"/>
              <w:bottom w:val="single" w:sz="4" w:space="0" w:color="000000"/>
              <w:right w:val="single" w:sz="4" w:space="0" w:color="000000"/>
            </w:tcBorders>
            <w:shd w:val="clear" w:color="auto" w:fill="FFFFFF"/>
          </w:tcPr>
          <w:p w14:paraId="002E5B8E" w14:textId="77777777" w:rsidR="00B9643D" w:rsidRDefault="00000000" w:rsidP="002E1162">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0D7AF78F"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Articolul 3 se completează cu alineatele (3) și (4) cu următorul cuprins: </w:t>
            </w:r>
          </w:p>
          <w:p w14:paraId="4177D96E"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”(3) În cazul înregistrării unei întreprinderi noi care intenționează să desfășoare activități din  domeniile prevăzute la art. 4 alin. (1) sau înregistrării schimbărilor care țin de includerea în lista  asociaților a persoanelor care desfășoară activități din domeniile </w:t>
            </w:r>
            <w:r>
              <w:rPr>
                <w:rFonts w:ascii="Times New Roman" w:eastAsia="Times New Roman" w:hAnsi="Times New Roman" w:cs="Times New Roman"/>
                <w:sz w:val="24"/>
                <w:szCs w:val="24"/>
                <w:highlight w:val="white"/>
              </w:rPr>
              <w:lastRenderedPageBreak/>
              <w:t xml:space="preserve">prevăzute la art. 4 alin. (1), organul  înregistrării de stat comunică datele persoanelor respective precum și orice alte date relevante  scopului prezentei legi, Consiliului pentru Examinarea Investițiilor de Importantă pentru Securitatea  Statului, pentru aprecierea necesității unei examinări din oficiu. </w:t>
            </w:r>
          </w:p>
          <w:p w14:paraId="5D5DF1FF"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 Întreprinderile noi menționate la alin. (3), sunt scutite de obligația de depunere a solicitării  de aprobare a investițiilor în cadrul procedurii de înregistrare. Orice investiție ulterioară se va supune  aprobării în temeiul art.7 alin. (1).</w:t>
            </w:r>
          </w:p>
          <w:p w14:paraId="2DDD26D0" w14:textId="77777777" w:rsidR="00CA3607" w:rsidRDefault="00CA3607" w:rsidP="002E1162">
            <w:pPr>
              <w:widowControl w:val="0"/>
              <w:jc w:val="both"/>
              <w:rPr>
                <w:rFonts w:ascii="Times New Roman" w:eastAsia="Times New Roman" w:hAnsi="Times New Roman" w:cs="Times New Roman"/>
                <w:sz w:val="24"/>
                <w:szCs w:val="24"/>
                <w:highlight w:val="white"/>
              </w:rPr>
            </w:pPr>
          </w:p>
        </w:tc>
      </w:tr>
      <w:tr w:rsidR="00B9643D" w14:paraId="0D22177C" w14:textId="77777777" w:rsidTr="00CA3607">
        <w:tc>
          <w:tcPr>
            <w:tcW w:w="420" w:type="dxa"/>
            <w:shd w:val="clear" w:color="auto" w:fill="FFFFFF"/>
          </w:tcPr>
          <w:p w14:paraId="20E2B21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highlight w:val="white"/>
              </w:rPr>
            </w:pPr>
          </w:p>
        </w:tc>
        <w:tc>
          <w:tcPr>
            <w:tcW w:w="2550" w:type="dxa"/>
            <w:shd w:val="clear" w:color="auto" w:fill="FFFFFF"/>
          </w:tcPr>
          <w:p w14:paraId="33D82548" w14:textId="77777777" w:rsidR="00B9643D" w:rsidRDefault="00B9643D" w:rsidP="002E1162">
            <w:pPr>
              <w:jc w:val="both"/>
              <w:rPr>
                <w:rFonts w:ascii="Times New Roman" w:eastAsia="Times New Roman" w:hAnsi="Times New Roman" w:cs="Times New Roman"/>
                <w:b/>
                <w:bCs/>
                <w:sz w:val="24"/>
                <w:szCs w:val="24"/>
                <w:highlight w:val="white"/>
              </w:rPr>
            </w:pPr>
          </w:p>
        </w:tc>
        <w:tc>
          <w:tcPr>
            <w:tcW w:w="720" w:type="dxa"/>
            <w:tcBorders>
              <w:top w:val="single" w:sz="4" w:space="0" w:color="000000"/>
              <w:bottom w:val="single" w:sz="4" w:space="0" w:color="000000"/>
            </w:tcBorders>
            <w:shd w:val="clear" w:color="auto" w:fill="FFFFFF"/>
          </w:tcPr>
          <w:p w14:paraId="061B02B7" w14:textId="77777777" w:rsidR="00B9643D" w:rsidRDefault="00000000" w:rsidP="002E1162">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132</w:t>
            </w:r>
          </w:p>
        </w:tc>
        <w:tc>
          <w:tcPr>
            <w:tcW w:w="6075" w:type="dxa"/>
            <w:tcBorders>
              <w:top w:val="single" w:sz="4" w:space="0" w:color="000000"/>
              <w:bottom w:val="single" w:sz="4" w:space="0" w:color="000000"/>
              <w:right w:val="single" w:sz="4" w:space="0" w:color="000000"/>
            </w:tcBorders>
            <w:shd w:val="clear" w:color="auto" w:fill="FFFFFF"/>
          </w:tcPr>
          <w:p w14:paraId="5543EBDD" w14:textId="77777777" w:rsidR="00B9643D" w:rsidRDefault="00000000" w:rsidP="002E1162">
            <w:pPr>
              <w:widowControl w:val="0"/>
              <w:ind w:right="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Se propune revizuirea integrală a punctului 2 și punctului 3 din proiectul de lege  629/MDED/2026, privind articolul 4 din Legea 174/2021, după cum urmează:  alineatul unic va deveni alineatul (1) cu următorul cuprins: </w:t>
            </w:r>
          </w:p>
          <w:p w14:paraId="29BC5EC5"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Domeniile de importanță pentru securitatea statului sunt următoarele: </w:t>
            </w:r>
          </w:p>
          <w:p w14:paraId="3A8C6B1B"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exploatarea infrastructurii din domeniul energiei, care întrunește cel puțin una din următoarele  condiții: deservește cel puțin 1000 de consumatori; deservește unul sau mai multe obiectivele  critice ale statului; este conectată la rețeaua de distribuție națională și are o capacitate de cel  puțin 10 MW; deservește cel puțin unul din domeniile menționate la lit. b) – i) din prezentul  articol;  </w:t>
            </w:r>
          </w:p>
          <w:p w14:paraId="37F5C5D9"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exploatarea infrastructurii din domeniul transporturilor, care întrunește cel puțin una din  următoarele condiții: reprezintă infrastructura de însemnătate națională, regională sau  municipală; asigură accesul la unul sau mai multe obiectivele critice ale statului; </w:t>
            </w:r>
          </w:p>
          <w:p w14:paraId="6AB3E3E8"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 exploatarea infrastructurii din domeniul apei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canalizării, care întrunește cel puțin una din  următoarele condiții: deservește cel puțin 1000 de consumatori; deservește unul sau mai multe  obiectivele critice ale statului; </w:t>
            </w:r>
          </w:p>
          <w:p w14:paraId="123B1F77"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d) exploatarea infrastructurii din domeniul comunicațiilor, care întrunește cel puțin una din  următoarele condiții: deservește cel puțin 100.000 de consumatori; deservește unul sau mai  multe obiectivele critice ale statului;</w:t>
            </w:r>
          </w:p>
          <w:p w14:paraId="0132C617"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exploatarea infrastructurii din domeniul prelucrării sau stocării datelor de interes public; f) exploatarea infrastructurii din domeniul infrastructurii aerospațiale; </w:t>
            </w:r>
          </w:p>
          <w:p w14:paraId="13E61A21"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exploatarea infrastructurii din domeniul apărării; </w:t>
            </w:r>
          </w:p>
          <w:p w14:paraId="7D85192F"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exploatarea infrastructurii din domeniul electoral; </w:t>
            </w:r>
          </w:p>
          <w:p w14:paraId="76242A6D"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exploatarea proprietăților imobiliare esențiale pentru utilizarea infrastructurilor menționate la  lit. a)-h); </w:t>
            </w:r>
          </w:p>
          <w:p w14:paraId="647C940D"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exploatarea tehnologiilor informaționale în domeniile de la lit. a) – h), </w:t>
            </w:r>
          </w:p>
          <w:p w14:paraId="1A48ABB0"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 exploatarea tehnologiilor inteligenței artificiale, ale roboticii, ale semiconductorilor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ale  securității cibernetice pentru activitățile desfășurate pe teritoriul Republicii Moldova, din  domeniile de la lit. a)-h); </w:t>
            </w:r>
          </w:p>
          <w:p w14:paraId="70EF472A"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 exploatarea tehnologiilor aerospațiale pentru activitățile desfășurate pe teritoriul Republicii  Moldova, din domeniul de la lit. f); </w:t>
            </w:r>
          </w:p>
          <w:p w14:paraId="268A1A5C"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 exploatarea tehnologiilor din domeniul apărării; </w:t>
            </w:r>
          </w:p>
          <w:p w14:paraId="1B21F7E4"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 exploatarea tehnologiilor nucleare; </w:t>
            </w:r>
          </w:p>
          <w:p w14:paraId="012FAFB6" w14:textId="77777777" w:rsidR="00B9643D" w:rsidRDefault="00000000" w:rsidP="002E1162">
            <w:pPr>
              <w:widowControl w:val="0"/>
              <w:ind w:right="203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exploatarea biotehnologiilor destinate clienților din Republica Moldova; </w:t>
            </w:r>
          </w:p>
          <w:p w14:paraId="1D749057" w14:textId="77777777" w:rsidR="00B9643D" w:rsidRDefault="00000000" w:rsidP="002E1162">
            <w:pPr>
              <w:widowControl w:val="0"/>
              <w:ind w:right="203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 gestionarea aeroporturilor; </w:t>
            </w:r>
          </w:p>
          <w:p w14:paraId="1BD22E6E"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 gestionarea autogărilor de însemnătate națională; </w:t>
            </w:r>
          </w:p>
          <w:p w14:paraId="694BE240" w14:textId="77777777" w:rsidR="00B9643D" w:rsidRDefault="00000000" w:rsidP="002E1162">
            <w:pPr>
              <w:widowControl w:val="0"/>
              <w:ind w:right="17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 gestionarea traficului și a infrastructurii feroviare de însemnătate națională; </w:t>
            </w:r>
          </w:p>
          <w:p w14:paraId="1F33A0DC" w14:textId="77777777" w:rsidR="00B9643D" w:rsidRDefault="00000000" w:rsidP="002E1162">
            <w:pPr>
              <w:widowControl w:val="0"/>
              <w:ind w:right="17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 gestionarea căilor navigabile interne; </w:t>
            </w:r>
          </w:p>
          <w:p w14:paraId="1AAECD6C"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 gestionarea porturilor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cheiurilor pentru traficul navigabil de însemnătate națională, cu  excepția cheiurilor temporare; </w:t>
            </w:r>
          </w:p>
          <w:p w14:paraId="3F0B763C"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 utilizarea materialelor nucleare, gestionarea deșeurilor radioactive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deșeurilor chimice  periculoase; </w:t>
            </w:r>
          </w:p>
          <w:p w14:paraId="35C3B902"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 emisiile de televiziune/serviciile audiovizuale, cu acoperire națională sau regională; w) proiectarea, producția, întreținerea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operarea sistemelor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componentelor </w:t>
            </w:r>
            <w:r>
              <w:rPr>
                <w:rFonts w:ascii="Times New Roman" w:eastAsia="Times New Roman" w:hAnsi="Times New Roman" w:cs="Times New Roman"/>
                <w:sz w:val="24"/>
                <w:szCs w:val="24"/>
                <w:highlight w:val="white"/>
              </w:rPr>
              <w:lastRenderedPageBreak/>
              <w:t xml:space="preserve">utilizate în  managementul traficului aerian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furnizarea serviciilor de navigație aeriană, utilizate de  entitățile care desfășoară activități menționate la literele f), p); </w:t>
            </w:r>
          </w:p>
          <w:p w14:paraId="309D5A11"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x) proiectarea, producția, întreținerea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operarea aeronavelor, inclusiv a aeronavelor fără pilot la  bord cu destinație dublă, precum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componentelor pentru acestea; </w:t>
            </w:r>
          </w:p>
          <w:p w14:paraId="1F951DF0"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y) întreținerea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operarea aerodromurilor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heliporturilor din Republica Moldova; z) producerea, exportul, reexportul, punerea în liberă circulație (importul) a armamentelor, a  munițiilor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echipamentelor militare, a produselor, a tehnologiilor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serviciilor care pot fi  utilizate la fabricarea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folosirea armelor nucleare, chimice, biologice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rachetelor; </w:t>
            </w:r>
            <w:proofErr w:type="spellStart"/>
            <w:r>
              <w:rPr>
                <w:rFonts w:ascii="Times New Roman" w:eastAsia="Times New Roman" w:hAnsi="Times New Roman" w:cs="Times New Roman"/>
                <w:sz w:val="24"/>
                <w:szCs w:val="24"/>
                <w:highlight w:val="white"/>
              </w:rPr>
              <w:t>aa</w:t>
            </w:r>
            <w:proofErr w:type="spellEnd"/>
            <w:r>
              <w:rPr>
                <w:rFonts w:ascii="Times New Roman" w:eastAsia="Times New Roman" w:hAnsi="Times New Roman" w:cs="Times New Roman"/>
                <w:sz w:val="24"/>
                <w:szCs w:val="24"/>
                <w:highlight w:val="white"/>
              </w:rPr>
              <w:t xml:space="preserve">) administrarea registrelor publice ale statului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securitatea rețelelor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sistemelor informatice  publice; </w:t>
            </w:r>
          </w:p>
          <w:p w14:paraId="36AA38E9" w14:textId="77777777" w:rsidR="00B9643D" w:rsidRDefault="00000000" w:rsidP="002E1162">
            <w:pPr>
              <w:widowControl w:val="0"/>
              <w:ind w:right="1"/>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bb</w:t>
            </w:r>
            <w:proofErr w:type="spellEnd"/>
            <w:r>
              <w:rPr>
                <w:rFonts w:ascii="Times New Roman" w:eastAsia="Times New Roman" w:hAnsi="Times New Roman" w:cs="Times New Roman"/>
                <w:sz w:val="24"/>
                <w:szCs w:val="24"/>
                <w:highlight w:val="white"/>
              </w:rPr>
              <w:t xml:space="preserve">) activitatea în domeniul hidrometeorologic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geofizic, inclusiv studiul geologic al resurselor  subsolului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/sau explorarea zăcămintelor de substanțe naturale utile;” </w:t>
            </w:r>
          </w:p>
          <w:p w14:paraId="3B560961"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completează cu alineatul (2) cu următorul cuprins: </w:t>
            </w:r>
          </w:p>
          <w:p w14:paraId="6EB293B2" w14:textId="77777777" w:rsidR="00B9643D" w:rsidRDefault="00000000" w:rsidP="002E1162">
            <w:pPr>
              <w:widowControl w:val="0"/>
              <w:ind w:right="-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(2) Autoritățile și entitățile publice sau private, autoritățile emitente de acte permisive cu  atribuții în domeniile menționate la alin. (1), Depozitarul central unic și societățile de registru  furnizează Consiliului orice informație privind investițiile, investitorii și investitorii potențiali care  fac obiect al prezentei legi, în special orice tranzacții de preluare a controlului sau de procurare a cote  semnificative în capitalul social al întreprinderilor care desfășoară activități pe domeniile prevăzute  la alin. (1), în termen de până la 5 zile lucrătoare din data la care i-au fost făcute cunoscute datele  respective.”</w:t>
            </w:r>
          </w:p>
        </w:tc>
        <w:tc>
          <w:tcPr>
            <w:tcW w:w="4530" w:type="dxa"/>
            <w:tcBorders>
              <w:top w:val="single" w:sz="4" w:space="0" w:color="000000"/>
              <w:bottom w:val="single" w:sz="4" w:space="0" w:color="000000"/>
              <w:right w:val="single" w:sz="4" w:space="0" w:color="000000"/>
            </w:tcBorders>
            <w:shd w:val="clear" w:color="auto" w:fill="FFFFFF"/>
          </w:tcPr>
          <w:p w14:paraId="53D8FC1D" w14:textId="77777777" w:rsidR="00B9643D" w:rsidRDefault="00000000" w:rsidP="002E1162">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464CC677" w14:textId="77777777" w:rsidR="00B9643D" w:rsidRDefault="00B9643D" w:rsidP="002E1162">
            <w:pPr>
              <w:jc w:val="both"/>
              <w:rPr>
                <w:rFonts w:ascii="Times New Roman" w:eastAsia="Times New Roman" w:hAnsi="Times New Roman" w:cs="Times New Roman"/>
                <w:b/>
                <w:bCs/>
                <w:sz w:val="24"/>
                <w:szCs w:val="24"/>
                <w:highlight w:val="white"/>
              </w:rPr>
            </w:pPr>
          </w:p>
          <w:p w14:paraId="0A66AC95" w14:textId="77777777" w:rsidR="00B9643D" w:rsidRDefault="00000000" w:rsidP="002E1162">
            <w:pPr>
              <w:widowControl w:val="0"/>
              <w:ind w:right="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Alineatul unic va deveni alineatul (1) cu următorul cuprins: </w:t>
            </w:r>
          </w:p>
          <w:p w14:paraId="1FF79271"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”(1) Domeniile de importanță pentru securitatea statului sunt următoarele: </w:t>
            </w:r>
          </w:p>
          <w:p w14:paraId="77B9C95F"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exploatarea infrastructurii din domeniul energiei, care întrunește cel puțin una din următoarele  condiții: deservește cel puțin 1000 de consumatori; deservește unul sau mai multe obiectivele  critice ale statului; este conectată la rețeaua de distribuție națională și are o capacitate de cel  puțin 10 MW; deservește cel puțin unul din domeniile menționate la lit. b) – i) din prezentul  articol;  </w:t>
            </w:r>
          </w:p>
          <w:p w14:paraId="2D6F36ED"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exploatarea infrastructurii din domeniul transporturilor, care întrunește cel puțin una din  următoarele condiții: reprezintă infrastructura de însemnătate națională, regională sau  municipală; asigură accesul la unul sau mai multe obiectivele critice ale statului; </w:t>
            </w:r>
          </w:p>
          <w:p w14:paraId="1E9AEDDA"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c) exploatarea infrastructurii din domeniul apei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canalizării, care întrunește cel puțin una din  următoarele condiții: deservește cel puțin 1000 de consumatori; deservește unul sau mai multe  obiectivele critice ale statului; </w:t>
            </w:r>
          </w:p>
          <w:p w14:paraId="38A3902C"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 exploatarea infrastructurii din domeniul comunicațiilor, care întrunește cel puțin una din  următoarele condiții: deservește cel puțin 100.000 de consumatori; deservește unul sau mai  multe obiectivele critice ale statului;</w:t>
            </w:r>
          </w:p>
          <w:p w14:paraId="75DEC8DD"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 exploatarea infrastructurii din domeniul prelucrării sau stocării datelor de interes public; f) exploatarea infrastructurii din domeniul infrastructurii aerospațiale; </w:t>
            </w:r>
          </w:p>
          <w:p w14:paraId="7ECCC12A"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g) exploatarea infrastructurii din domeniul apărării; </w:t>
            </w:r>
          </w:p>
          <w:p w14:paraId="101B6444"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h) exploatarea infrastructurii din domeniul electoral; </w:t>
            </w:r>
          </w:p>
          <w:p w14:paraId="05E24FDC"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 exploatarea proprietăților imobiliare esențiale pentru utilizarea infrastructurilor menționate la  lit. a)-h); </w:t>
            </w:r>
          </w:p>
          <w:p w14:paraId="561E6584"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j) exploatarea tehnologiilor informaționale în domeniile de la lit. a) – h), </w:t>
            </w:r>
          </w:p>
          <w:p w14:paraId="67295470"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 exploatarea tehnologiilor inteligenței artificiale, ale roboticii, ale semiconductorilor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ale  securității cibernetice pentru activitățile desfășurate pe teritoriul Republicii Moldova, din  domeniile de la lit. a)-h); </w:t>
            </w:r>
          </w:p>
          <w:p w14:paraId="37994493"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 exploatarea tehnologiilor aerospațiale pentru activitățile desfășurate pe teritoriul Republicii  Moldova, din domeniul de la lit. f); </w:t>
            </w:r>
          </w:p>
          <w:p w14:paraId="0DE886DC"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 exploatarea tehnologiilor din domeniul apărării; </w:t>
            </w:r>
          </w:p>
          <w:p w14:paraId="2C8A5607"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n) exploatarea tehnologiilor nucleare; </w:t>
            </w:r>
          </w:p>
          <w:p w14:paraId="5213158C" w14:textId="77777777" w:rsidR="00B9643D" w:rsidRDefault="00000000" w:rsidP="002E1162">
            <w:pPr>
              <w:widowControl w:val="0"/>
              <w:ind w:right="203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o) exploatarea </w:t>
            </w:r>
            <w:r>
              <w:rPr>
                <w:rFonts w:ascii="Times New Roman" w:eastAsia="Times New Roman" w:hAnsi="Times New Roman" w:cs="Times New Roman"/>
                <w:sz w:val="24"/>
                <w:szCs w:val="24"/>
                <w:highlight w:val="white"/>
              </w:rPr>
              <w:lastRenderedPageBreak/>
              <w:t xml:space="preserve">biotehnologiilor destinate clienților din Republica Moldova; </w:t>
            </w:r>
          </w:p>
          <w:p w14:paraId="412E6EE1" w14:textId="77777777" w:rsidR="00B9643D" w:rsidRDefault="00000000" w:rsidP="002E1162">
            <w:pPr>
              <w:widowControl w:val="0"/>
              <w:ind w:right="203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 gestionarea aeroporturilor; </w:t>
            </w:r>
          </w:p>
          <w:p w14:paraId="2D609178"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q) gestionarea autogărilor de însemnătate națională; </w:t>
            </w:r>
          </w:p>
          <w:p w14:paraId="6CB9795D" w14:textId="77777777" w:rsidR="00B9643D" w:rsidRDefault="00000000" w:rsidP="002E1162">
            <w:pPr>
              <w:widowControl w:val="0"/>
              <w:ind w:right="17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 gestionarea traficului și a infrastructurii feroviare de însemnătate națională; </w:t>
            </w:r>
          </w:p>
          <w:p w14:paraId="2271DDA6" w14:textId="77777777" w:rsidR="00B9643D" w:rsidRDefault="00000000" w:rsidP="002E1162">
            <w:pPr>
              <w:widowControl w:val="0"/>
              <w:ind w:right="175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 gestionarea căilor navigabile interne; </w:t>
            </w:r>
          </w:p>
          <w:p w14:paraId="0550DC56"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 gestionarea porturilor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cheiurilor pentru traficul navigabil de însemnătate națională, cu  excepția cheiurilor temporare; </w:t>
            </w:r>
          </w:p>
          <w:p w14:paraId="0A21771C"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 utilizarea materialelor nucleare, gestionarea deșeurilor radioactive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deșeurilor chimice  periculoase; </w:t>
            </w:r>
          </w:p>
          <w:p w14:paraId="40E31290" w14:textId="77777777" w:rsidR="00B9643D" w:rsidRDefault="00000000" w:rsidP="002E1162">
            <w:pPr>
              <w:widowControl w:val="0"/>
              <w:ind w:right="1"/>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v) emisiile de televiziune/serviciile audiovizuale, cu acoperire națională sau regională; w) proiectarea, producția, întreținerea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operarea sistemelor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componentelor utilizate în  managementul traficului aerian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furnizarea serviciilor de navigație aeriană, utilizate de  entitățile care desfășoară activități menționate la literele f), p); </w:t>
            </w:r>
          </w:p>
          <w:p w14:paraId="624BEA4A"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x) proiectarea, producția, întreținerea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operarea aeronavelor, inclusiv a aeronavelor fără pilot la  bord cu destinație dublă, precum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componentelor pentru acestea; </w:t>
            </w:r>
          </w:p>
          <w:p w14:paraId="1567F9C5"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y) întreținerea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operarea aerodromurilor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heliporturilor din Republica Moldova; z) producerea, exportul, reexportul, punerea în liberă circulație (importul) a armamentelor, a  munițiilor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echipamentelor militare, a produselor, a tehnologiilor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serviciilor </w:t>
            </w:r>
            <w:r>
              <w:rPr>
                <w:rFonts w:ascii="Times New Roman" w:eastAsia="Times New Roman" w:hAnsi="Times New Roman" w:cs="Times New Roman"/>
                <w:sz w:val="24"/>
                <w:szCs w:val="24"/>
                <w:highlight w:val="white"/>
              </w:rPr>
              <w:lastRenderedPageBreak/>
              <w:t xml:space="preserve">care pot fi  utilizate la fabricarea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folosirea armelor nucleare, chimice, biologice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a rachetelor; </w:t>
            </w:r>
            <w:proofErr w:type="spellStart"/>
            <w:r>
              <w:rPr>
                <w:rFonts w:ascii="Times New Roman" w:eastAsia="Times New Roman" w:hAnsi="Times New Roman" w:cs="Times New Roman"/>
                <w:sz w:val="24"/>
                <w:szCs w:val="24"/>
                <w:highlight w:val="white"/>
              </w:rPr>
              <w:t>aa</w:t>
            </w:r>
            <w:proofErr w:type="spellEnd"/>
            <w:r>
              <w:rPr>
                <w:rFonts w:ascii="Times New Roman" w:eastAsia="Times New Roman" w:hAnsi="Times New Roman" w:cs="Times New Roman"/>
                <w:sz w:val="24"/>
                <w:szCs w:val="24"/>
                <w:highlight w:val="white"/>
              </w:rPr>
              <w:t xml:space="preserve">) administrarea registrelor publice ale statului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securitatea rețelelor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sistemelor informatice  publice; </w:t>
            </w:r>
          </w:p>
          <w:p w14:paraId="50E5A8B9" w14:textId="77777777" w:rsidR="00B9643D" w:rsidRDefault="00000000" w:rsidP="002E1162">
            <w:pPr>
              <w:widowControl w:val="0"/>
              <w:ind w:right="1"/>
              <w:jc w:val="both"/>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bb</w:t>
            </w:r>
            <w:proofErr w:type="spellEnd"/>
            <w:r>
              <w:rPr>
                <w:rFonts w:ascii="Times New Roman" w:eastAsia="Times New Roman" w:hAnsi="Times New Roman" w:cs="Times New Roman"/>
                <w:sz w:val="24"/>
                <w:szCs w:val="24"/>
                <w:highlight w:val="white"/>
              </w:rPr>
              <w:t xml:space="preserve">) activitatea în domeniul hidrometeorologic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 geofizic, inclusiv studiul geologic al resurselor  subsolului </w:t>
            </w:r>
            <w:proofErr w:type="spellStart"/>
            <w:r>
              <w:rPr>
                <w:rFonts w:ascii="Times New Roman" w:eastAsia="Times New Roman" w:hAnsi="Times New Roman" w:cs="Times New Roman"/>
                <w:sz w:val="24"/>
                <w:szCs w:val="24"/>
                <w:highlight w:val="white"/>
              </w:rPr>
              <w:t>şi</w:t>
            </w:r>
            <w:proofErr w:type="spellEnd"/>
            <w:r>
              <w:rPr>
                <w:rFonts w:ascii="Times New Roman" w:eastAsia="Times New Roman" w:hAnsi="Times New Roman" w:cs="Times New Roman"/>
                <w:sz w:val="24"/>
                <w:szCs w:val="24"/>
                <w:highlight w:val="white"/>
              </w:rPr>
              <w:t xml:space="preserve">/sau explorarea zăcămintelor de substanțe naturale utile;” </w:t>
            </w:r>
          </w:p>
          <w:p w14:paraId="158696DA"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se completează cu alineatul (2) cu următorul cuprins: </w:t>
            </w:r>
          </w:p>
          <w:p w14:paraId="6755F445" w14:textId="77777777" w:rsidR="00B9643D" w:rsidRDefault="00000000" w:rsidP="002E1162">
            <w:pPr>
              <w:widowControl w:val="0"/>
              <w:ind w:right="-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(2) Autoritățile și entitățile publice sau private, autoritățile emitente de acte permisive cu  atribuții în domeniile menționate la alin. (1), Depozitarul central unic și societățile de registru  furnizează Consiliului orice informație privind investițiile, investitorii și investitorii potențiali care  fac obiect al prezentei legi, în special orice tranzacții de preluare a controlului sau de procurare a cote  semnificative în capitalul social al întreprinderilor care desfășoară activități pe domeniile prevăzute  la alin. (1), în termen de până la 5 zile lucrătoare din data la care i-au fost făcute cunoscute datele  respective.”</w:t>
            </w:r>
          </w:p>
          <w:p w14:paraId="6788FB6B" w14:textId="77777777" w:rsidR="00B9643D" w:rsidRDefault="00B9643D" w:rsidP="002E1162">
            <w:pPr>
              <w:jc w:val="both"/>
              <w:rPr>
                <w:rFonts w:ascii="Times New Roman" w:eastAsia="Times New Roman" w:hAnsi="Times New Roman" w:cs="Times New Roman"/>
                <w:sz w:val="24"/>
                <w:szCs w:val="24"/>
                <w:highlight w:val="white"/>
              </w:rPr>
            </w:pPr>
          </w:p>
        </w:tc>
      </w:tr>
      <w:tr w:rsidR="00B9643D" w14:paraId="78A79F28" w14:textId="77777777" w:rsidTr="00CA3607">
        <w:tc>
          <w:tcPr>
            <w:tcW w:w="420" w:type="dxa"/>
            <w:shd w:val="clear" w:color="auto" w:fill="FFFFFF"/>
          </w:tcPr>
          <w:p w14:paraId="6FEB9AD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C9FAC5B"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4A3E3E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134</w:t>
            </w:r>
          </w:p>
        </w:tc>
        <w:tc>
          <w:tcPr>
            <w:tcW w:w="6075" w:type="dxa"/>
            <w:tcBorders>
              <w:top w:val="single" w:sz="4" w:space="0" w:color="000000"/>
              <w:bottom w:val="single" w:sz="4" w:space="0" w:color="000000"/>
              <w:right w:val="single" w:sz="4" w:space="0" w:color="000000"/>
            </w:tcBorders>
            <w:shd w:val="clear" w:color="auto" w:fill="FFFFFF"/>
          </w:tcPr>
          <w:p w14:paraId="2E6B8570"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Articolul 7: </w:t>
            </w:r>
          </w:p>
          <w:p w14:paraId="6DEAF612" w14:textId="77777777" w:rsidR="00B9643D" w:rsidRDefault="00000000" w:rsidP="002E1162">
            <w:pPr>
              <w:widowControl w:val="0"/>
              <w:ind w:right="514"/>
              <w:rPr>
                <w:rFonts w:ascii="Times New Roman" w:eastAsia="Times New Roman" w:hAnsi="Times New Roman" w:cs="Times New Roman"/>
                <w:sz w:val="24"/>
                <w:szCs w:val="24"/>
              </w:rPr>
            </w:pPr>
            <w:r>
              <w:rPr>
                <w:rFonts w:ascii="Times New Roman" w:eastAsia="Times New Roman" w:hAnsi="Times New Roman" w:cs="Times New Roman"/>
                <w:sz w:val="24"/>
                <w:szCs w:val="24"/>
              </w:rPr>
              <w:t>denumirea articolului după cuvântul ”aprobării” se completează cu textul ”prealabile a”; se completează cu alineatul (1</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w:t>
            </w:r>
            <w:proofErr w:type="spellStart"/>
            <w:r>
              <w:rPr>
                <w:rFonts w:ascii="Times New Roman" w:eastAsia="Times New Roman" w:hAnsi="Times New Roman" w:cs="Times New Roman"/>
                <w:sz w:val="24"/>
                <w:szCs w:val="24"/>
              </w:rPr>
              <w:t>cu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rmătorul</w:t>
            </w:r>
            <w:proofErr w:type="spellEnd"/>
            <w:r>
              <w:rPr>
                <w:rFonts w:ascii="Times New Roman" w:eastAsia="Times New Roman" w:hAnsi="Times New Roman" w:cs="Times New Roman"/>
                <w:sz w:val="24"/>
                <w:szCs w:val="24"/>
              </w:rPr>
              <w:t xml:space="preserve"> cuprins:  </w:t>
            </w:r>
          </w:p>
          <w:p w14:paraId="69EF0F51" w14:textId="77777777" w:rsidR="00B9643D" w:rsidRDefault="00000000" w:rsidP="002E1162">
            <w:pPr>
              <w:widowControl w:val="0"/>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”Solicitarea aprobării prealabile a investițiilor este depusă de către investitorul potențial în  calitate de persoană fizică sau juridică în cazul în care acționează în mod individual ori de către una  din persoanele din cadrul grupului de persoane care acționează în mod concertat la discreția acestora”; </w:t>
            </w:r>
          </w:p>
          <w:p w14:paraId="132B7D28" w14:textId="77777777" w:rsidR="00B9643D" w:rsidRDefault="00000000" w:rsidP="002E1162">
            <w:pPr>
              <w:widowControl w:val="0"/>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alineatul (2) litera i) după textul ”justificative care confirmă acțiunea în mod concertat” se  completează cu textul ” și persoana împuternicită cu depunerea cererii din partea grupului de persoane  care acționează în mod concertat”; </w:t>
            </w:r>
          </w:p>
          <w:p w14:paraId="066D1C22" w14:textId="77777777" w:rsidR="00B9643D" w:rsidRDefault="00000000" w:rsidP="002E1162">
            <w:pPr>
              <w:widowControl w:val="0"/>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alineatul (4) va avea următorul cuprins:  </w:t>
            </w:r>
          </w:p>
          <w:p w14:paraId="22DD0B76" w14:textId="77777777" w:rsidR="00B9643D" w:rsidRDefault="00000000" w:rsidP="002E1162">
            <w:pPr>
              <w:widowControl w:val="0"/>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”Consiliul examinează solicitarea în termen de până la 20 de zile lucrătoare în cazurile cu risc  redus și până la 30 de zile lucrătoare în celelalte cazuri, de la data primirii tuturor documentelor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informațiilor necesare. Solicitantul este informat prin intermediul unui suport durabil privind data  inițierii examinării.”; </w:t>
            </w:r>
          </w:p>
          <w:p w14:paraId="150D6FCF" w14:textId="77777777" w:rsidR="00B9643D" w:rsidRDefault="00000000" w:rsidP="002E1162">
            <w:pPr>
              <w:widowControl w:val="0"/>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alineatul (4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următorul cuprins: </w:t>
            </w:r>
          </w:p>
          <w:p w14:paraId="3F8705AE" w14:textId="77777777" w:rsidR="00B9643D" w:rsidRDefault="00000000" w:rsidP="002E116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Cazurile de risc redus menționate la alin. (4) se referă la investitorii care anterior au  obținut o aprobare prealabilă în Republica Moldova și companiile cu sediu în unul din statele membre  a UE care dețin o aprobare similară emisă în conformitate cu legislația UE și/sau a statului membru  a UE.”; </w:t>
            </w:r>
          </w:p>
          <w:p w14:paraId="39F1C7DE" w14:textId="77777777" w:rsidR="00B9643D" w:rsidRDefault="00000000" w:rsidP="002E1162">
            <w:pPr>
              <w:widowControl w:val="0"/>
              <w:ind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(5) textul ”a 30-a” se exclude și se completează prin înlocuire cu cuvântul ”ultima”; </w:t>
            </w:r>
          </w:p>
          <w:p w14:paraId="0B8D5975" w14:textId="77777777" w:rsidR="00B9643D" w:rsidRDefault="00000000" w:rsidP="002E1162">
            <w:pPr>
              <w:widowControl w:val="0"/>
              <w:ind w:righ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(7) textul ”secretul profesional și” se exclude și se completează prin înlocuire cu  textul ”secretul de stat, comercial, profesional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să asigure”. </w:t>
            </w:r>
          </w:p>
        </w:tc>
        <w:tc>
          <w:tcPr>
            <w:tcW w:w="4530" w:type="dxa"/>
            <w:tcBorders>
              <w:top w:val="single" w:sz="4" w:space="0" w:color="000000"/>
              <w:bottom w:val="single" w:sz="4" w:space="0" w:color="000000"/>
              <w:right w:val="single" w:sz="4" w:space="0" w:color="000000"/>
            </w:tcBorders>
            <w:shd w:val="clear" w:color="auto" w:fill="FFFFFF"/>
          </w:tcPr>
          <w:p w14:paraId="48AD8DC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4524246B" w14:textId="77777777" w:rsidR="00B9643D" w:rsidRDefault="00B9643D" w:rsidP="002E1162">
            <w:pPr>
              <w:jc w:val="both"/>
              <w:rPr>
                <w:rFonts w:ascii="Times New Roman" w:eastAsia="Times New Roman" w:hAnsi="Times New Roman" w:cs="Times New Roman"/>
                <w:b/>
                <w:bCs/>
                <w:sz w:val="24"/>
                <w:szCs w:val="24"/>
              </w:rPr>
            </w:pPr>
          </w:p>
          <w:p w14:paraId="1695E7A7"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7: </w:t>
            </w:r>
          </w:p>
          <w:p w14:paraId="0FE4AFC9" w14:textId="77777777" w:rsidR="00B9643D" w:rsidRDefault="00000000" w:rsidP="002E1162">
            <w:pPr>
              <w:widowControl w:val="0"/>
              <w:ind w:right="514"/>
              <w:rPr>
                <w:rFonts w:ascii="Times New Roman" w:eastAsia="Times New Roman" w:hAnsi="Times New Roman" w:cs="Times New Roman"/>
                <w:sz w:val="24"/>
                <w:szCs w:val="24"/>
              </w:rPr>
            </w:pPr>
            <w:r>
              <w:rPr>
                <w:rFonts w:ascii="Times New Roman" w:eastAsia="Times New Roman" w:hAnsi="Times New Roman" w:cs="Times New Roman"/>
                <w:sz w:val="24"/>
                <w:szCs w:val="24"/>
              </w:rPr>
              <w:t>denumirea articolului după cuvântul ”aprobării” se completează cu textul ”prealabile a”; se completează cu alineatul (1</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w:t>
            </w:r>
            <w:proofErr w:type="spellStart"/>
            <w:r>
              <w:rPr>
                <w:rFonts w:ascii="Times New Roman" w:eastAsia="Times New Roman" w:hAnsi="Times New Roman" w:cs="Times New Roman"/>
                <w:sz w:val="24"/>
                <w:szCs w:val="24"/>
              </w:rPr>
              <w:t>cu</w:t>
            </w:r>
            <w:proofErr w:type="spellEnd"/>
            <w:r>
              <w:rPr>
                <w:rFonts w:ascii="Times New Roman" w:eastAsia="Times New Roman" w:hAnsi="Times New Roman" w:cs="Times New Roman"/>
                <w:sz w:val="24"/>
                <w:szCs w:val="24"/>
              </w:rPr>
              <w:t xml:space="preserve"> următorul cuprins:  </w:t>
            </w:r>
          </w:p>
          <w:p w14:paraId="53387BC0" w14:textId="77777777" w:rsidR="00B9643D" w:rsidRDefault="00000000" w:rsidP="002E1162">
            <w:pPr>
              <w:widowControl w:val="0"/>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”Solicitarea aprobării prealabile a investițiilor este depusă de către investitorul </w:t>
            </w:r>
            <w:r>
              <w:rPr>
                <w:rFonts w:ascii="Times New Roman" w:eastAsia="Times New Roman" w:hAnsi="Times New Roman" w:cs="Times New Roman"/>
                <w:sz w:val="24"/>
                <w:szCs w:val="24"/>
              </w:rPr>
              <w:lastRenderedPageBreak/>
              <w:t xml:space="preserve">potențial în  calitate de persoană fizică sau juridică în cazul în care acționează în mod individual ori de către una  din persoanele din cadrul grupului de persoane care acționează în mod concertat la discreția acestora”; </w:t>
            </w:r>
          </w:p>
          <w:p w14:paraId="38F04466" w14:textId="77777777" w:rsidR="00B9643D" w:rsidRDefault="00000000" w:rsidP="002E1162">
            <w:pPr>
              <w:widowControl w:val="0"/>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(2) litera i) după textul ”justificative care confirmă acțiunea în mod concertat” se  completează cu textul ” și persoana împuternicită cu depunerea cererii din partea grupului de persoane  care acționează în mod concertat”; </w:t>
            </w:r>
          </w:p>
          <w:p w14:paraId="747CDA1D" w14:textId="77777777" w:rsidR="00B9643D" w:rsidRDefault="00000000" w:rsidP="002E1162">
            <w:pPr>
              <w:widowControl w:val="0"/>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alineatul (4) va avea următorul cuprins:  </w:t>
            </w:r>
          </w:p>
          <w:p w14:paraId="74C87B4D" w14:textId="77777777" w:rsidR="00B9643D" w:rsidRDefault="00000000" w:rsidP="002E1162">
            <w:pPr>
              <w:widowControl w:val="0"/>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”Consiliul examinează solicitarea în termen de până la 20 de zile lucrătoare în cazurile cu risc  redus și până la 30 de zile lucrătoare în celelalte cazuri, de la data primirii tuturor documentelor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informațiilor necesare. Solicitantul este informat prin intermediul unui suport durabil privind data  inițierii examinării.”; </w:t>
            </w:r>
          </w:p>
          <w:p w14:paraId="4A2F210C" w14:textId="77777777" w:rsidR="00B9643D" w:rsidRDefault="00000000" w:rsidP="002E1162">
            <w:pPr>
              <w:widowControl w:val="0"/>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alineatul (4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următorul cuprins: </w:t>
            </w:r>
          </w:p>
          <w:p w14:paraId="0D13AEBE" w14:textId="77777777" w:rsidR="00B9643D" w:rsidRDefault="00000000" w:rsidP="002E116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Cazurile de risc redus menționate la alin. (4) se referă la investitorii care anterior au  obținut o aprobare prealabilă în Republica Moldova și companiile cu sediu în unul din statele membre  a UE care dețin o aprobare similară emisă în conformitate cu legislația UE și/sau a statului membru  a UE.”; </w:t>
            </w:r>
          </w:p>
          <w:p w14:paraId="47235948" w14:textId="77777777" w:rsidR="00B9643D" w:rsidRDefault="00000000" w:rsidP="002E1162">
            <w:pPr>
              <w:widowControl w:val="0"/>
              <w:ind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(5) textul ”a 30-a” se exclude și se completează prin înlocuire cu cuvântul ”ultima”; </w:t>
            </w:r>
          </w:p>
          <w:p w14:paraId="32250A15" w14:textId="77777777" w:rsidR="00B9643D" w:rsidRDefault="00000000" w:rsidP="002E1162">
            <w:pPr>
              <w:widowControl w:val="0"/>
              <w:ind w:right="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(7) textul ”secretul profesional și” se exclude și se completează prin înlocuire cu  textul ”secretul de stat, comercial, profesional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să asigure”. </w:t>
            </w:r>
          </w:p>
          <w:p w14:paraId="520082D2" w14:textId="77777777" w:rsidR="00B9643D" w:rsidRDefault="00B9643D" w:rsidP="002E1162">
            <w:pPr>
              <w:jc w:val="both"/>
              <w:rPr>
                <w:rFonts w:ascii="Times New Roman" w:eastAsia="Times New Roman" w:hAnsi="Times New Roman" w:cs="Times New Roman"/>
                <w:b/>
                <w:bCs/>
                <w:sz w:val="24"/>
                <w:szCs w:val="24"/>
              </w:rPr>
            </w:pPr>
          </w:p>
        </w:tc>
      </w:tr>
      <w:tr w:rsidR="00B9643D" w14:paraId="372F605C" w14:textId="77777777" w:rsidTr="00CA3607">
        <w:tc>
          <w:tcPr>
            <w:tcW w:w="420" w:type="dxa"/>
            <w:shd w:val="clear" w:color="auto" w:fill="FFFFFF"/>
          </w:tcPr>
          <w:p w14:paraId="5191BED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F520003"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7D753B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135</w:t>
            </w:r>
          </w:p>
        </w:tc>
        <w:tc>
          <w:tcPr>
            <w:tcW w:w="6075" w:type="dxa"/>
            <w:tcBorders>
              <w:top w:val="single" w:sz="4" w:space="0" w:color="000000"/>
              <w:bottom w:val="single" w:sz="4" w:space="0" w:color="000000"/>
              <w:right w:val="single" w:sz="4" w:space="0" w:color="000000"/>
            </w:tcBorders>
            <w:shd w:val="clear" w:color="auto" w:fill="FFFFFF"/>
          </w:tcPr>
          <w:p w14:paraId="4AB4AC5D"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Articolul 9: </w:t>
            </w:r>
          </w:p>
          <w:p w14:paraId="10454DCB" w14:textId="77777777" w:rsidR="00B9643D" w:rsidRDefault="00000000" w:rsidP="002E1162">
            <w:pPr>
              <w:widowControl w:val="0"/>
              <w:ind w:right="7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denumirea articolului se completează cu textul: ”în procedura de aprobare prealabilă”; la alineatul (9) litera e) se exclude; </w:t>
            </w:r>
          </w:p>
          <w:p w14:paraId="4DC62EB3"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o alineatul (9</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următorul cuprins: </w:t>
            </w:r>
          </w:p>
          <w:p w14:paraId="46FA6D95" w14:textId="77777777" w:rsidR="00B9643D" w:rsidRDefault="00000000" w:rsidP="002E1162">
            <w:pPr>
              <w:widowControl w:val="0"/>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În cazul în care investiția examinată de consiliu atestă că activitatea economică/investiția  planificată sau desfășurată nu necesită o aprobare prealabilă, Consiliul emite o decizie de  neaplicabilitate în acest sens.”; </w:t>
            </w:r>
          </w:p>
          <w:p w14:paraId="104ABDD4"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(10) cuvântul ”examinează” se exclude și se completează prin înlocuire cu textul:  ”are dreptul să examineze”; </w:t>
            </w:r>
          </w:p>
          <w:p w14:paraId="1E61398C" w14:textId="77777777" w:rsidR="00B9643D" w:rsidRDefault="00000000" w:rsidP="002E1162">
            <w:pPr>
              <w:widowControl w:val="0"/>
              <w:ind w:righ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(11) textul ”se realizează” se exclude și se completează prin înlocuire cu textul:  ”poate fi realizată”; </w:t>
            </w:r>
          </w:p>
          <w:p w14:paraId="12E966EF" w14:textId="77777777" w:rsidR="00B9643D" w:rsidRDefault="00000000" w:rsidP="002E1162">
            <w:pPr>
              <w:widowControl w:val="0"/>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(12) textul ”notifică investitorul cu privire la necesitatea prezentării” se exclude și  se completează prin înlocuire cu textul: ”solicită investitorului prezentarea” </w:t>
            </w:r>
          </w:p>
          <w:p w14:paraId="1F1EA5B5"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completează cu alineatul (13) cu următorul cuprins: </w:t>
            </w:r>
          </w:p>
          <w:p w14:paraId="75C7E425" w14:textId="77777777" w:rsidR="00B9643D" w:rsidRDefault="00000000" w:rsidP="002E116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Termenul menționat la alin. (12) se prelungește la notificarea scrisă a investitorului,  depusă către Consiliu prin intermediul unui suport durabil, cu cel puțin 10 zile înainte de expirarea  termenului inițial, în care se explică condițiile de imposibilitate de prezentare a datelor solicitate  suplimentar în termenul respectiv dictate de termenii stabiliți de legislație, inclusiv de legislația altor  state, după caz. Consiliul decide prelungirea termenului, înainte de expirarea termenului inițial.  Termenul menționat la alin. (12) se prelungește cu o perioadă necesară acumulării informațiilor, având  în vedere circumstanțele specifice ale fiecărei situații. Consiliul are dreptul să dispună suspendarea </w:t>
            </w:r>
          </w:p>
          <w:p w14:paraId="10886604" w14:textId="77777777" w:rsidR="00B9643D" w:rsidRDefault="00000000" w:rsidP="002E116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desfășurării activității economice a părților implicate în activitățile investiționale în condițiile stabilite  la art. 11, alin. (1) lit. c) pe durata prelungirii termenului inițial.”. </w:t>
            </w:r>
          </w:p>
        </w:tc>
        <w:tc>
          <w:tcPr>
            <w:tcW w:w="4530" w:type="dxa"/>
            <w:tcBorders>
              <w:top w:val="single" w:sz="4" w:space="0" w:color="000000"/>
              <w:bottom w:val="single" w:sz="4" w:space="0" w:color="000000"/>
              <w:right w:val="single" w:sz="4" w:space="0" w:color="000000"/>
            </w:tcBorders>
            <w:shd w:val="clear" w:color="auto" w:fill="FFFFFF"/>
          </w:tcPr>
          <w:p w14:paraId="5BBE639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32009F22" w14:textId="77777777" w:rsidR="00B9643D" w:rsidRDefault="00B9643D" w:rsidP="002E1162">
            <w:pPr>
              <w:jc w:val="both"/>
              <w:rPr>
                <w:rFonts w:ascii="Times New Roman" w:eastAsia="Times New Roman" w:hAnsi="Times New Roman" w:cs="Times New Roman"/>
                <w:b/>
                <w:bCs/>
                <w:sz w:val="24"/>
                <w:szCs w:val="24"/>
              </w:rPr>
            </w:pPr>
          </w:p>
          <w:p w14:paraId="5CE5A30E"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9: </w:t>
            </w:r>
          </w:p>
          <w:p w14:paraId="70AD49C4" w14:textId="77777777" w:rsidR="00B9643D" w:rsidRDefault="00000000" w:rsidP="002E1162">
            <w:pPr>
              <w:widowControl w:val="0"/>
              <w:ind w:right="7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denumirea articolului se completează cu textul: ”în procedura de aprobare prealabilă”; la alineatul (9) litera e) se exclude; </w:t>
            </w:r>
          </w:p>
          <w:p w14:paraId="42F3E3CE"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o alineatul (9</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următorul cuprins: </w:t>
            </w:r>
          </w:p>
          <w:p w14:paraId="21773C91" w14:textId="77777777" w:rsidR="00B9643D" w:rsidRDefault="00000000" w:rsidP="002E1162">
            <w:pPr>
              <w:widowControl w:val="0"/>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În cazul în care investiția examinată de consiliu atestă că activitatea economică/investiția  planificată sau desfășurată nu necesită o aprobare prealabilă, Consiliul emite o decizie de  neaplicabilitate în acest sens.”; </w:t>
            </w:r>
          </w:p>
          <w:p w14:paraId="765B3B46"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(10) cuvântul ”examinează” se exclude și se completează prin înlocuire cu textul:  ”are dreptul să examineze”; </w:t>
            </w:r>
          </w:p>
          <w:p w14:paraId="24FDD9E7" w14:textId="77777777" w:rsidR="00B9643D" w:rsidRDefault="00000000" w:rsidP="002E1162">
            <w:pPr>
              <w:widowControl w:val="0"/>
              <w:ind w:righ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(11) textul ”se realizează” se exclude și se completează prin înlocuire cu textul:  ”poate fi realizată”; </w:t>
            </w:r>
          </w:p>
          <w:p w14:paraId="399D34EE" w14:textId="77777777" w:rsidR="00B9643D" w:rsidRDefault="00000000" w:rsidP="002E1162">
            <w:pPr>
              <w:widowControl w:val="0"/>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(12) textul ”notifică investitorul cu privire la necesitatea prezentării” se exclude și  se completează prin înlocuire cu textul: ”solicită investitorului prezentarea” </w:t>
            </w:r>
          </w:p>
          <w:p w14:paraId="5F046946"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completează cu alineatul (13) cu următorul cuprins: </w:t>
            </w:r>
          </w:p>
          <w:p w14:paraId="474781F7" w14:textId="77777777" w:rsidR="00B9643D" w:rsidRDefault="00000000" w:rsidP="002E116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Termenul menționat la alin. (12) se prelungește la notificarea scrisă a investitorului,  depusă către Consiliu prin intermediul unui suport durabil, cu cel puțin 10 zile înainte de expirarea  termenului inițial, în care se explică condițiile de imposibilitate de prezentare a datelor solicitate  suplimentar în termenul respectiv dictate de termenii stabiliți de legislație, inclusiv de legislația altor  state, după caz. </w:t>
            </w:r>
            <w:r>
              <w:rPr>
                <w:rFonts w:ascii="Times New Roman" w:eastAsia="Times New Roman" w:hAnsi="Times New Roman" w:cs="Times New Roman"/>
                <w:sz w:val="24"/>
                <w:szCs w:val="24"/>
              </w:rPr>
              <w:lastRenderedPageBreak/>
              <w:t xml:space="preserve">Consiliul decide prelungirea termenului, înainte de expirarea termenului inițial.  Termenul menționat la alin. (12) se prelungește cu o perioadă necesară acumulării informațiilor, având  în vedere circumstanțele specifice ale fiecărei situații. Consiliul are dreptul să dispună suspendarea </w:t>
            </w:r>
          </w:p>
          <w:p w14:paraId="1D51AAE9" w14:textId="77777777" w:rsidR="00B9643D" w:rsidRDefault="00000000" w:rsidP="002E1162">
            <w:pPr>
              <w:widowControl w:val="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desfășurării activității economice a părților implicate în activitățile investiționale în condițiile stabilite  la art. 11, alin. (1) lit. c) pe durata prelungirii termenului inițial.”.</w:t>
            </w:r>
          </w:p>
          <w:p w14:paraId="61167FBD" w14:textId="77777777" w:rsidR="00B9643D" w:rsidRDefault="00B9643D" w:rsidP="002E1162">
            <w:pPr>
              <w:jc w:val="both"/>
              <w:rPr>
                <w:rFonts w:ascii="Times New Roman" w:eastAsia="Times New Roman" w:hAnsi="Times New Roman" w:cs="Times New Roman"/>
                <w:sz w:val="24"/>
                <w:szCs w:val="24"/>
              </w:rPr>
            </w:pPr>
          </w:p>
        </w:tc>
      </w:tr>
      <w:tr w:rsidR="00B9643D" w14:paraId="461DBD04" w14:textId="77777777" w:rsidTr="00CA3607">
        <w:tc>
          <w:tcPr>
            <w:tcW w:w="420" w:type="dxa"/>
            <w:shd w:val="clear" w:color="auto" w:fill="FFFFFF"/>
          </w:tcPr>
          <w:p w14:paraId="2F90761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40E89C6"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CC846B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136</w:t>
            </w:r>
          </w:p>
        </w:tc>
        <w:tc>
          <w:tcPr>
            <w:tcW w:w="6075" w:type="dxa"/>
            <w:tcBorders>
              <w:top w:val="single" w:sz="4" w:space="0" w:color="000000"/>
              <w:bottom w:val="single" w:sz="4" w:space="0" w:color="000000"/>
              <w:right w:val="single" w:sz="4" w:space="0" w:color="000000"/>
            </w:tcBorders>
            <w:shd w:val="clear" w:color="auto" w:fill="FFFFFF"/>
          </w:tcPr>
          <w:p w14:paraId="3A4E0039"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La alineatul (3) al articolului 10 textul ”secretul profesional și” se exclude și se completează  prin înlocuire cu textul ”secretul de stat, comercial, profesional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să asigure”. </w:t>
            </w:r>
          </w:p>
          <w:p w14:paraId="5D6B5C74" w14:textId="77777777" w:rsidR="00B9643D" w:rsidRDefault="00B9643D" w:rsidP="002E1162">
            <w:pPr>
              <w:widowControl w:val="0"/>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AC6AE7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33212E9B" w14:textId="77777777" w:rsidR="00B9643D" w:rsidRDefault="00B9643D" w:rsidP="002E1162">
            <w:pPr>
              <w:jc w:val="both"/>
              <w:rPr>
                <w:rFonts w:ascii="Times New Roman" w:eastAsia="Times New Roman" w:hAnsi="Times New Roman" w:cs="Times New Roman"/>
                <w:sz w:val="24"/>
                <w:szCs w:val="24"/>
              </w:rPr>
            </w:pPr>
          </w:p>
          <w:p w14:paraId="0A0E7F3F"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(3) al articolului 10 textul ”secretul profesional și” se exclude și se completează  prin înlocuire cu textul ”secretul de stat, comercial, profesional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să asigure”.</w:t>
            </w:r>
          </w:p>
          <w:p w14:paraId="1B05BC83" w14:textId="77777777" w:rsidR="00CA3607" w:rsidRDefault="00CA3607" w:rsidP="002E1162">
            <w:pPr>
              <w:widowControl w:val="0"/>
              <w:rPr>
                <w:rFonts w:ascii="Times New Roman" w:eastAsia="Times New Roman" w:hAnsi="Times New Roman" w:cs="Times New Roman"/>
                <w:sz w:val="24"/>
                <w:szCs w:val="24"/>
              </w:rPr>
            </w:pPr>
          </w:p>
        </w:tc>
      </w:tr>
      <w:tr w:rsidR="00B9643D" w14:paraId="6065D38D" w14:textId="77777777" w:rsidTr="00CA3607">
        <w:tc>
          <w:tcPr>
            <w:tcW w:w="420" w:type="dxa"/>
            <w:shd w:val="clear" w:color="auto" w:fill="FFFFFF"/>
          </w:tcPr>
          <w:p w14:paraId="7DE90A9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048D970"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5CA84B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137</w:t>
            </w:r>
          </w:p>
        </w:tc>
        <w:tc>
          <w:tcPr>
            <w:tcW w:w="6075" w:type="dxa"/>
            <w:tcBorders>
              <w:top w:val="single" w:sz="4" w:space="0" w:color="000000"/>
              <w:bottom w:val="single" w:sz="4" w:space="0" w:color="000000"/>
              <w:right w:val="single" w:sz="4" w:space="0" w:color="000000"/>
            </w:tcBorders>
            <w:shd w:val="clear" w:color="auto" w:fill="FFFFFF"/>
          </w:tcPr>
          <w:p w14:paraId="35523108"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6. La alineatul (1) articolului 11: </w:t>
            </w:r>
          </w:p>
          <w:p w14:paraId="2D2FBD80"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după textul ”deținerea aprobării” se completează cu textul ”prealabile a”; </w:t>
            </w:r>
          </w:p>
          <w:p w14:paraId="1B8596D1" w14:textId="77777777" w:rsidR="00B9643D" w:rsidRDefault="00000000" w:rsidP="002E1162">
            <w:pPr>
              <w:widowControl w:val="0"/>
              <w:ind w:righ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litera a) textul ”părților implicate în activitățile investiționale” se exclude și se completează  prin înlocuire cu cuvântul ”investitorilor”; </w:t>
            </w:r>
          </w:p>
          <w:p w14:paraId="6EF7960E" w14:textId="77777777" w:rsidR="00B9643D" w:rsidRDefault="00000000" w:rsidP="002E1162">
            <w:pPr>
              <w:widowControl w:val="0"/>
              <w:ind w:right="1"/>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 doilea paragraf de la litera a) se completează cu o liniuță cu următorul cuprins:  ”- legislația care reglementează domeniul de activitate a investitorului a operatorilor din  domeniul de importantă pentru securitatea statului și a autorităților publice/entităților implicate  stabilește termeni specifici pentru realizarea anumitor acțiuni care sunt necesare din perspectiva  revenirii la situația anterioară investiției.”; </w:t>
            </w:r>
          </w:p>
          <w:p w14:paraId="2B4497E4"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litera a) se completează cu un nou paragraf cu următorul cuprins:  </w:t>
            </w:r>
          </w:p>
          <w:p w14:paraId="0183C299"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Solicitarea de prelungire a termenului pentru revenirea la </w:t>
            </w:r>
            <w:r>
              <w:rPr>
                <w:rFonts w:ascii="Times New Roman" w:eastAsia="Times New Roman" w:hAnsi="Times New Roman" w:cs="Times New Roman"/>
                <w:sz w:val="24"/>
                <w:szCs w:val="24"/>
                <w:highlight w:val="white"/>
              </w:rPr>
              <w:lastRenderedPageBreak/>
              <w:t xml:space="preserve">situația anterioară prelungește  termenul inițial până la emiterea dispoziției corespunzătoare a Consiliului. Dispoziția de prelungire  sau refuz de prelungire a termenului de revenire la situația anterioară se adoptă de către Consiliu în  termen de 10 zile lucrătoare din data recepționării solicitării și se comunică solicitantului prin  intermediul unui suport durabil producând efecte juridice din data recepționării de către solicitant.”; </w:t>
            </w:r>
          </w:p>
          <w:p w14:paraId="36CD26F9"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Litera b) va avea următorul cuprins: </w:t>
            </w:r>
          </w:p>
          <w:p w14:paraId="775CEB8E" w14:textId="77777777" w:rsidR="00B9643D" w:rsidRDefault="00000000" w:rsidP="002E1162">
            <w:pPr>
              <w:widowControl w:val="0"/>
              <w:ind w:right="-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 cazul nerespectării termenului stabilit conform prevederilor lit. a), la decizia  Consiliului, investitorul care a acționat în mod individual în calitate de persoană juridică ori persoana  juridică din cadrul grupului concertat se sancționează cu amendă în mărime de 5% din cifra de afaceri  anuală în anul anterior sancționării, dar care nu va depăși 5000000 de lei. Investitorul care a acționat  în mod individual ca persoană fizică sau în cadrul grupului concertat în calitate de persoană fizică, se  sancționează cu amendă de 5% din valoarea investiției dar care nu va depăși 2000000 de lei.  </w:t>
            </w:r>
          </w:p>
          <w:p w14:paraId="42C5AEBB" w14:textId="77777777" w:rsidR="00B9643D" w:rsidRDefault="00000000" w:rsidP="002E1162">
            <w:pPr>
              <w:widowControl w:val="0"/>
              <w:ind w:right="-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situațiile în care, din situația financiară a investitorului reiese imposibilitatea achitării  amenzii Consiliul poate decide sancționarea beneficiarului efectiv persoana fizică cu amendă de 5%  din valoarea investiției dar care nu va depăși 5000000 de lei sau persoana juridică cu amendă în  mărime de 5% din cifra de afaceri anuală în anul anterior sancționării, dar care nu va depăși 5000000  de lei. </w:t>
            </w:r>
          </w:p>
          <w:p w14:paraId="34CD176C"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cazul în care nici în anul anterior anului de referință pentru calcularea cifrei de afaceri în  vederea aplicării sancțiunii întreprinderea nu a realizat cifră de afaceri, se ia în calcul ultima cifră de  afaceri înregistrată de întreprindere.  </w:t>
            </w:r>
          </w:p>
          <w:p w14:paraId="3B085BC2" w14:textId="77777777" w:rsidR="00B9643D" w:rsidRDefault="00000000" w:rsidP="002E1162">
            <w:pPr>
              <w:widowControl w:val="0"/>
              <w:ind w:right="-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Întreprinderile înființate în anul anterior sancționării ca urmare a unei investiții în domeniile  de importantă pentru securitatea statului, care nu au înregistrat cifră de afaceri în anul anterior  sancționării, se sancționează cu amendă 5% din valoarea investiției dar care nu va depăși 5000000 de  lei”; </w:t>
            </w:r>
          </w:p>
          <w:p w14:paraId="4AB4ECEE" w14:textId="77777777" w:rsidR="00B9643D" w:rsidRDefault="00000000" w:rsidP="002E1162">
            <w:pPr>
              <w:widowControl w:val="0"/>
              <w:ind w:righ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litera c) textul ”părțile implicate în activitățile investiționale” se exclude și se completează  prin înlocuire </w:t>
            </w:r>
            <w:r>
              <w:rPr>
                <w:rFonts w:ascii="Times New Roman" w:eastAsia="Times New Roman" w:hAnsi="Times New Roman" w:cs="Times New Roman"/>
                <w:sz w:val="24"/>
                <w:szCs w:val="24"/>
                <w:highlight w:val="white"/>
              </w:rPr>
              <w:lastRenderedPageBreak/>
              <w:t>cu cuvântul ”investitorii”.</w:t>
            </w:r>
          </w:p>
        </w:tc>
        <w:tc>
          <w:tcPr>
            <w:tcW w:w="4530" w:type="dxa"/>
            <w:tcBorders>
              <w:top w:val="single" w:sz="4" w:space="0" w:color="000000"/>
              <w:bottom w:val="single" w:sz="4" w:space="0" w:color="000000"/>
              <w:right w:val="single" w:sz="4" w:space="0" w:color="000000"/>
            </w:tcBorders>
            <w:shd w:val="clear" w:color="auto" w:fill="FFFFFF"/>
          </w:tcPr>
          <w:p w14:paraId="19F23CEE" w14:textId="77777777" w:rsidR="00B9643D" w:rsidRDefault="00000000" w:rsidP="002E1162">
            <w:pPr>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lastRenderedPageBreak/>
              <w:t>Se acceptă</w:t>
            </w:r>
          </w:p>
          <w:p w14:paraId="7D184176" w14:textId="77777777" w:rsidR="00B9643D" w:rsidRDefault="00B9643D" w:rsidP="002E1162">
            <w:pPr>
              <w:jc w:val="both"/>
              <w:rPr>
                <w:rFonts w:ascii="Times New Roman" w:eastAsia="Times New Roman" w:hAnsi="Times New Roman" w:cs="Times New Roman"/>
                <w:b/>
                <w:bCs/>
                <w:sz w:val="24"/>
                <w:szCs w:val="24"/>
                <w:highlight w:val="white"/>
              </w:rPr>
            </w:pPr>
          </w:p>
          <w:p w14:paraId="26944541"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alineatul (1) articolului 11: </w:t>
            </w:r>
          </w:p>
          <w:p w14:paraId="21318BFB"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după textul ”deținerea aprobării” se completează cu textul ”prealabile a”; </w:t>
            </w:r>
          </w:p>
          <w:p w14:paraId="04D3ECF6" w14:textId="77777777" w:rsidR="00B9643D" w:rsidRDefault="00000000" w:rsidP="002E1162">
            <w:pPr>
              <w:widowControl w:val="0"/>
              <w:ind w:righ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litera a) textul ”părților implicate în activitățile investiționale” se exclude și se completează  prin înlocuire cu cuvântul ”investitorilor”; </w:t>
            </w:r>
          </w:p>
          <w:p w14:paraId="51364580" w14:textId="77777777" w:rsidR="00B9643D" w:rsidRDefault="00000000" w:rsidP="002E1162">
            <w:pPr>
              <w:widowControl w:val="0"/>
              <w:ind w:right="1"/>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al doilea paragraf de la litera a) se completează cu o liniuță cu următorul cuprins:  ”- legislația care reglementează domeniul de activitate a investitorului a operatorilor din  domeniul de importantă pentru securitatea statului și a autorităților publice/entităților implicate  stabilește termeni specifici pentru realizarea anumitor </w:t>
            </w:r>
            <w:r>
              <w:rPr>
                <w:rFonts w:ascii="Times New Roman" w:eastAsia="Times New Roman" w:hAnsi="Times New Roman" w:cs="Times New Roman"/>
                <w:sz w:val="24"/>
                <w:szCs w:val="24"/>
                <w:highlight w:val="white"/>
              </w:rPr>
              <w:lastRenderedPageBreak/>
              <w:t xml:space="preserve">acțiuni care sunt necesare din perspectiva  revenirii la situația anterioară investiției.”; </w:t>
            </w:r>
          </w:p>
          <w:p w14:paraId="2A1518D1"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litera a) se completează cu un nou paragraf cu următorul cuprins:  </w:t>
            </w:r>
          </w:p>
          <w:p w14:paraId="0665D130" w14:textId="77777777" w:rsidR="00B9643D" w:rsidRDefault="00000000" w:rsidP="002E1162">
            <w:pPr>
              <w:widowControl w:val="0"/>
              <w:ind w:right="-2"/>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Solicitarea de prelungire a termenului pentru revenirea la situația anterioară prelungește  termenul inițial până la emiterea dispoziției corespunzătoare a Consiliului. Dispoziția de prelungire  sau refuz de prelungire a termenului de revenire la situația anterioară se adoptă de către Consiliu în  termen de 10 zile lucrătoare din data recepționării solicitării și se comunică solicitantului prin  intermediul unui suport durabil producând efecte juridice din data recepționării de către solicitant.”; </w:t>
            </w:r>
          </w:p>
          <w:p w14:paraId="0B16C7F4" w14:textId="77777777" w:rsidR="00B9643D" w:rsidRDefault="00000000" w:rsidP="002E1162">
            <w:pPr>
              <w:widowControl w:val="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Litera b) va avea următorul cuprins: </w:t>
            </w:r>
          </w:p>
          <w:p w14:paraId="040180E2" w14:textId="77777777" w:rsidR="00B9643D" w:rsidRDefault="00000000" w:rsidP="002E1162">
            <w:pPr>
              <w:widowControl w:val="0"/>
              <w:ind w:right="-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 în cazul nerespectării termenului stabilit conform prevederilor lit. a), la decizia  Consiliului, investitorul care a acționat în mod individual în calitate de persoană juridică ori persoana  juridică din cadrul grupului concertat se sancționează cu amendă în mărime de 5% din cifra de afaceri  anuală în anul anterior sancționării, dar care nu va depăși 5000000 de lei. Investitorul care a acționat  în mod individual ca persoană fizică sau în cadrul grupului concertat în calitate de persoană fizică, se  sancționează cu amendă de 5% din valoarea investiției dar care nu va depăși 2000000 de lei.  </w:t>
            </w:r>
          </w:p>
          <w:p w14:paraId="48BA1C24" w14:textId="77777777" w:rsidR="00B9643D" w:rsidRDefault="00000000" w:rsidP="002E1162">
            <w:pPr>
              <w:widowControl w:val="0"/>
              <w:ind w:right="-4"/>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situațiile în care, din situația financiară a investitorului reiese imposibilitatea achitării  amenzii Consiliul poate decide sancționarea beneficiarului efectiv persoana fizică cu amendă de 5%  din valoarea investiției dar care nu va depăși 5000000 de lei sau </w:t>
            </w:r>
            <w:r>
              <w:rPr>
                <w:rFonts w:ascii="Times New Roman" w:eastAsia="Times New Roman" w:hAnsi="Times New Roman" w:cs="Times New Roman"/>
                <w:sz w:val="24"/>
                <w:szCs w:val="24"/>
                <w:highlight w:val="white"/>
              </w:rPr>
              <w:lastRenderedPageBreak/>
              <w:t xml:space="preserve">persoana juridică cu amendă în  mărime de 5% din cifra de afaceri anuală în anul anterior sancționării, dar care nu va depăși 5000000  de lei. </w:t>
            </w:r>
          </w:p>
          <w:p w14:paraId="26D67A34" w14:textId="77777777" w:rsidR="00B9643D" w:rsidRDefault="00000000" w:rsidP="002E1162">
            <w:pPr>
              <w:widowControl w:val="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 cazul în care nici în anul anterior anului de referință pentru calcularea cifrei de afaceri în  vederea aplicării sancțiunii întreprinderea nu a realizat cifră de afaceri, se ia în calcul ultima cifră de  afaceri înregistrată de întreprindere.  </w:t>
            </w:r>
          </w:p>
          <w:p w14:paraId="0D1AF0AA" w14:textId="77777777" w:rsidR="00B9643D" w:rsidRDefault="00000000" w:rsidP="002E1162">
            <w:pPr>
              <w:widowControl w:val="0"/>
              <w:ind w:right="-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Întreprinderile înființate în anul anterior sancționării ca urmare a unei investiții în domeniile  de importantă pentru securitatea statului, care nu au înregistrat cifră de afaceri în anul anterior  sancționării, se sancționează cu amendă 5% din valoarea investiției dar care nu va depăși 5000000 de  lei”; </w:t>
            </w:r>
          </w:p>
          <w:p w14:paraId="14EA94BD" w14:textId="77777777" w:rsidR="00B9643D" w:rsidRDefault="00000000" w:rsidP="002E1162">
            <w:pPr>
              <w:widowControl w:val="0"/>
              <w:ind w:right="-2"/>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litera c) textul ”părțile implicate în activitățile investiționale” se exclude și se completează  prin înlocuire cu cuvântul ”investitorii”.</w:t>
            </w:r>
          </w:p>
          <w:p w14:paraId="5D8F6014" w14:textId="77777777" w:rsidR="00CA3607" w:rsidRDefault="00CA3607" w:rsidP="002E1162">
            <w:pPr>
              <w:widowControl w:val="0"/>
              <w:ind w:right="-2"/>
              <w:rPr>
                <w:rFonts w:ascii="Times New Roman" w:eastAsia="Times New Roman" w:hAnsi="Times New Roman" w:cs="Times New Roman"/>
                <w:sz w:val="24"/>
                <w:szCs w:val="24"/>
                <w:highlight w:val="white"/>
              </w:rPr>
            </w:pPr>
          </w:p>
        </w:tc>
      </w:tr>
      <w:tr w:rsidR="00B9643D" w14:paraId="009ABC1D" w14:textId="77777777" w:rsidTr="00CA3607">
        <w:tc>
          <w:tcPr>
            <w:tcW w:w="420" w:type="dxa"/>
            <w:shd w:val="clear" w:color="auto" w:fill="FFFFFF"/>
          </w:tcPr>
          <w:p w14:paraId="3D71C4D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098D57A"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24288B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138</w:t>
            </w:r>
          </w:p>
        </w:tc>
        <w:tc>
          <w:tcPr>
            <w:tcW w:w="6075" w:type="dxa"/>
            <w:tcBorders>
              <w:top w:val="single" w:sz="4" w:space="0" w:color="000000"/>
              <w:bottom w:val="single" w:sz="4" w:space="0" w:color="000000"/>
              <w:right w:val="single" w:sz="4" w:space="0" w:color="000000"/>
            </w:tcBorders>
            <w:shd w:val="clear" w:color="auto" w:fill="FFFFFF"/>
          </w:tcPr>
          <w:p w14:paraId="1D834400"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Articolului 11</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p>
          <w:p w14:paraId="4FD468F9"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(3) cuvântul ”Deciziile” se exclude și se completează prin înlocuire cu cuvântul ”Dispozițiile”, iar textul ”emitente ale actelor permisive” se exclude și se completează prin înlocuire  cu textul ”autoritățile/entitățile publice cu atribuții în domeniile menționate la art. 4 alin. (1)”;</w:t>
            </w:r>
          </w:p>
          <w:p w14:paraId="22CC0268" w14:textId="77777777" w:rsidR="00B9643D" w:rsidRDefault="00B9643D" w:rsidP="002E1162">
            <w:pPr>
              <w:widowControl w:val="0"/>
              <w:rPr>
                <w:rFonts w:ascii="Times New Roman" w:eastAsia="Times New Roman" w:hAnsi="Times New Roman" w:cs="Times New Roman"/>
                <w:sz w:val="24"/>
                <w:szCs w:val="24"/>
              </w:rPr>
            </w:pPr>
          </w:p>
          <w:p w14:paraId="0785237B"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4 textul ”sau investitorii” se exclude și se completează prin înlocuire cu textul ”, investitorii ori operatorii din domeniul de importantă pentru securitatea statului ori alte persoane  afectate de decizia sau dispoziția Consiliului”, iar după cuvântul ”deciziei” se completează cu textul  ”sau dispoziției”.</w:t>
            </w:r>
          </w:p>
        </w:tc>
        <w:tc>
          <w:tcPr>
            <w:tcW w:w="4530" w:type="dxa"/>
            <w:tcBorders>
              <w:top w:val="single" w:sz="4" w:space="0" w:color="000000"/>
              <w:bottom w:val="single" w:sz="4" w:space="0" w:color="000000"/>
              <w:right w:val="single" w:sz="4" w:space="0" w:color="000000"/>
            </w:tcBorders>
            <w:shd w:val="clear" w:color="auto" w:fill="FFFFFF"/>
          </w:tcPr>
          <w:p w14:paraId="19AED50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632FB2AD"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la alineatul (3) cuvântul ”Deciziile” se exclude și se completează prin înlocuire cu cuvântul ”Dispozițiile”, iar textul ”emitente ale actelor permisive” se exclude și se completează prin înlocuire  cu textul ”autoritățile/entitățile publice cu atribuții în domeniile menționate la art. 4 alin. (1)”;</w:t>
            </w:r>
          </w:p>
          <w:p w14:paraId="37E69314" w14:textId="77777777" w:rsidR="00B9643D" w:rsidRDefault="00B9643D" w:rsidP="002E1162">
            <w:pPr>
              <w:widowControl w:val="0"/>
              <w:rPr>
                <w:rFonts w:ascii="Times New Roman" w:eastAsia="Times New Roman" w:hAnsi="Times New Roman" w:cs="Times New Roman"/>
                <w:sz w:val="24"/>
                <w:szCs w:val="24"/>
              </w:rPr>
            </w:pPr>
          </w:p>
          <w:p w14:paraId="23A54640"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4 textul ”sau investitorii” se exclude și se completează prin înlocuire cu textul ”, investitorii ori operatorii din domeniul de importantă pentru securitatea statului ori alte persoane  afectate de decizia sau dispoziția Consiliului”, iar după </w:t>
            </w:r>
            <w:r>
              <w:rPr>
                <w:rFonts w:ascii="Times New Roman" w:eastAsia="Times New Roman" w:hAnsi="Times New Roman" w:cs="Times New Roman"/>
                <w:sz w:val="24"/>
                <w:szCs w:val="24"/>
              </w:rPr>
              <w:lastRenderedPageBreak/>
              <w:t>cuvântul ”deciziei” se completează cu textul  ”sau dispoziției”.</w:t>
            </w:r>
          </w:p>
          <w:p w14:paraId="1684D2E1" w14:textId="77777777" w:rsidR="00B9643D" w:rsidRDefault="00B9643D" w:rsidP="002E1162">
            <w:pPr>
              <w:jc w:val="both"/>
              <w:rPr>
                <w:rFonts w:ascii="Times New Roman" w:eastAsia="Times New Roman" w:hAnsi="Times New Roman" w:cs="Times New Roman"/>
                <w:b/>
                <w:bCs/>
                <w:sz w:val="24"/>
                <w:szCs w:val="24"/>
              </w:rPr>
            </w:pPr>
          </w:p>
        </w:tc>
      </w:tr>
      <w:tr w:rsidR="00B9643D" w14:paraId="0DDC5EC8" w14:textId="77777777" w:rsidTr="00CA3607">
        <w:tc>
          <w:tcPr>
            <w:tcW w:w="420" w:type="dxa"/>
            <w:shd w:val="clear" w:color="auto" w:fill="FFFFFF"/>
          </w:tcPr>
          <w:p w14:paraId="4B2F44C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F6D7DFF"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6879BC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139</w:t>
            </w:r>
          </w:p>
        </w:tc>
        <w:tc>
          <w:tcPr>
            <w:tcW w:w="6075" w:type="dxa"/>
            <w:tcBorders>
              <w:top w:val="single" w:sz="4" w:space="0" w:color="000000"/>
              <w:bottom w:val="single" w:sz="4" w:space="0" w:color="000000"/>
              <w:right w:val="single" w:sz="4" w:space="0" w:color="000000"/>
            </w:tcBorders>
            <w:shd w:val="clear" w:color="auto" w:fill="FFFFFF"/>
          </w:tcPr>
          <w:p w14:paraId="2B7093D6"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Articolul 14: </w:t>
            </w:r>
          </w:p>
          <w:p w14:paraId="18E45176"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alineatul (1) după cuvântul ”deciziilor” se completează cu textul ”sau dispozițiilor”; alineatul (2) după cuvântul ”deciziei” se completează cu textul ”sau dispoziției”. </w:t>
            </w:r>
          </w:p>
          <w:p w14:paraId="0A15D1BF" w14:textId="77777777" w:rsidR="00B9643D" w:rsidRDefault="00B9643D" w:rsidP="002E1162">
            <w:pPr>
              <w:widowControl w:val="0"/>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21C308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0E7D8D79" w14:textId="77777777" w:rsidR="00B9643D" w:rsidRDefault="00B9643D" w:rsidP="002E1162">
            <w:pPr>
              <w:jc w:val="both"/>
              <w:rPr>
                <w:rFonts w:ascii="Times New Roman" w:eastAsia="Times New Roman" w:hAnsi="Times New Roman" w:cs="Times New Roman"/>
                <w:b/>
                <w:bCs/>
                <w:sz w:val="24"/>
                <w:szCs w:val="24"/>
              </w:rPr>
            </w:pPr>
          </w:p>
          <w:p w14:paraId="01A90ED0"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Articolul 14: </w:t>
            </w:r>
          </w:p>
          <w:p w14:paraId="16863B71" w14:textId="77777777" w:rsidR="00B9643D" w:rsidRDefault="00000000" w:rsidP="002E116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(1) după cuvântul ”deciziilor” se completează cu textul ”sau dispozițiilor”; alineatul (2) după cuvântul ”deciziei” se completează cu textul ”sau dispoziției”.</w:t>
            </w:r>
          </w:p>
          <w:p w14:paraId="4DAA005A" w14:textId="77777777" w:rsidR="00CA3607" w:rsidRDefault="00CA3607" w:rsidP="002E1162">
            <w:pPr>
              <w:widowControl w:val="0"/>
              <w:jc w:val="both"/>
              <w:rPr>
                <w:rFonts w:ascii="Times New Roman" w:eastAsia="Times New Roman" w:hAnsi="Times New Roman" w:cs="Times New Roman"/>
                <w:b/>
                <w:bCs/>
                <w:sz w:val="24"/>
                <w:szCs w:val="24"/>
              </w:rPr>
            </w:pPr>
          </w:p>
        </w:tc>
      </w:tr>
      <w:tr w:rsidR="00B9643D" w14:paraId="0F8ADF95" w14:textId="77777777" w:rsidTr="00CA3607">
        <w:tc>
          <w:tcPr>
            <w:tcW w:w="420" w:type="dxa"/>
            <w:shd w:val="clear" w:color="auto" w:fill="FFFFFF"/>
          </w:tcPr>
          <w:p w14:paraId="5A2CD4AE"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4E7EFA1"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0E0B3D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140</w:t>
            </w:r>
          </w:p>
        </w:tc>
        <w:tc>
          <w:tcPr>
            <w:tcW w:w="6075" w:type="dxa"/>
            <w:tcBorders>
              <w:top w:val="single" w:sz="4" w:space="0" w:color="000000"/>
              <w:bottom w:val="single" w:sz="4" w:space="0" w:color="000000"/>
              <w:right w:val="single" w:sz="4" w:space="0" w:color="000000"/>
            </w:tcBorders>
            <w:shd w:val="clear" w:color="auto" w:fill="FFFFFF"/>
          </w:tcPr>
          <w:p w14:paraId="57608D28" w14:textId="77777777" w:rsidR="00B9643D" w:rsidRDefault="00000000" w:rsidP="002E1162">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La dispozițiile finale și tranzitorii, cu referire la Legea 174/2021, se va indica, că toate  referințele din cuprinsul legii date sau alte acte normative relevante, făcute la articolul 4, se vor  considera referințe la alineatul (1) al articolului 4, în partea în care se referă la domeniile de importanță  pentru securitatea statului. </w:t>
            </w:r>
          </w:p>
        </w:tc>
        <w:tc>
          <w:tcPr>
            <w:tcW w:w="4530" w:type="dxa"/>
            <w:tcBorders>
              <w:top w:val="single" w:sz="4" w:space="0" w:color="000000"/>
              <w:bottom w:val="single" w:sz="4" w:space="0" w:color="000000"/>
              <w:right w:val="single" w:sz="4" w:space="0" w:color="000000"/>
            </w:tcBorders>
            <w:shd w:val="clear" w:color="auto" w:fill="FFFFFF"/>
          </w:tcPr>
          <w:p w14:paraId="2E14250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p w14:paraId="55DC594D" w14:textId="77777777" w:rsidR="00B9643D" w:rsidRDefault="00B9643D" w:rsidP="002E1162">
            <w:pPr>
              <w:jc w:val="both"/>
              <w:rPr>
                <w:rFonts w:ascii="Times New Roman" w:eastAsia="Times New Roman" w:hAnsi="Times New Roman" w:cs="Times New Roman"/>
                <w:b/>
                <w:bCs/>
                <w:sz w:val="24"/>
                <w:szCs w:val="24"/>
              </w:rPr>
            </w:pPr>
          </w:p>
          <w:p w14:paraId="2BCF9817"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Toate trimiterile la articolul 4 din Legea nr. 174/2021 privind mecanismul de examinare a investițiilor de importanță pentru securitatea statului, precum și trimiterile la articolul 4 din Legea nr. 174/2021 cuprinse în alte acte normative, se interpretează, de la data intrării în vigoare a prezentei legi, ca trimiteri la alineatul (1) al articolului 4, în măsura în care acestea vizează domeniile de importanță pentru securitatea statului. </w:t>
            </w:r>
          </w:p>
          <w:p w14:paraId="015AB2D2" w14:textId="77777777" w:rsidR="00CA3607" w:rsidRDefault="00CA3607" w:rsidP="002E1162">
            <w:pPr>
              <w:jc w:val="both"/>
              <w:rPr>
                <w:rFonts w:ascii="Times New Roman" w:eastAsia="Times New Roman" w:hAnsi="Times New Roman" w:cs="Times New Roman"/>
                <w:sz w:val="24"/>
                <w:szCs w:val="24"/>
              </w:rPr>
            </w:pPr>
          </w:p>
        </w:tc>
      </w:tr>
      <w:tr w:rsidR="00B9643D" w14:paraId="381C4705" w14:textId="77777777" w:rsidTr="00CA3607">
        <w:tc>
          <w:tcPr>
            <w:tcW w:w="420" w:type="dxa"/>
            <w:shd w:val="clear" w:color="auto" w:fill="FFFFFF"/>
          </w:tcPr>
          <w:p w14:paraId="5DB020E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8EC52F1"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D36CF1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141</w:t>
            </w:r>
          </w:p>
        </w:tc>
        <w:tc>
          <w:tcPr>
            <w:tcW w:w="6075" w:type="dxa"/>
            <w:tcBorders>
              <w:top w:val="single" w:sz="4" w:space="0" w:color="000000"/>
              <w:bottom w:val="single" w:sz="4" w:space="0" w:color="000000"/>
              <w:right w:val="single" w:sz="4" w:space="0" w:color="000000"/>
            </w:tcBorders>
            <w:shd w:val="clear" w:color="auto" w:fill="FFFFFF"/>
          </w:tcPr>
          <w:p w14:paraId="2AB3F356" w14:textId="77777777" w:rsidR="00B9643D" w:rsidRDefault="00000000" w:rsidP="002E1162">
            <w:pPr>
              <w:widowControl w:val="0"/>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Se propune completarea proiectului de lege nr. 629/MDED/2026 cu:  </w:t>
            </w:r>
          </w:p>
          <w:p w14:paraId="548AEA61" w14:textId="77777777" w:rsidR="00B9643D" w:rsidRDefault="00000000" w:rsidP="002E1162">
            <w:pPr>
              <w:widowControl w:val="0"/>
              <w:ind w:right="-3" w:firstLine="4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IX </w:t>
            </w:r>
            <w:r>
              <w:rPr>
                <w:rFonts w:ascii="Times New Roman" w:eastAsia="Times New Roman" w:hAnsi="Times New Roman" w:cs="Times New Roman"/>
                <w:sz w:val="24"/>
                <w:szCs w:val="24"/>
              </w:rPr>
              <w:t xml:space="preserve">– Legea nr. 77/2016 cu privire la parcurile pentru tehnologia informației (Monitorul  Oficial Nr. 157-162 art. 318), cu modificările ulterioare, se modifică după cum urmează: 1. Articolul 3 se completează cu literele k), l) și m) cu următorul cuprins: k) stimularea inovării digitale, cercetării aplicative, dezvoltării și valorificării  tehnologiilor emergente și a produselor digitale inovatoare; </w:t>
            </w:r>
          </w:p>
          <w:p w14:paraId="704E77A8" w14:textId="77777777" w:rsidR="00B9643D" w:rsidRDefault="00000000" w:rsidP="002E1162">
            <w:pPr>
              <w:widowControl w:val="0"/>
              <w:ind w:right="-2"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facilitarea accesului întreprinderilor inovatoare și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-urilor tehnologice la  finanțare, investiții, piețe și ecosisteme naționale și internaționale de inovare; m) promovarea integrării ecosistemului național de inovare </w:t>
            </w:r>
            <w:r>
              <w:rPr>
                <w:rFonts w:ascii="Times New Roman" w:eastAsia="Times New Roman" w:hAnsi="Times New Roman" w:cs="Times New Roman"/>
                <w:sz w:val="24"/>
                <w:szCs w:val="24"/>
              </w:rPr>
              <w:lastRenderedPageBreak/>
              <w:t xml:space="preserve">digitală în spațiul european al  cercetării, inovării și tehnologiilor digitale. </w:t>
            </w:r>
          </w:p>
          <w:p w14:paraId="0D5161DE" w14:textId="77777777" w:rsidR="00B9643D" w:rsidRDefault="00B9643D" w:rsidP="002E1162">
            <w:pPr>
              <w:widowControl w:val="0"/>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624429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24430AF4" w14:textId="77777777" w:rsidTr="00CA3607">
        <w:tc>
          <w:tcPr>
            <w:tcW w:w="420" w:type="dxa"/>
            <w:shd w:val="clear" w:color="auto" w:fill="FFFFFF"/>
          </w:tcPr>
          <w:p w14:paraId="2FDD575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96BA9B9"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25AFC3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142</w:t>
            </w:r>
          </w:p>
        </w:tc>
        <w:tc>
          <w:tcPr>
            <w:tcW w:w="6075" w:type="dxa"/>
            <w:tcBorders>
              <w:top w:val="single" w:sz="4" w:space="0" w:color="000000"/>
              <w:bottom w:val="single" w:sz="4" w:space="0" w:color="000000"/>
              <w:right w:val="single" w:sz="4" w:space="0" w:color="000000"/>
            </w:tcBorders>
            <w:shd w:val="clear" w:color="auto" w:fill="FFFFFF"/>
          </w:tcPr>
          <w:p w14:paraId="478BAECA" w14:textId="77777777" w:rsidR="00B9643D" w:rsidRDefault="00000000" w:rsidP="002E1162">
            <w:pPr>
              <w:widowControl w:val="0"/>
              <w:ind w:left="141" w:right="-3" w:firstLine="7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La articolul 6, după alineatul (3) se introduc alineatele (3¹) - (3³) cu următorul cuprins: (3¹) În vederea realizării obiectivelor prevăzute la art. 3, Administrația parcului poate institui  și administra programe și instrumente de susținere a inovării digitale, transferului tehnologic,  cercetării și dezvoltării, valorificării rezultatelor cercetării și inovării, precum și 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tehnologic, inclusiv pentru dezvoltarea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-urilor tehnologice și a întreprinderilor inovatoare. (3²) Resursele financiare destinate programelor și instrumentelor prevăzute la alin.(3¹) pot  proveni din: alocații de la bugetul de stat; fonduri externe nerambursabile; programe și instrumente  ale Uniunii Europene; contribuții ale organizațiilor internaționale și ale partenerilor de dezvoltare;  donații; sponsorizări; precum și din alte surse neinterzise de lege. </w:t>
            </w:r>
          </w:p>
          <w:p w14:paraId="54BD542C" w14:textId="77777777" w:rsidR="00B9643D" w:rsidRDefault="00000000" w:rsidP="002E1162">
            <w:pPr>
              <w:widowControl w:val="0"/>
              <w:ind w:left="141" w:right="4" w:firstLine="7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(3³) Modul de constituire, administrare și utilizare a programelor și instrumentelor prevăzute  la alin. (3¹) se stabilește de Guvern.” </w:t>
            </w:r>
          </w:p>
          <w:p w14:paraId="7E52FF30" w14:textId="77777777" w:rsidR="00B9643D" w:rsidRDefault="00B9643D" w:rsidP="002E1162">
            <w:pPr>
              <w:widowControl w:val="0"/>
              <w:ind w:left="434" w:right="4" w:firstLine="722"/>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114C12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55492920" w14:textId="77777777" w:rsidTr="00CA3607">
        <w:tc>
          <w:tcPr>
            <w:tcW w:w="420" w:type="dxa"/>
            <w:shd w:val="clear" w:color="auto" w:fill="FFFFFF"/>
          </w:tcPr>
          <w:p w14:paraId="3B07E9F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9A677FA"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25578D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143</w:t>
            </w:r>
          </w:p>
        </w:tc>
        <w:tc>
          <w:tcPr>
            <w:tcW w:w="6075" w:type="dxa"/>
            <w:tcBorders>
              <w:top w:val="single" w:sz="4" w:space="0" w:color="000000"/>
              <w:bottom w:val="single" w:sz="4" w:space="0" w:color="000000"/>
              <w:right w:val="single" w:sz="4" w:space="0" w:color="000000"/>
            </w:tcBorders>
            <w:shd w:val="clear" w:color="auto" w:fill="FFFFFF"/>
          </w:tcPr>
          <w:p w14:paraId="640A2486" w14:textId="77777777" w:rsidR="00B9643D" w:rsidRDefault="00000000" w:rsidP="002E1162">
            <w:pPr>
              <w:widowControl w:v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 Litera q), articolul 8, se completează după cuvintele ”prestate exclusiv spre export” cu  cuvintele ”dacă acestea constituie activitatea principală a companiei,”</w:t>
            </w:r>
          </w:p>
          <w:p w14:paraId="74282702" w14:textId="77777777" w:rsidR="00B9643D" w:rsidRDefault="00B9643D" w:rsidP="002E1162">
            <w:pPr>
              <w:widowControl w:val="0"/>
              <w:ind w:firstLine="720"/>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36D5B0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4E2D9363" w14:textId="77777777" w:rsidTr="00CA3607">
        <w:tc>
          <w:tcPr>
            <w:tcW w:w="420" w:type="dxa"/>
            <w:shd w:val="clear" w:color="auto" w:fill="FFFFFF"/>
          </w:tcPr>
          <w:p w14:paraId="72BBA2D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361FEE0"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17B8DD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144</w:t>
            </w:r>
          </w:p>
        </w:tc>
        <w:tc>
          <w:tcPr>
            <w:tcW w:w="6075" w:type="dxa"/>
            <w:tcBorders>
              <w:top w:val="single" w:sz="4" w:space="0" w:color="000000"/>
              <w:bottom w:val="single" w:sz="4" w:space="0" w:color="000000"/>
              <w:right w:val="single" w:sz="4" w:space="0" w:color="000000"/>
            </w:tcBorders>
            <w:shd w:val="clear" w:color="auto" w:fill="FFFFFF"/>
          </w:tcPr>
          <w:p w14:paraId="7BFD99B1" w14:textId="77777777" w:rsidR="00B9643D" w:rsidRDefault="00000000" w:rsidP="002E1162">
            <w:pPr>
              <w:widowControl w:val="0"/>
              <w:ind w:right="1" w:firstLine="425"/>
              <w:rPr>
                <w:rFonts w:ascii="Times New Roman" w:eastAsia="Times New Roman" w:hAnsi="Times New Roman" w:cs="Times New Roman"/>
                <w:sz w:val="24"/>
                <w:szCs w:val="24"/>
              </w:rPr>
            </w:pPr>
            <w:r>
              <w:rPr>
                <w:rFonts w:ascii="Times New Roman" w:eastAsia="Times New Roman" w:hAnsi="Times New Roman" w:cs="Times New Roman"/>
                <w:sz w:val="24"/>
                <w:szCs w:val="24"/>
              </w:rPr>
              <w:t>4. Litera r), articolul 8, se completează după cuvintele ” exclusiv spre export” cu  cuvintele ”dacă acestea constituie activitatea principală a companiei,”</w:t>
            </w:r>
          </w:p>
          <w:p w14:paraId="4AFE0FAA" w14:textId="77777777" w:rsidR="00B9643D" w:rsidRDefault="00B9643D" w:rsidP="002E1162">
            <w:pPr>
              <w:widowControl w:val="0"/>
              <w:ind w:right="1" w:firstLine="425"/>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FABD59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62F3E477" w14:textId="77777777" w:rsidTr="00CA3607">
        <w:tc>
          <w:tcPr>
            <w:tcW w:w="420" w:type="dxa"/>
            <w:shd w:val="clear" w:color="auto" w:fill="FFFFFF"/>
          </w:tcPr>
          <w:p w14:paraId="457C2A2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7694D2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DC1426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145</w:t>
            </w:r>
          </w:p>
        </w:tc>
        <w:tc>
          <w:tcPr>
            <w:tcW w:w="6075" w:type="dxa"/>
            <w:tcBorders>
              <w:top w:val="single" w:sz="4" w:space="0" w:color="000000"/>
              <w:bottom w:val="single" w:sz="4" w:space="0" w:color="000000"/>
              <w:right w:val="single" w:sz="4" w:space="0" w:color="000000"/>
            </w:tcBorders>
            <w:shd w:val="clear" w:color="auto" w:fill="FFFFFF"/>
          </w:tcPr>
          <w:p w14:paraId="6A1D71EF"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La articolul 13, litera l) se modifică și va avea următorul cuprins: </w:t>
            </w:r>
          </w:p>
          <w:p w14:paraId="06A8DC15" w14:textId="77777777" w:rsidR="00B9643D" w:rsidRDefault="00000000" w:rsidP="002E1162">
            <w:pPr>
              <w:widowControl w:val="0"/>
              <w:ind w:right="2"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l) administrează programe, fonduri și instrumente de susținere finanțate din resurse  naționale și externe.</w:t>
            </w:r>
          </w:p>
          <w:p w14:paraId="170FC795" w14:textId="77777777" w:rsidR="00B9643D" w:rsidRDefault="00B9643D" w:rsidP="002E1162">
            <w:pPr>
              <w:widowControl w:val="0"/>
              <w:ind w:right="2"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3684A3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3372DD85" w14:textId="77777777" w:rsidTr="00CA3607">
        <w:tc>
          <w:tcPr>
            <w:tcW w:w="420" w:type="dxa"/>
            <w:shd w:val="clear" w:color="auto" w:fill="FFFFFF"/>
          </w:tcPr>
          <w:p w14:paraId="419083D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01DD9EA"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43DE2E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146</w:t>
            </w:r>
          </w:p>
        </w:tc>
        <w:tc>
          <w:tcPr>
            <w:tcW w:w="6075" w:type="dxa"/>
            <w:tcBorders>
              <w:top w:val="single" w:sz="4" w:space="0" w:color="000000"/>
              <w:bottom w:val="single" w:sz="4" w:space="0" w:color="000000"/>
              <w:right w:val="single" w:sz="4" w:space="0" w:color="000000"/>
            </w:tcBorders>
            <w:shd w:val="clear" w:color="auto" w:fill="FFFFFF"/>
          </w:tcPr>
          <w:p w14:paraId="0536FCFC" w14:textId="77777777" w:rsidR="00B9643D" w:rsidRDefault="00000000" w:rsidP="002E1162">
            <w:pPr>
              <w:widowControl w:val="0"/>
              <w:ind w:firstLine="2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Se modifică denumirea Capitolului V în „Regim fiscal </w:t>
            </w:r>
            <w:r>
              <w:rPr>
                <w:rFonts w:ascii="Times New Roman" w:eastAsia="Times New Roman" w:hAnsi="Times New Roman" w:cs="Times New Roman"/>
                <w:sz w:val="24"/>
                <w:szCs w:val="24"/>
              </w:rPr>
              <w:lastRenderedPageBreak/>
              <w:t>și prestații”</w:t>
            </w:r>
          </w:p>
          <w:p w14:paraId="2993F83C" w14:textId="77777777" w:rsidR="00B9643D" w:rsidRDefault="00B9643D" w:rsidP="002E1162">
            <w:pPr>
              <w:widowControl w:val="0"/>
              <w:ind w:firstLine="285"/>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CA6E17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 parțial</w:t>
            </w:r>
          </w:p>
          <w:p w14:paraId="6CD47FF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Denumirea Capitolului V se propune a fi ”Regim fiscal”</w:t>
            </w:r>
          </w:p>
          <w:p w14:paraId="1924CA55" w14:textId="77777777" w:rsidR="00CA3607" w:rsidRDefault="00CA3607" w:rsidP="002E1162">
            <w:pPr>
              <w:jc w:val="both"/>
              <w:rPr>
                <w:rFonts w:ascii="Times New Roman" w:eastAsia="Times New Roman" w:hAnsi="Times New Roman" w:cs="Times New Roman"/>
                <w:sz w:val="24"/>
                <w:szCs w:val="24"/>
              </w:rPr>
            </w:pPr>
          </w:p>
        </w:tc>
      </w:tr>
      <w:tr w:rsidR="00B9643D" w14:paraId="71E52969" w14:textId="77777777" w:rsidTr="00CA3607">
        <w:tc>
          <w:tcPr>
            <w:tcW w:w="420" w:type="dxa"/>
            <w:shd w:val="clear" w:color="auto" w:fill="FFFFFF"/>
          </w:tcPr>
          <w:p w14:paraId="58A90B7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8298708"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C2E1D9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147</w:t>
            </w:r>
          </w:p>
        </w:tc>
        <w:tc>
          <w:tcPr>
            <w:tcW w:w="6075" w:type="dxa"/>
            <w:tcBorders>
              <w:top w:val="single" w:sz="4" w:space="0" w:color="000000"/>
              <w:bottom w:val="single" w:sz="4" w:space="0" w:color="000000"/>
              <w:right w:val="single" w:sz="4" w:space="0" w:color="000000"/>
            </w:tcBorders>
            <w:shd w:val="clear" w:color="auto" w:fill="FFFFFF"/>
          </w:tcPr>
          <w:p w14:paraId="303201F9" w14:textId="77777777" w:rsidR="00B9643D" w:rsidRDefault="00000000" w:rsidP="002E1162">
            <w:pPr>
              <w:widowControl w:val="0"/>
              <w:ind w:right="3"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Se modifică denumirii articolului 15 în “Regimul impozitului unic aplicabil  rezidenților parcurilor pentru tehnologia informației” </w:t>
            </w:r>
          </w:p>
          <w:p w14:paraId="09827850" w14:textId="77777777" w:rsidR="00B9643D" w:rsidRDefault="00000000" w:rsidP="002E1162">
            <w:pPr>
              <w:widowControl w:val="0"/>
              <w:ind w:right="3"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4530" w:type="dxa"/>
            <w:tcBorders>
              <w:top w:val="single" w:sz="4" w:space="0" w:color="000000"/>
              <w:bottom w:val="single" w:sz="4" w:space="0" w:color="000000"/>
              <w:right w:val="single" w:sz="4" w:space="0" w:color="000000"/>
            </w:tcBorders>
            <w:shd w:val="clear" w:color="auto" w:fill="FFFFFF"/>
          </w:tcPr>
          <w:p w14:paraId="6D4E5A2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31CC72D1" w14:textId="77777777" w:rsidTr="00CA3607">
        <w:tc>
          <w:tcPr>
            <w:tcW w:w="420" w:type="dxa"/>
            <w:shd w:val="clear" w:color="auto" w:fill="FFFFFF"/>
          </w:tcPr>
          <w:p w14:paraId="7F72979A"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A2EF5E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69C0AE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148</w:t>
            </w:r>
          </w:p>
        </w:tc>
        <w:tc>
          <w:tcPr>
            <w:tcW w:w="6075" w:type="dxa"/>
            <w:tcBorders>
              <w:top w:val="single" w:sz="4" w:space="0" w:color="000000"/>
              <w:bottom w:val="single" w:sz="4" w:space="0" w:color="000000"/>
              <w:right w:val="single" w:sz="4" w:space="0" w:color="000000"/>
            </w:tcBorders>
            <w:shd w:val="clear" w:color="auto" w:fill="FFFFFF"/>
          </w:tcPr>
          <w:p w14:paraId="4B5B79BD"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Alineatul (1), articolul 15 va avea următorul conținut:  </w:t>
            </w:r>
          </w:p>
          <w:p w14:paraId="0F5A337C" w14:textId="77777777" w:rsidR="00B9643D" w:rsidRDefault="00000000" w:rsidP="002E1162">
            <w:pPr>
              <w:widowControl w:val="0"/>
              <w:ind w:right="4"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Rezidenților parcurilor pentru tehnologia informației li se aplică, în condițiile prezentei  legi și ale legislației fiscale, următorul regim fiscal distinct:” </w:t>
            </w:r>
          </w:p>
          <w:p w14:paraId="1275DE23" w14:textId="77777777" w:rsidR="00B9643D" w:rsidRDefault="00B9643D" w:rsidP="002E1162">
            <w:pPr>
              <w:widowControl w:val="0"/>
              <w:ind w:right="4"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ED7A02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 parțial</w:t>
            </w:r>
          </w:p>
          <w:p w14:paraId="412713C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propune următoarea redacție a Alineatului (1), articolul 15:  </w:t>
            </w:r>
          </w:p>
          <w:p w14:paraId="132E10C3" w14:textId="77777777" w:rsidR="00B9643D" w:rsidRDefault="00000000" w:rsidP="002E1162">
            <w:pPr>
              <w:widowControl w:val="0"/>
              <w:ind w:right="4"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Rezidenților parcurilor pentru tehnologia informației li se aplică, în condițiile prezentei  legi și ale legislației fiscale, un regim fiscal special, care nu constituie ajutor de stat:” </w:t>
            </w:r>
          </w:p>
          <w:p w14:paraId="6945B20C" w14:textId="77777777" w:rsidR="00B9643D" w:rsidRDefault="00B9643D" w:rsidP="002E1162">
            <w:pPr>
              <w:jc w:val="both"/>
              <w:rPr>
                <w:rFonts w:ascii="Times New Roman" w:eastAsia="Times New Roman" w:hAnsi="Times New Roman" w:cs="Times New Roman"/>
                <w:sz w:val="24"/>
                <w:szCs w:val="24"/>
              </w:rPr>
            </w:pPr>
          </w:p>
        </w:tc>
      </w:tr>
      <w:tr w:rsidR="00B9643D" w14:paraId="373C9110" w14:textId="77777777" w:rsidTr="00CA3607">
        <w:tc>
          <w:tcPr>
            <w:tcW w:w="420" w:type="dxa"/>
            <w:shd w:val="clear" w:color="auto" w:fill="FFFFFF"/>
          </w:tcPr>
          <w:p w14:paraId="0B5D8A7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E954568"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5F94624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149</w:t>
            </w:r>
          </w:p>
        </w:tc>
        <w:tc>
          <w:tcPr>
            <w:tcW w:w="6075" w:type="dxa"/>
            <w:tcBorders>
              <w:top w:val="single" w:sz="4" w:space="0" w:color="000000"/>
              <w:bottom w:val="single" w:sz="4" w:space="0" w:color="000000"/>
              <w:right w:val="single" w:sz="4" w:space="0" w:color="000000"/>
            </w:tcBorders>
            <w:shd w:val="clear" w:color="auto" w:fill="FFFFFF"/>
          </w:tcPr>
          <w:p w14:paraId="5A8AF9CF" w14:textId="77777777" w:rsidR="00B9643D" w:rsidRDefault="00000000" w:rsidP="002E1162">
            <w:pPr>
              <w:widowControl w:val="0"/>
              <w:ind w:right="2"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La litera a), aliniatul (1), articolul 15, ultima propoziție va fi substituită cu textul:  „Celelalte impozite și taxe care nu sunt incluse în componența impozitului unic, vor fi achitate de  rezidenții parcurilor în conformitate cu legislația fiscală și vamală în vigoare, inclusiv beneficiind și  de facilitățile aferente, după caz”. </w:t>
            </w:r>
          </w:p>
          <w:p w14:paraId="209E66FF" w14:textId="77777777" w:rsidR="00B9643D" w:rsidRDefault="00B9643D" w:rsidP="002E1162">
            <w:pPr>
              <w:widowControl w:val="0"/>
              <w:ind w:right="2" w:firstLine="283"/>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7E2149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6DC868B4" w14:textId="77777777" w:rsidTr="00CA3607">
        <w:tc>
          <w:tcPr>
            <w:tcW w:w="420" w:type="dxa"/>
            <w:shd w:val="clear" w:color="auto" w:fill="FFFFFF"/>
          </w:tcPr>
          <w:p w14:paraId="2995F33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8A188F5"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8100D5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150</w:t>
            </w:r>
          </w:p>
        </w:tc>
        <w:tc>
          <w:tcPr>
            <w:tcW w:w="6075" w:type="dxa"/>
            <w:tcBorders>
              <w:top w:val="single" w:sz="4" w:space="0" w:color="000000"/>
              <w:bottom w:val="single" w:sz="4" w:space="0" w:color="000000"/>
              <w:right w:val="single" w:sz="4" w:space="0" w:color="000000"/>
            </w:tcBorders>
            <w:shd w:val="clear" w:color="auto" w:fill="FFFFFF"/>
          </w:tcPr>
          <w:p w14:paraId="4ADDE4C8"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 Litera b), alineatul (1), articolul 15, va avea următorul conținut:  </w:t>
            </w:r>
          </w:p>
          <w:p w14:paraId="3D9E9C61" w14:textId="77777777" w:rsidR="00B9643D" w:rsidRDefault="00000000" w:rsidP="002E1162">
            <w:pPr>
              <w:widowControl w:val="0"/>
              <w:ind w:right="1"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Acces la programe, fonduri și alte instrumente de susținere a inovării digitale, transferului  tehnologic, cercetării și dezvoltării;” </w:t>
            </w:r>
          </w:p>
          <w:p w14:paraId="08E21945" w14:textId="77777777" w:rsidR="00B9643D" w:rsidRDefault="00B9643D" w:rsidP="002E1162">
            <w:pPr>
              <w:widowControl w:val="0"/>
              <w:ind w:right="1"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4F0325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3314322C" w14:textId="77777777" w:rsidTr="00CA3607">
        <w:tc>
          <w:tcPr>
            <w:tcW w:w="420" w:type="dxa"/>
            <w:shd w:val="clear" w:color="auto" w:fill="FFFFFF"/>
          </w:tcPr>
          <w:p w14:paraId="3C65C29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6E61436"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3A225C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151</w:t>
            </w:r>
          </w:p>
        </w:tc>
        <w:tc>
          <w:tcPr>
            <w:tcW w:w="6075" w:type="dxa"/>
            <w:tcBorders>
              <w:top w:val="single" w:sz="4" w:space="0" w:color="000000"/>
              <w:bottom w:val="single" w:sz="4" w:space="0" w:color="000000"/>
              <w:right w:val="single" w:sz="4" w:space="0" w:color="000000"/>
            </w:tcBorders>
            <w:shd w:val="clear" w:color="auto" w:fill="FFFFFF"/>
          </w:tcPr>
          <w:p w14:paraId="5E90D634" w14:textId="77777777" w:rsidR="00B9643D" w:rsidRDefault="00000000" w:rsidP="002E1162">
            <w:pPr>
              <w:widowControl w:val="0"/>
              <w:ind w:right="-2"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La litera c), alineatul (1), articolul 15, textul „care funcționează în baza regulamentului  aprobat de către Guvern ce prevede principiile, misiunea, obiectivele fondului, precum și modul de  formare și utilizare a mijloacelor acestuia;” se exclude; </w:t>
            </w:r>
          </w:p>
          <w:p w14:paraId="75767396" w14:textId="77777777" w:rsidR="00B9643D" w:rsidRDefault="00B9643D" w:rsidP="002E1162">
            <w:pPr>
              <w:widowControl w:val="0"/>
              <w:ind w:right="-2" w:firstLine="283"/>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C3D348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0D8A5CB3" w14:textId="77777777" w:rsidTr="00CA3607">
        <w:tc>
          <w:tcPr>
            <w:tcW w:w="420" w:type="dxa"/>
            <w:shd w:val="clear" w:color="auto" w:fill="FFFFFF"/>
          </w:tcPr>
          <w:p w14:paraId="28D59EB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637DA48"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7BDCE4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152</w:t>
            </w:r>
          </w:p>
        </w:tc>
        <w:tc>
          <w:tcPr>
            <w:tcW w:w="6075" w:type="dxa"/>
            <w:tcBorders>
              <w:top w:val="single" w:sz="4" w:space="0" w:color="000000"/>
              <w:bottom w:val="single" w:sz="4" w:space="0" w:color="000000"/>
              <w:right w:val="single" w:sz="4" w:space="0" w:color="000000"/>
            </w:tcBorders>
            <w:shd w:val="clear" w:color="auto" w:fill="FFFFFF"/>
          </w:tcPr>
          <w:p w14:paraId="6BD046BB"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Litera d), alineatul (1), articolul 15, se exclude. </w:t>
            </w:r>
          </w:p>
          <w:p w14:paraId="579F56A1" w14:textId="77777777" w:rsidR="00CA3607" w:rsidRDefault="00CA3607"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6CB3A5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0ED07A6F" w14:textId="77777777" w:rsidTr="00CA3607">
        <w:tc>
          <w:tcPr>
            <w:tcW w:w="420" w:type="dxa"/>
            <w:shd w:val="clear" w:color="auto" w:fill="FFFFFF"/>
          </w:tcPr>
          <w:p w14:paraId="1012F5E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26F6AB7"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75DCE3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153</w:t>
            </w:r>
          </w:p>
        </w:tc>
        <w:tc>
          <w:tcPr>
            <w:tcW w:w="6075" w:type="dxa"/>
            <w:tcBorders>
              <w:top w:val="single" w:sz="4" w:space="0" w:color="000000"/>
              <w:bottom w:val="single" w:sz="4" w:space="0" w:color="000000"/>
              <w:right w:val="single" w:sz="4" w:space="0" w:color="000000"/>
            </w:tcBorders>
            <w:shd w:val="clear" w:color="auto" w:fill="FFFFFF"/>
          </w:tcPr>
          <w:p w14:paraId="74BDD93E"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La articolul 16, alineatul (3) se modifică și va avea următorul cuprins: (3) Rezidentul parcului este obligat să-i informeze în scris pe salariații săi despre  particularitățile asigurării sociale și medicale stabilite prin prezentul articol, precum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despre  particularitățile impozitului pe venit din salariu, până la data obținerii titlului de rezident al parcului,  iar în cazul salariaților noi - până la data semnării contractului individual de muncă. </w:t>
            </w:r>
          </w:p>
          <w:p w14:paraId="32440C9F" w14:textId="77777777" w:rsidR="00B9643D" w:rsidRDefault="00B9643D" w:rsidP="002E1162">
            <w:pPr>
              <w:widowControl w:val="0"/>
              <w:ind w:firstLine="283"/>
              <w:rPr>
                <w:rFonts w:ascii="Times New Roman" w:eastAsia="Times New Roman" w:hAnsi="Times New Roman" w:cs="Times New Roman"/>
                <w:sz w:val="24"/>
                <w:szCs w:val="24"/>
              </w:rPr>
            </w:pPr>
          </w:p>
          <w:p w14:paraId="77A4F538"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Alineatul (3), articolul 19, va avea următorul conținut: </w:t>
            </w:r>
          </w:p>
          <w:p w14:paraId="0E604DCC" w14:textId="77777777" w:rsidR="00B9643D" w:rsidRDefault="00B9643D" w:rsidP="002E1162">
            <w:pPr>
              <w:widowControl w:val="0"/>
              <w:ind w:right="-3"/>
              <w:rPr>
                <w:rFonts w:ascii="Times New Roman" w:eastAsia="Times New Roman" w:hAnsi="Times New Roman" w:cs="Times New Roman"/>
                <w:sz w:val="24"/>
                <w:szCs w:val="24"/>
              </w:rPr>
            </w:pPr>
          </w:p>
          <w:p w14:paraId="1F9546AE" w14:textId="77777777" w:rsidR="00B9643D" w:rsidRDefault="00000000" w:rsidP="002E1162">
            <w:pPr>
              <w:widowControl w:val="0"/>
              <w:ind w:right="-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Retragerea titlului de rezident al parcului atrage după sine excluderea rezidentului din  regimul fiscal special, acordat conform prezentei legi.” </w:t>
            </w:r>
          </w:p>
          <w:p w14:paraId="3CC54433" w14:textId="77777777" w:rsidR="00B9643D" w:rsidRDefault="00B9643D" w:rsidP="002E1162">
            <w:pPr>
              <w:widowControl w:val="0"/>
              <w:ind w:right="-3"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6D61AD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4B397F67" w14:textId="77777777" w:rsidTr="00CA3607">
        <w:tc>
          <w:tcPr>
            <w:tcW w:w="420" w:type="dxa"/>
            <w:shd w:val="clear" w:color="auto" w:fill="FFFFFF"/>
          </w:tcPr>
          <w:p w14:paraId="6EF59D02"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F9547C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CEF15B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154</w:t>
            </w:r>
          </w:p>
        </w:tc>
        <w:tc>
          <w:tcPr>
            <w:tcW w:w="6075" w:type="dxa"/>
            <w:tcBorders>
              <w:top w:val="single" w:sz="4" w:space="0" w:color="000000"/>
              <w:bottom w:val="single" w:sz="4" w:space="0" w:color="000000"/>
              <w:right w:val="single" w:sz="4" w:space="0" w:color="000000"/>
            </w:tcBorders>
            <w:shd w:val="clear" w:color="auto" w:fill="FFFFFF"/>
          </w:tcPr>
          <w:p w14:paraId="7B214D25"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Aliniatul (2), articolul 20, va avea următorul conținut: </w:t>
            </w:r>
          </w:p>
          <w:p w14:paraId="479976DB" w14:textId="77777777" w:rsidR="00B9643D" w:rsidRDefault="00000000" w:rsidP="002E1162">
            <w:pPr>
              <w:widowControl w:val="0"/>
              <w:ind w:right="4"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(2) Desființarea parcului atrage după sine pierderea titlului de rezident al parcului și  încetarea regimului fiscal special, acordat rezidentului parcului conform prezentei legi.” </w:t>
            </w:r>
          </w:p>
          <w:p w14:paraId="6571977B" w14:textId="77777777" w:rsidR="00B9643D" w:rsidRDefault="00B9643D" w:rsidP="002E1162">
            <w:pPr>
              <w:widowControl w:val="0"/>
              <w:ind w:right="4"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1CD476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7ADCFEBD" w14:textId="77777777" w:rsidTr="00CA3607">
        <w:tc>
          <w:tcPr>
            <w:tcW w:w="420" w:type="dxa"/>
            <w:shd w:val="clear" w:color="auto" w:fill="FFFFFF"/>
          </w:tcPr>
          <w:p w14:paraId="77D980B6"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E2BAE57"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CCC32E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155</w:t>
            </w:r>
          </w:p>
        </w:tc>
        <w:tc>
          <w:tcPr>
            <w:tcW w:w="6075" w:type="dxa"/>
            <w:tcBorders>
              <w:top w:val="single" w:sz="4" w:space="0" w:color="000000"/>
              <w:bottom w:val="single" w:sz="4" w:space="0" w:color="000000"/>
              <w:right w:val="single" w:sz="4" w:space="0" w:color="000000"/>
            </w:tcBorders>
            <w:shd w:val="clear" w:color="auto" w:fill="FFFFFF"/>
          </w:tcPr>
          <w:p w14:paraId="60CA5030" w14:textId="77777777" w:rsidR="00B9643D" w:rsidRDefault="00000000" w:rsidP="002E1162">
            <w:pPr>
              <w:widowControl w:val="0"/>
              <w:ind w:right="-4"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 Legea 77/2016 cu privire la parcurile pentru tehnologia informației se completează cu  Capitolul VI¹. Instrumente de susținere a inovării digitale și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tehnologic, cu  următorul cuprins: </w:t>
            </w:r>
          </w:p>
          <w:p w14:paraId="4C733414" w14:textId="77777777" w:rsidR="00B9643D" w:rsidRDefault="00000000" w:rsidP="002E1162">
            <w:pPr>
              <w:widowControl w:val="0"/>
              <w:ind w:right="4137" w:firstLine="283"/>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”Capitolul I¹.  </w:t>
            </w:r>
          </w:p>
          <w:p w14:paraId="7AA1B9A8" w14:textId="77777777" w:rsidR="00B9643D" w:rsidRDefault="00000000" w:rsidP="002E1162">
            <w:pPr>
              <w:widowControl w:val="0"/>
              <w:ind w:right="83" w:firstLine="28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INSTRUMENTE DE SUSȚINERE A INOVĂRII DIGITALE ȘI ANTREPRENORIATULUI  TEHNOLOGIC </w:t>
            </w:r>
          </w:p>
          <w:p w14:paraId="295C4C6E" w14:textId="77777777" w:rsidR="00B9643D" w:rsidRDefault="00000000" w:rsidP="002E1162">
            <w:pPr>
              <w:widowControl w:val="0"/>
              <w:ind w:firstLine="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Articolul 20¹. Forme de sprijin </w:t>
            </w:r>
          </w:p>
          <w:p w14:paraId="54ECEF1A" w14:textId="77777777" w:rsidR="00B9643D" w:rsidRDefault="00000000" w:rsidP="002E1162">
            <w:pPr>
              <w:widowControl w:val="0"/>
              <w:ind w:right="3"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Programele și instrumentele prevăzute la art. 6 alin. (3¹) pot fi implementate prin una sau  mai multe dintre următoarele forme de sprijin: </w:t>
            </w:r>
          </w:p>
          <w:p w14:paraId="209D9BCD"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granturi; </w:t>
            </w:r>
          </w:p>
          <w:p w14:paraId="596EDBC4"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b) vouchere de inovare;</w:t>
            </w:r>
          </w:p>
          <w:p w14:paraId="0CF1D54F"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programe de accelerare și incubare; </w:t>
            </w:r>
          </w:p>
          <w:p w14:paraId="3490E8C7"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asistență tehnică, mentorat și dezvoltare de capacități; </w:t>
            </w:r>
          </w:p>
          <w:p w14:paraId="363EF329"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 servicii de testare, validare și demonstrare a soluțiilor inovatoare; </w:t>
            </w:r>
          </w:p>
          <w:p w14:paraId="28032FB5" w14:textId="77777777" w:rsidR="00B9643D" w:rsidRDefault="00000000" w:rsidP="002E1162">
            <w:pPr>
              <w:widowControl w:val="0"/>
              <w:ind w:right="1080"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instrumente financiare și mecanisme de partajare a riscurilor, în condițiile legii; g) mecanisme de finanțare combinată; </w:t>
            </w:r>
          </w:p>
          <w:p w14:paraId="1D49F4FE"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alte forme de sprijin aprobate de Guvern. </w:t>
            </w:r>
          </w:p>
          <w:p w14:paraId="39487DA1" w14:textId="77777777" w:rsidR="00B9643D" w:rsidRDefault="00000000" w:rsidP="002E1162">
            <w:pPr>
              <w:widowControl w:val="0"/>
              <w:ind w:firstLine="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Articolul 20². Principii de implementare </w:t>
            </w:r>
          </w:p>
          <w:p w14:paraId="2D085CA9" w14:textId="77777777" w:rsidR="00B9643D" w:rsidRDefault="00000000" w:rsidP="002E1162">
            <w:pPr>
              <w:widowControl w:val="0"/>
              <w:ind w:right="2"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Implementarea programelor și instrumentelor prevăzute de prezentul capitol se realizează cu  respectarea următoarelor principii: </w:t>
            </w:r>
          </w:p>
          <w:p w14:paraId="34D78AB3"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transparență; </w:t>
            </w:r>
          </w:p>
          <w:p w14:paraId="4BF0BD8F"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tratament egal și nediscriminare; </w:t>
            </w:r>
          </w:p>
          <w:p w14:paraId="6DA4EA31"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concurență deschisă; </w:t>
            </w:r>
          </w:p>
          <w:p w14:paraId="6AB9526F"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neutralitate tehnologică; </w:t>
            </w:r>
          </w:p>
          <w:p w14:paraId="629C573F"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eficiență și utilizare responsabilă a resurselor financiare; </w:t>
            </w:r>
          </w:p>
          <w:p w14:paraId="22CBED72"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orientare către impact economic și social; </w:t>
            </w:r>
          </w:p>
          <w:p w14:paraId="0460F4ED"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promovarea inovării și transformării digitale; </w:t>
            </w:r>
          </w:p>
          <w:p w14:paraId="16A0D8A7"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respectarea legislației privind concurența și ajutorul de stat. </w:t>
            </w:r>
          </w:p>
          <w:p w14:paraId="33A44D1E" w14:textId="77777777" w:rsidR="00B9643D" w:rsidRDefault="00000000" w:rsidP="002E1162">
            <w:pPr>
              <w:widowControl w:val="0"/>
              <w:ind w:firstLine="28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Articolul 20³. Cooperarea pentru inovare </w:t>
            </w:r>
          </w:p>
          <w:p w14:paraId="412F588E" w14:textId="77777777" w:rsidR="00B9643D" w:rsidRDefault="00000000" w:rsidP="002E1162">
            <w:pPr>
              <w:widowControl w:val="0"/>
              <w:ind w:right="1"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Administrația parcului poate participa, individual sau în parteneriat, la programe, inițiative,  platforme și consorții naționale și internaționale din domeniul cercetării, inovării și transformării  digitale și poate implementa activități și administra resursele aferente acestora, în condițiile legii.” </w:t>
            </w:r>
          </w:p>
          <w:p w14:paraId="50652590" w14:textId="77777777" w:rsidR="00B9643D" w:rsidRDefault="00B9643D" w:rsidP="002E1162">
            <w:pPr>
              <w:widowControl w:val="0"/>
              <w:ind w:right="1" w:firstLine="283"/>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35EE75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43831659" w14:textId="77777777" w:rsidTr="00CA3607">
        <w:tc>
          <w:tcPr>
            <w:tcW w:w="420" w:type="dxa"/>
            <w:shd w:val="clear" w:color="auto" w:fill="FFFFFF"/>
          </w:tcPr>
          <w:p w14:paraId="0B25A39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E01359D"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F72A18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156</w:t>
            </w:r>
          </w:p>
        </w:tc>
        <w:tc>
          <w:tcPr>
            <w:tcW w:w="6075" w:type="dxa"/>
            <w:tcBorders>
              <w:top w:val="single" w:sz="4" w:space="0" w:color="000000"/>
              <w:bottom w:val="single" w:sz="4" w:space="0" w:color="000000"/>
              <w:right w:val="single" w:sz="4" w:space="0" w:color="000000"/>
            </w:tcBorders>
            <w:shd w:val="clear" w:color="auto" w:fill="FFFFFF"/>
          </w:tcPr>
          <w:p w14:paraId="7BAA80B1" w14:textId="77777777" w:rsidR="00B9643D" w:rsidRDefault="00000000" w:rsidP="002E1162">
            <w:pPr>
              <w:widowControl w:val="0"/>
              <w:ind w:right="-1"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propune completarea proiectului de lege nr. 629/MDED/2026 cu:  </w:t>
            </w:r>
          </w:p>
          <w:p w14:paraId="5717F44B" w14:textId="77777777" w:rsidR="00B9643D" w:rsidRDefault="00000000" w:rsidP="002E1162">
            <w:pPr>
              <w:widowControl w:val="0"/>
              <w:ind w:right="-1" w:firstLine="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X </w:t>
            </w:r>
            <w:r>
              <w:rPr>
                <w:rFonts w:ascii="Times New Roman" w:eastAsia="Times New Roman" w:hAnsi="Times New Roman" w:cs="Times New Roman"/>
                <w:sz w:val="24"/>
                <w:szCs w:val="24"/>
              </w:rPr>
              <w:t xml:space="preserve">– Legea nr. 291/2016 cu privire la organizarea și desfășurarea jocurilor de noroc  (Monitorul Oficial al Republicii Moldova, 2016, nr. 2-8, art. 3) cu modificările ulterioare, se modifică  după cum urmează: </w:t>
            </w:r>
          </w:p>
          <w:p w14:paraId="4D03D3F6" w14:textId="77777777" w:rsidR="00B9643D" w:rsidRDefault="00000000" w:rsidP="002E1162">
            <w:pPr>
              <w:widowControl w:val="0"/>
              <w:ind w:right="1"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Articolul 6, alineatul (3) se completează cu litera d) cu următorul cuprins: “d) activități desfășurate de agenți economici care constă în producerea de conținut digital cu  utilizarea mijloacelor și a instrumentelor din domeniul </w:t>
            </w:r>
            <w:r>
              <w:rPr>
                <w:rFonts w:ascii="Times New Roman" w:eastAsia="Times New Roman" w:hAnsi="Times New Roman" w:cs="Times New Roman"/>
                <w:sz w:val="24"/>
                <w:szCs w:val="24"/>
              </w:rPr>
              <w:lastRenderedPageBreak/>
              <w:t xml:space="preserve">tehnologiei informației și a comunicațiilor,  destinat exportului în baza actelor juridice încheiate de acest producător de conținut și beneficiarii – nerezidenți.” </w:t>
            </w:r>
          </w:p>
          <w:p w14:paraId="26E761BB" w14:textId="77777777" w:rsidR="00B9643D" w:rsidRDefault="00B9643D" w:rsidP="002E1162">
            <w:pPr>
              <w:widowControl w:val="0"/>
              <w:ind w:left="427" w:right="-4"/>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159D02D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74DA94DC" w14:textId="77777777" w:rsidTr="00CA3607">
        <w:tc>
          <w:tcPr>
            <w:tcW w:w="420" w:type="dxa"/>
            <w:shd w:val="clear" w:color="auto" w:fill="FFFFFF"/>
          </w:tcPr>
          <w:p w14:paraId="16FD342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AC71550"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28960A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157</w:t>
            </w:r>
          </w:p>
        </w:tc>
        <w:tc>
          <w:tcPr>
            <w:tcW w:w="6075" w:type="dxa"/>
            <w:tcBorders>
              <w:top w:val="single" w:sz="4" w:space="0" w:color="000000"/>
              <w:bottom w:val="single" w:sz="4" w:space="0" w:color="000000"/>
              <w:right w:val="single" w:sz="4" w:space="0" w:color="000000"/>
            </w:tcBorders>
            <w:shd w:val="clear" w:color="auto" w:fill="FFFFFF"/>
          </w:tcPr>
          <w:p w14:paraId="3B4E92AE"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Articolul 16 se completează cu alineatul (5) cu următorul cuprins: </w:t>
            </w:r>
          </w:p>
          <w:p w14:paraId="505E0224" w14:textId="77777777" w:rsidR="00B9643D" w:rsidRDefault="00000000" w:rsidP="002E1162">
            <w:pPr>
              <w:widowControl w:val="0"/>
              <w:ind w:right="1"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“4) Prezentul articol nu se aplică agenților economici ce desfășoară activități prevăzute de art.  6, alin (3), lit. d).”</w:t>
            </w:r>
          </w:p>
          <w:p w14:paraId="4184EC41" w14:textId="77777777" w:rsidR="00B9643D" w:rsidRDefault="00B9643D" w:rsidP="002E1162">
            <w:pPr>
              <w:widowControl w:val="0"/>
              <w:ind w:right="1"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36856E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6A189D01" w14:textId="77777777" w:rsidTr="00CA3607">
        <w:tc>
          <w:tcPr>
            <w:tcW w:w="420" w:type="dxa"/>
            <w:shd w:val="clear" w:color="auto" w:fill="FFFFFF"/>
          </w:tcPr>
          <w:p w14:paraId="008DBDE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8BBE644"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3B7DAF3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158</w:t>
            </w:r>
          </w:p>
        </w:tc>
        <w:tc>
          <w:tcPr>
            <w:tcW w:w="6075" w:type="dxa"/>
            <w:tcBorders>
              <w:top w:val="single" w:sz="4" w:space="0" w:color="000000"/>
              <w:bottom w:val="single" w:sz="4" w:space="0" w:color="000000"/>
              <w:right w:val="single" w:sz="4" w:space="0" w:color="000000"/>
            </w:tcBorders>
            <w:shd w:val="clear" w:color="auto" w:fill="FFFFFF"/>
          </w:tcPr>
          <w:p w14:paraId="5FB8E272" w14:textId="77777777" w:rsidR="00B9643D" w:rsidRDefault="00000000" w:rsidP="002E1162">
            <w:pPr>
              <w:widowControl w:val="0"/>
              <w:ind w:right="2"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Articolul 47, alineatul (4), după cuvintele “importul acestora,” se completează cu  cuvintele “cu excepția importului echipamentului și a mijloacelor necesare desfășurării activități  prevăzute de art. 6, alin (3), lit. d)” </w:t>
            </w:r>
          </w:p>
          <w:p w14:paraId="52D41218" w14:textId="77777777" w:rsidR="00B9643D" w:rsidRDefault="00B9643D" w:rsidP="002E1162">
            <w:pPr>
              <w:widowControl w:val="0"/>
              <w:ind w:right="2" w:firstLine="283"/>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CC7050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77C46AFD" w14:textId="77777777" w:rsidTr="00CA3607">
        <w:tc>
          <w:tcPr>
            <w:tcW w:w="420" w:type="dxa"/>
            <w:shd w:val="clear" w:color="auto" w:fill="FFFFFF"/>
          </w:tcPr>
          <w:p w14:paraId="4D4C29CC"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DEC494D"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CC5192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159</w:t>
            </w:r>
          </w:p>
        </w:tc>
        <w:tc>
          <w:tcPr>
            <w:tcW w:w="6075" w:type="dxa"/>
            <w:tcBorders>
              <w:top w:val="single" w:sz="4" w:space="0" w:color="000000"/>
              <w:bottom w:val="single" w:sz="4" w:space="0" w:color="000000"/>
              <w:right w:val="single" w:sz="4" w:space="0" w:color="000000"/>
            </w:tcBorders>
            <w:shd w:val="clear" w:color="auto" w:fill="FFFFFF"/>
          </w:tcPr>
          <w:p w14:paraId="606251D1" w14:textId="77777777" w:rsidR="00B9643D" w:rsidRDefault="00000000" w:rsidP="002E1162">
            <w:pPr>
              <w:widowControl w:val="0"/>
              <w:ind w:right="-3" w:firstLine="283"/>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Art. XI – </w:t>
            </w:r>
            <w:r>
              <w:rPr>
                <w:rFonts w:ascii="Times New Roman" w:eastAsia="Times New Roman" w:hAnsi="Times New Roman" w:cs="Times New Roman"/>
                <w:sz w:val="24"/>
                <w:szCs w:val="24"/>
              </w:rPr>
              <w:t xml:space="preserve">Legea nr. 220/2007 privind înregistrarea de stat a persoanelor juridice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  întreprinzătorilor individuali (Monitorul Oficial al Republicii Moldova, 2007, nr. 184-187 art. 711)  se modifică după cum urmează:  </w:t>
            </w:r>
          </w:p>
          <w:p w14:paraId="36E9B3BD"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Articolul 34 </w:t>
            </w:r>
          </w:p>
          <w:p w14:paraId="3EA13A51"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litera (a), alineatul (2), articolului 34, se expune în următoarea redacție: </w:t>
            </w:r>
          </w:p>
          <w:p w14:paraId="4A471B67" w14:textId="77777777" w:rsidR="00B9643D" w:rsidRDefault="00000000" w:rsidP="002E1162">
            <w:pPr>
              <w:widowControl w:val="0"/>
              <w:ind w:right="-2"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prin intermediul unor aplicații web, generată automat, în timp real – în cazul consumării  acesteia la nivel local și, respectiv, prin extras din Registrul de stat pentru prezentarea peste hotarele  Republicii Moldova” </w:t>
            </w:r>
          </w:p>
          <w:p w14:paraId="24F3206D" w14:textId="77777777" w:rsidR="00B9643D" w:rsidRDefault="00000000" w:rsidP="002E1162">
            <w:pPr>
              <w:widowControl w:val="0"/>
              <w:ind w:right="-2"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alineatul (4) cuvintele “copiilor și extraselor” se substituie cu cuvintele “copiilor,  extraselor și a informației generate și” </w:t>
            </w:r>
          </w:p>
          <w:p w14:paraId="1E2FBF8E" w14:textId="77777777" w:rsidR="00B9643D" w:rsidRDefault="00B9643D" w:rsidP="002E1162">
            <w:pPr>
              <w:widowControl w:val="0"/>
              <w:ind w:left="435" w:right="1" w:firstLine="715"/>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8D468C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6420FA78" w14:textId="77777777" w:rsidTr="00CA3607">
        <w:tc>
          <w:tcPr>
            <w:tcW w:w="420" w:type="dxa"/>
            <w:shd w:val="clear" w:color="auto" w:fill="FFFFFF"/>
          </w:tcPr>
          <w:p w14:paraId="45495DC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2AA05EE9"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565D78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160</w:t>
            </w:r>
          </w:p>
        </w:tc>
        <w:tc>
          <w:tcPr>
            <w:tcW w:w="6075" w:type="dxa"/>
            <w:tcBorders>
              <w:top w:val="single" w:sz="4" w:space="0" w:color="000000"/>
              <w:bottom w:val="single" w:sz="4" w:space="0" w:color="000000"/>
              <w:right w:val="single" w:sz="4" w:space="0" w:color="000000"/>
            </w:tcBorders>
            <w:shd w:val="clear" w:color="auto" w:fill="FFFFFF"/>
          </w:tcPr>
          <w:p w14:paraId="0F0A2971"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Litera (c), alineatul (3), articolul 35 se expune în următoarea redacție: </w:t>
            </w:r>
          </w:p>
          <w:p w14:paraId="13E48DE6" w14:textId="77777777" w:rsidR="00B9643D" w:rsidRDefault="00000000" w:rsidP="002E1162">
            <w:pPr>
              <w:widowControl w:val="0"/>
              <w:ind w:right="-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asigurarea accesului la informația din Registrul de stat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din actele de constituire ale  persoanei juridice sau persoanei fizice întreprinzător individual, prin intermediul unor aplicații web,  generată automat, în timp real – în cazul consumării acesteia la nivel local și, respectiv, eliberarea  extraselor din Registrul de stat pentru prezentarea peste </w:t>
            </w:r>
            <w:r>
              <w:rPr>
                <w:rFonts w:ascii="Times New Roman" w:eastAsia="Times New Roman" w:hAnsi="Times New Roman" w:cs="Times New Roman"/>
                <w:sz w:val="24"/>
                <w:szCs w:val="24"/>
              </w:rPr>
              <w:lastRenderedPageBreak/>
              <w:t xml:space="preserve">hotarele Republicii Moldova” </w:t>
            </w:r>
          </w:p>
          <w:p w14:paraId="42246CB9" w14:textId="77777777" w:rsidR="00B9643D" w:rsidRDefault="00B9643D" w:rsidP="002E1162">
            <w:pPr>
              <w:widowControl w:val="0"/>
              <w:ind w:right="-3" w:firstLine="283"/>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A6BC99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245C0599" w14:textId="77777777" w:rsidTr="00CA3607">
        <w:tc>
          <w:tcPr>
            <w:tcW w:w="420" w:type="dxa"/>
            <w:shd w:val="clear" w:color="auto" w:fill="FFFFFF"/>
          </w:tcPr>
          <w:p w14:paraId="6035C74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0A2AC80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ATIC</w:t>
            </w:r>
          </w:p>
          <w:p w14:paraId="2648C18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Supliment nr.783 din 24.07.2026 la avizul ATIC nr.778 din 07.07.2026 </w:t>
            </w:r>
          </w:p>
        </w:tc>
        <w:tc>
          <w:tcPr>
            <w:tcW w:w="720" w:type="dxa"/>
            <w:tcBorders>
              <w:top w:val="single" w:sz="4" w:space="0" w:color="000000"/>
              <w:bottom w:val="single" w:sz="4" w:space="0" w:color="000000"/>
            </w:tcBorders>
            <w:shd w:val="clear" w:color="auto" w:fill="FFFFFF"/>
          </w:tcPr>
          <w:p w14:paraId="50365EF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161</w:t>
            </w:r>
          </w:p>
        </w:tc>
        <w:tc>
          <w:tcPr>
            <w:tcW w:w="6075" w:type="dxa"/>
            <w:tcBorders>
              <w:top w:val="single" w:sz="4" w:space="0" w:color="000000"/>
              <w:bottom w:val="single" w:sz="4" w:space="0" w:color="000000"/>
              <w:right w:val="single" w:sz="4" w:space="0" w:color="000000"/>
            </w:tcBorders>
            <w:shd w:val="clear" w:color="auto" w:fill="FFFFFF"/>
          </w:tcPr>
          <w:p w14:paraId="50E53524"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I. Propuneri privind modificarea Legii nr. 114/2012 cu privire la serviciile de plată și moneda electronică.</w:t>
            </w:r>
          </w:p>
          <w:p w14:paraId="04348E02"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1. Art. 14 alin. (2) pct. 7 lit. l) și art. 232 alin. (1) lit. d) instituie obligația expresă și obligatorie de deținere a unei asigurări de răspundere profesională pentru societățile de plată mici, suplimentar cerințelor privind protejarea fondurilor prevăzute la art. 26 din Legea nr. 114/2012.</w:t>
            </w:r>
          </w:p>
          <w:p w14:paraId="6F3893BA"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Considerăm că această abordare depășește cerințele necesare pentru această categorie de prestatori și instituie un regim mai restrictiv decât cel aplicabil instituțiilor de plată autorizate. Totodată, considerăm că această abordare nu reflectă principiul proporționalității promovat de Directiva (UE) 2015/2366 (PSD2), care urmărește instituirea unor cerințe adecvate naturii, dimensiunii și riscurilor activității desfășurate de prestatorii de servicii de plată.</w:t>
            </w:r>
          </w:p>
          <w:p w14:paraId="68883ED4"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Propunere: excluderea obligației privind deținerea obligatorie a asigurării de răspundere profesională.</w:t>
            </w:r>
          </w:p>
          <w:p w14:paraId="4DDF3962"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7A953C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Amendamentul a fost transferat după competență către BNM.</w:t>
            </w:r>
          </w:p>
          <w:p w14:paraId="060081DE" w14:textId="77777777" w:rsidR="00B9643D" w:rsidRDefault="00B9643D" w:rsidP="002E1162">
            <w:pPr>
              <w:jc w:val="both"/>
              <w:rPr>
                <w:rFonts w:ascii="Times New Roman" w:eastAsia="Times New Roman" w:hAnsi="Times New Roman" w:cs="Times New Roman"/>
                <w:sz w:val="24"/>
                <w:szCs w:val="24"/>
              </w:rPr>
            </w:pPr>
          </w:p>
          <w:p w14:paraId="5C82E36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8</w:t>
            </w:r>
          </w:p>
        </w:tc>
      </w:tr>
      <w:tr w:rsidR="00B9643D" w14:paraId="71E5771B" w14:textId="77777777" w:rsidTr="00CA3607">
        <w:tc>
          <w:tcPr>
            <w:tcW w:w="420" w:type="dxa"/>
            <w:shd w:val="clear" w:color="auto" w:fill="FFFFFF"/>
          </w:tcPr>
          <w:p w14:paraId="794F841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A8C3BF3"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0E4DD6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162</w:t>
            </w:r>
          </w:p>
        </w:tc>
        <w:tc>
          <w:tcPr>
            <w:tcW w:w="6075" w:type="dxa"/>
            <w:tcBorders>
              <w:top w:val="single" w:sz="4" w:space="0" w:color="000000"/>
              <w:bottom w:val="single" w:sz="4" w:space="0" w:color="000000"/>
              <w:right w:val="single" w:sz="4" w:space="0" w:color="000000"/>
            </w:tcBorders>
            <w:shd w:val="clear" w:color="auto" w:fill="FFFFFF"/>
          </w:tcPr>
          <w:p w14:paraId="170D8EB5"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Art. 23² alin. (1) lit. b) </w:t>
            </w:r>
          </w:p>
          <w:p w14:paraId="7E287FB4"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stabilește plafonul activității societăților de plată mici la echivalentul în lei al sumei de 3.000.000 EUR, calculat ca medie lunară a operațiunilor din ultimele 12 luni.</w:t>
            </w:r>
          </w:p>
          <w:p w14:paraId="72B8274E"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Considerăm că acest plafon este excesiv pentru un regim simplificat de înregistrare și reduce diferențierea dintre societățile de plată mici și instituțiile de plată autorizate și ridică riscuri de concurență neloială reieșind din faptul că operatorii mici vor activa în condiții mult mai relaxate în raport cu societățile de plată licențiate.</w:t>
            </w:r>
          </w:p>
          <w:p w14:paraId="1DC8D28D"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Regimul destinat operatorilor mici trebuie să rămână unul proporțional și să faciliteze dezvoltarea etapizată a noilor participanți pe piață, fără a substitui regimul general de autorizare.</w:t>
            </w:r>
          </w:p>
          <w:p w14:paraId="3C421E66"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Propunere:</w:t>
            </w:r>
          </w:p>
          <w:p w14:paraId="4F950B37"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Stabilirea plafonului la echivalentul în lei al sumei de 500.000 EURO</w:t>
            </w:r>
          </w:p>
          <w:p w14:paraId="23DC26DB"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FCB6C4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Amendamentul a fost transferat după competență către BNM.</w:t>
            </w:r>
          </w:p>
          <w:p w14:paraId="4A06065C" w14:textId="77777777" w:rsidR="00B9643D" w:rsidRDefault="00B9643D" w:rsidP="002E1162">
            <w:pPr>
              <w:jc w:val="both"/>
              <w:rPr>
                <w:rFonts w:ascii="Times New Roman" w:eastAsia="Times New Roman" w:hAnsi="Times New Roman" w:cs="Times New Roman"/>
                <w:sz w:val="24"/>
                <w:szCs w:val="24"/>
              </w:rPr>
            </w:pPr>
          </w:p>
          <w:p w14:paraId="642EC91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8</w:t>
            </w:r>
          </w:p>
        </w:tc>
      </w:tr>
      <w:tr w:rsidR="00B9643D" w14:paraId="55D99872" w14:textId="77777777" w:rsidTr="00CA3607">
        <w:tc>
          <w:tcPr>
            <w:tcW w:w="420" w:type="dxa"/>
            <w:shd w:val="clear" w:color="auto" w:fill="FFFFFF"/>
          </w:tcPr>
          <w:p w14:paraId="0B173B6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54E83CF"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0023682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163</w:t>
            </w:r>
          </w:p>
        </w:tc>
        <w:tc>
          <w:tcPr>
            <w:tcW w:w="6075" w:type="dxa"/>
            <w:tcBorders>
              <w:top w:val="single" w:sz="4" w:space="0" w:color="000000"/>
              <w:bottom w:val="single" w:sz="4" w:space="0" w:color="000000"/>
              <w:right w:val="single" w:sz="4" w:space="0" w:color="000000"/>
            </w:tcBorders>
            <w:shd w:val="clear" w:color="auto" w:fill="FFFFFF"/>
          </w:tcPr>
          <w:p w14:paraId="6960673A"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 Propunem revizuirea redactării art. 59 alin. (9).</w:t>
            </w:r>
          </w:p>
          <w:p w14:paraId="326516F5"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În forma actuală, textul poate genera interpretări privind obligația prestatorului de servicii de plată de a analiza aspecte care țin de executarea contractului dintre comerciant și consumator.</w:t>
            </w:r>
          </w:p>
          <w:p w14:paraId="6B2E72AB"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Considerăm necesară delimitarea clară dintre responsabilitatea prestatorului de servicii de plată și raporturile juridice dintre plătitor și beneficiar, astfel încât mecanismul rambursării să nu transfere asupra prestatorului obligații care </w:t>
            </w:r>
            <w:proofErr w:type="spellStart"/>
            <w:r>
              <w:rPr>
                <w:rFonts w:ascii="Times New Roman" w:eastAsia="Times New Roman" w:hAnsi="Times New Roman" w:cs="Times New Roman"/>
                <w:sz w:val="24"/>
                <w:szCs w:val="24"/>
              </w:rPr>
              <w:t>exced</w:t>
            </w:r>
            <w:proofErr w:type="spellEnd"/>
            <w:r>
              <w:rPr>
                <w:rFonts w:ascii="Times New Roman" w:eastAsia="Times New Roman" w:hAnsi="Times New Roman" w:cs="Times New Roman"/>
                <w:sz w:val="24"/>
                <w:szCs w:val="24"/>
              </w:rPr>
              <w:t xml:space="preserve"> obiectului reglementării Legii nr. 114/2012.</w:t>
            </w:r>
          </w:p>
          <w:p w14:paraId="6FF1F6C4" w14:textId="77777777" w:rsidR="00B9643D" w:rsidRDefault="00B9643D" w:rsidP="002E1162">
            <w:pPr>
              <w:widowControl w:val="0"/>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3094A5B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Amendamentul a fost transferat după competență către BNM.</w:t>
            </w:r>
          </w:p>
          <w:p w14:paraId="51A6B965" w14:textId="77777777" w:rsidR="00B9643D" w:rsidRDefault="00B9643D" w:rsidP="002E1162">
            <w:pPr>
              <w:jc w:val="both"/>
              <w:rPr>
                <w:rFonts w:ascii="Times New Roman" w:eastAsia="Times New Roman" w:hAnsi="Times New Roman" w:cs="Times New Roman"/>
                <w:sz w:val="24"/>
                <w:szCs w:val="24"/>
              </w:rPr>
            </w:pPr>
          </w:p>
          <w:p w14:paraId="042335F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 se vedea argumentarea la pct. 8</w:t>
            </w:r>
          </w:p>
        </w:tc>
      </w:tr>
      <w:tr w:rsidR="00B9643D" w14:paraId="0E798E19" w14:textId="77777777" w:rsidTr="00CA3607">
        <w:tc>
          <w:tcPr>
            <w:tcW w:w="420" w:type="dxa"/>
            <w:shd w:val="clear" w:color="auto" w:fill="FFFFFF"/>
          </w:tcPr>
          <w:p w14:paraId="17BA403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F3DEF38"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60F197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164</w:t>
            </w:r>
          </w:p>
        </w:tc>
        <w:tc>
          <w:tcPr>
            <w:tcW w:w="6075" w:type="dxa"/>
            <w:tcBorders>
              <w:top w:val="single" w:sz="4" w:space="0" w:color="000000"/>
              <w:bottom w:val="single" w:sz="4" w:space="0" w:color="000000"/>
              <w:right w:val="single" w:sz="4" w:space="0" w:color="000000"/>
            </w:tcBorders>
            <w:shd w:val="clear" w:color="auto" w:fill="FFFFFF"/>
          </w:tcPr>
          <w:p w14:paraId="6C521B63"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Propuneri privind modificarea Legii nr. 105/2023 privind protecția consumatorilor</w:t>
            </w:r>
          </w:p>
          <w:p w14:paraId="24F1A7A4"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În partea ce ține de completarea Legii nr. 105/2023 privind protecția consumatorilor, proiectul de lege conține prevederi care afectează principiul echilibrului contractual dintre comerciant și consumator și creează o limitare disproporționată a dreptului comerciantului de a recupera cheltuielile efective suportate pentru efectuarea expertizei tehnice independente.</w:t>
            </w:r>
          </w:p>
          <w:p w14:paraId="65B91006"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În redacția propusă, normele introduse la art. 25 limitează în mod disproporționat dreptul comerciantului de a recupera cheltuielile efective suportate pentru efectuarea expertizei tehnice independente, chiar și în situația în care această expertiză este necesară pentru a răsturna prezumția de neconformitate instituită de art. 23 alin. (6).</w:t>
            </w:r>
          </w:p>
          <w:p w14:paraId="07A8A108"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Or, potrivit cadrului legal în vigoare, comerciantul este ținut să dovedească faptul că neconformitatea nu îi este imputabilă, atunci când consumatorul contestă refuzul de soluționare a reclamației. În acest context, expertiza tehnică independentă reprezintă un mijloc probator indispensabil pentru îndeplinirea obligației legale de probațiune, iar nu un cost care ar trebui exclus, în mod absolut, din posibilitatea de recuperare.</w:t>
            </w:r>
          </w:p>
          <w:p w14:paraId="6B366421"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Argumente:</w:t>
            </w:r>
          </w:p>
          <w:p w14:paraId="20AC36FB"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Normele propuse creează o restricție disproporționată</w:t>
            </w:r>
          </w:p>
          <w:p w14:paraId="09C611BB"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Potrivit art. 25, în situația în care comerciantul refuză satisfacerea reclamației pe motiv că neconformitatea a apărut din motive imputabile consumatorului, acesta are obligația de a dovedi această împrejurare prin expertiză tehnică independentă.</w:t>
            </w:r>
          </w:p>
          <w:p w14:paraId="0EA2DE8C"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art. 23 alin. (6) instituie o prezumție legală în favoarea consumatorului, potrivit căreia orice neconformitate constatată în termen de un an de la livrare este prezumată a fi existat la momentul livrării, până la proba contrarie.</w:t>
            </w:r>
          </w:p>
          <w:p w14:paraId="19404966"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În aceste condiții, dacă expertiza este solicitată de comerciant tocmai pentru a răsturna această prezumție legală, este inechitabil ca acesta să fie lipsit, în mod automat, de posibilitatea de a recupera costurile, chiar și atunci când expertiza confirmă că defectul a fost cauzat de consumator sau de factori apărute ulterior livrării.</w:t>
            </w:r>
          </w:p>
          <w:p w14:paraId="524C8BCB" w14:textId="77777777" w:rsidR="00B9643D" w:rsidRDefault="00B9643D" w:rsidP="002E1162">
            <w:pPr>
              <w:widowControl w:val="0"/>
              <w:ind w:left="1139"/>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5D9BDE5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Nu se acceptă</w:t>
            </w:r>
          </w:p>
          <w:p w14:paraId="3FAE53AD"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Cele două sintagme a căror excludere se solicită delimitează suportarea costului expertizei în funcție de scopul pentru care aceasta a fost efectuată, în concordanță cu regimul sarcinii probei stabilit de art. 23 alin. (6) din Legea nr. 105/2023.</w:t>
            </w:r>
          </w:p>
          <w:p w14:paraId="1DCCEF0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Dreptul comerciantului de a recupera costul nu este exclus. Proiectul nu suprimă dreptul de recuperare. Art. 25 alin. (3⁴) prevede expres că rambursarea poate fi solicitată consumatorului atunci când se demonstrează, prin probe obiective, că defectul a fost cauzat de utilizarea contrară instrucțiunilor sau de factori externi apăruți după livrare. Comerciantul își păstrează astfel dreptul de recuperare în ipoteza culpei consumatorului; ceea ce nu poate face este să transfere costul în perioada în care legea îi impune lui sarcina probei. Afirmația potrivit căreia comerciantul „suportă întotdeauna costul, indiferent de rezultat” nu corespunde textului proiectului.</w:t>
            </w:r>
          </w:p>
          <w:p w14:paraId="59FB0848" w14:textId="77777777" w:rsidR="00B9643D" w:rsidRDefault="00B9643D" w:rsidP="002E1162">
            <w:pPr>
              <w:jc w:val="both"/>
              <w:rPr>
                <w:rFonts w:ascii="Times New Roman" w:eastAsia="Times New Roman" w:hAnsi="Times New Roman" w:cs="Times New Roman"/>
                <w:b/>
                <w:bCs/>
                <w:sz w:val="24"/>
                <w:szCs w:val="24"/>
              </w:rPr>
            </w:pPr>
          </w:p>
        </w:tc>
      </w:tr>
      <w:tr w:rsidR="00B9643D" w14:paraId="6BA82E56" w14:textId="77777777" w:rsidTr="00CA3607">
        <w:tc>
          <w:tcPr>
            <w:tcW w:w="420" w:type="dxa"/>
            <w:shd w:val="clear" w:color="auto" w:fill="FFFFFF"/>
          </w:tcPr>
          <w:p w14:paraId="684D03AF"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D935006"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771F54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165</w:t>
            </w:r>
          </w:p>
        </w:tc>
        <w:tc>
          <w:tcPr>
            <w:tcW w:w="6075" w:type="dxa"/>
            <w:tcBorders>
              <w:top w:val="single" w:sz="4" w:space="0" w:color="000000"/>
              <w:bottom w:val="single" w:sz="4" w:space="0" w:color="000000"/>
              <w:right w:val="single" w:sz="4" w:space="0" w:color="000000"/>
            </w:tcBorders>
            <w:shd w:val="clear" w:color="auto" w:fill="FFFFFF"/>
          </w:tcPr>
          <w:p w14:paraId="79DAC136"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2. Se creează un regim dezechilibrat în raport cu principiul echității</w:t>
            </w:r>
          </w:p>
          <w:p w14:paraId="58332575"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Reglementarea propusă produce un efect excesiv: comerciantul suportă întotdeauna costul expertizei, indiferent de rezultatul acesteia și indiferent de conduita consumatorului.</w:t>
            </w:r>
          </w:p>
          <w:p w14:paraId="3D30E8A0"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Această soluție nu este proporțională, întrucât transferă asupra comerciantului o sarcină financiară care, în mod firesc, ar trebui să fie suportată de partea în culpa căreia s-a produs defectul, atunci când aceasta este identificată prin probe obiective.</w:t>
            </w:r>
          </w:p>
          <w:p w14:paraId="185903EA"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29F7EDEB"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Nu se acceptă</w:t>
            </w:r>
          </w:p>
          <w:p w14:paraId="276F15E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Regimul propus repartizează costul după criteriul culpei și al sarcinii probei: expertiza rămâne în sarcina comerciantului când confirmă neconformitatea sau când servește la răsturnarea prezumției legale ce îi incumbă, și trece în sarcina consumatorului când probele obiective stabilesc culpa acestuia. </w:t>
            </w:r>
          </w:p>
        </w:tc>
      </w:tr>
      <w:tr w:rsidR="00B9643D" w14:paraId="1FE29E24" w14:textId="77777777" w:rsidTr="00CA3607">
        <w:tc>
          <w:tcPr>
            <w:tcW w:w="420" w:type="dxa"/>
            <w:shd w:val="clear" w:color="auto" w:fill="FFFFFF"/>
          </w:tcPr>
          <w:p w14:paraId="2E0676E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490C57DB" w14:textId="77777777" w:rsidR="00B9643D" w:rsidRDefault="00B9643D" w:rsidP="002E1162">
            <w:pPr>
              <w:jc w:val="both"/>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7993418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166</w:t>
            </w:r>
          </w:p>
        </w:tc>
        <w:tc>
          <w:tcPr>
            <w:tcW w:w="6075" w:type="dxa"/>
            <w:tcBorders>
              <w:top w:val="single" w:sz="4" w:space="0" w:color="000000"/>
              <w:bottom w:val="single" w:sz="4" w:space="0" w:color="000000"/>
              <w:right w:val="single" w:sz="4" w:space="0" w:color="000000"/>
            </w:tcBorders>
            <w:shd w:val="clear" w:color="auto" w:fill="FFFFFF"/>
          </w:tcPr>
          <w:p w14:paraId="2145B123"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 Se descurajează utilizarea corectă a mecanismului probator</w:t>
            </w:r>
          </w:p>
          <w:p w14:paraId="09A93E25"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Dacă comerciantul nu are posibilitatea de a recupera costul expertizei nici măcar în cazul în care se dovedește culpa consumatorului, se ajunge la o descurajare a exercitării legitime a dreptului de apărare a comerciantului și a obligației de probațiune prevăzute de lege.</w:t>
            </w:r>
          </w:p>
          <w:p w14:paraId="3CC1CE49"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În practică, aceasta poate conduce fie la refuzul comercianților de a recurge la expertize, fie la asumarea unor costuri care nu mai au un temei echitabil, ceea ce nu servește nici interesului consumatorului, nici unei aplicări corecte a legii. În rezultat, pentru a acoperi eventualele pierderi generate de cheltuielile suportate </w:t>
            </w:r>
            <w:proofErr w:type="spellStart"/>
            <w:r>
              <w:rPr>
                <w:rFonts w:ascii="Times New Roman" w:eastAsia="Times New Roman" w:hAnsi="Times New Roman" w:cs="Times New Roman"/>
                <w:sz w:val="24"/>
                <w:szCs w:val="24"/>
              </w:rPr>
              <w:t>comericanții</w:t>
            </w:r>
            <w:proofErr w:type="spellEnd"/>
            <w:r>
              <w:rPr>
                <w:rFonts w:ascii="Times New Roman" w:eastAsia="Times New Roman" w:hAnsi="Times New Roman" w:cs="Times New Roman"/>
                <w:sz w:val="24"/>
                <w:szCs w:val="24"/>
              </w:rPr>
              <w:t xml:space="preserve"> pot recurge la majorarea prețurilor pentru consumatori.</w:t>
            </w:r>
          </w:p>
          <w:p w14:paraId="72138CE0"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Concluzie: Prin urmare, apreciem că formularea propusă trebuie revizuită, deoarece, în redacția actuală, are ca efect excluderea nejustificată a dreptului comerciantului de a solicita rambursarea cheltuielilor pentru expertiza tehnică independentă, inclusiv în ipoteza în care expertiza confirmă că neconformitatea este imputabilă consumatorului.</w:t>
            </w:r>
          </w:p>
          <w:p w14:paraId="73105CB7"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În consecință, se propune excluderea sintagmelor:</w:t>
            </w:r>
          </w:p>
          <w:p w14:paraId="55C1D5AF" w14:textId="77777777" w:rsidR="00B9643D" w:rsidRDefault="00000000" w:rsidP="002E1162">
            <w:pPr>
              <w:widowControl w:val="0"/>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cu excepția situației în care expertiza a fost necesară vânzătorului sau prestatorului pentru a-și îndeplini propria obligație legală de a răsturna prezumția de neconformitate în favoarea consumatorului, în condițiile legii”; și</w:t>
            </w:r>
          </w:p>
          <w:p w14:paraId="082F887F" w14:textId="77777777" w:rsidR="00B9643D" w:rsidRDefault="00000000" w:rsidP="002E1162">
            <w:pPr>
              <w:widowControl w:val="0"/>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„Obligația de rambursare de către consumator nu este aplicabilă în ipoteza în care expertiza a fost necesară vânzătorului pentru a-și îndeplini obligația legală de probațiune pusă în sarcina sa conform art. 23 alin. (6)”,</w:t>
            </w:r>
          </w:p>
          <w:p w14:paraId="22943586"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întrucât acestea restrâng în mod nejustificat dreptul comerciantului de a recupera cheltuielile efective suportate pentru expertiză în cazurile în care neconformitatea este cauzată de consumator.</w:t>
            </w:r>
          </w:p>
          <w:p w14:paraId="2AD610CD"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14F480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098A762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Comerciantul diligent nu este descurajat să recurgă la expertiză, întrucât își recuperează costul în ipoteza reală a culpei consumatorului. </w:t>
            </w:r>
          </w:p>
        </w:tc>
      </w:tr>
      <w:tr w:rsidR="00B9643D" w14:paraId="0355DCE5" w14:textId="77777777" w:rsidTr="00CA3607">
        <w:tc>
          <w:tcPr>
            <w:tcW w:w="420" w:type="dxa"/>
            <w:shd w:val="clear" w:color="auto" w:fill="FFFFFF"/>
          </w:tcPr>
          <w:p w14:paraId="53D98FDD"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5C70E162" w14:textId="77777777" w:rsidR="00B9643D" w:rsidRDefault="00000000" w:rsidP="002E116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Agenția de Guvernare Electronică</w:t>
            </w:r>
          </w:p>
          <w:p w14:paraId="71834D1B" w14:textId="77777777" w:rsidR="00B9643D" w:rsidRDefault="00000000" w:rsidP="002E1162">
            <w:pPr>
              <w:rPr>
                <w:rFonts w:ascii="Times New Roman" w:eastAsia="Times New Roman" w:hAnsi="Times New Roman" w:cs="Times New Roman"/>
                <w:sz w:val="24"/>
                <w:szCs w:val="24"/>
              </w:rPr>
            </w:pPr>
            <w:r>
              <w:rPr>
                <w:rFonts w:ascii="Times New Roman" w:eastAsia="Times New Roman" w:hAnsi="Times New Roman" w:cs="Times New Roman"/>
                <w:sz w:val="24"/>
                <w:szCs w:val="24"/>
              </w:rPr>
              <w:t>Aviz nr. 3007-239</w:t>
            </w:r>
          </w:p>
          <w:p w14:paraId="55320336" w14:textId="77777777" w:rsidR="00B9643D" w:rsidRDefault="00000000" w:rsidP="002E1162">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din 29.07.2026, suplimentar la avizul nr. 3007-207 din 30.06.2026</w:t>
            </w:r>
          </w:p>
        </w:tc>
        <w:tc>
          <w:tcPr>
            <w:tcW w:w="720" w:type="dxa"/>
            <w:tcBorders>
              <w:top w:val="single" w:sz="4" w:space="0" w:color="000000"/>
              <w:bottom w:val="single" w:sz="4" w:space="0" w:color="000000"/>
            </w:tcBorders>
            <w:shd w:val="clear" w:color="auto" w:fill="FFFFFF"/>
          </w:tcPr>
          <w:p w14:paraId="7AB218F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167</w:t>
            </w:r>
          </w:p>
        </w:tc>
        <w:tc>
          <w:tcPr>
            <w:tcW w:w="6075" w:type="dxa"/>
            <w:tcBorders>
              <w:top w:val="single" w:sz="4" w:space="0" w:color="000000"/>
              <w:bottom w:val="single" w:sz="4" w:space="0" w:color="000000"/>
              <w:right w:val="single" w:sz="4" w:space="0" w:color="000000"/>
            </w:tcBorders>
            <w:shd w:val="clear" w:color="auto" w:fill="FFFFFF"/>
          </w:tcPr>
          <w:p w14:paraId="1D73A5BA"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 referire la proiectul de lege pentru modificarea unor acte normative (pentru promovarea economiei digitale și a comerțului electronic) (număr unic 629/MDED/2026), suplimentar, în vederea instituirii cadrului normativ necesar pentru emiterea și utilizarea atestărilor electronice ale atributelor, valorificarea datelor din registrele de stat și simplificarea interacțiunii dintre persoanele fizice și juridice și autoritățile publice în procesul de prestare a serviciilor </w:t>
            </w:r>
            <w:r>
              <w:rPr>
                <w:rFonts w:ascii="Times New Roman" w:eastAsia="Times New Roman" w:hAnsi="Times New Roman" w:cs="Times New Roman"/>
                <w:sz w:val="24"/>
                <w:szCs w:val="24"/>
              </w:rPr>
              <w:lastRenderedPageBreak/>
              <w:t>publice în formă electronică, propune completarea proiectului de lege cu prevederi privind modificarea Legii nr. 71/2007 cu privire la registre, Codului administrativ al Republicii Moldova nr. 116/2018 și Legii nr. 234/2021 cu privire la serviciile publice.</w:t>
            </w:r>
          </w:p>
          <w:p w14:paraId="78A991D4" w14:textId="77777777" w:rsidR="00B9643D" w:rsidRDefault="00B9643D" w:rsidP="002E1162">
            <w:pPr>
              <w:widowControl w:val="0"/>
              <w:ind w:firstLine="283"/>
              <w:rPr>
                <w:rFonts w:ascii="Times New Roman" w:eastAsia="Times New Roman" w:hAnsi="Times New Roman" w:cs="Times New Roman"/>
                <w:sz w:val="24"/>
                <w:szCs w:val="24"/>
              </w:rPr>
            </w:pPr>
          </w:p>
          <w:p w14:paraId="1C4C7A3D"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I. Art. (...). – Articolul 29 din Legea nr. 71/2007 cu privire la registre (Monitorul Oficial al Republicii Moldova, 2007, nr. 70–73, art. 314), cu modificările ulterioare, se modifică după cum urmează:</w:t>
            </w:r>
          </w:p>
          <w:p w14:paraId="3CFA3254"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alineatul (1) se completează cu litera d) cu următorul cuprins:</w:t>
            </w:r>
          </w:p>
          <w:p w14:paraId="656994E2"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„d) emiterea și punerea la dispoziție a atestărilor electronice ale atributelor prin intermediul aplicației guvernamentale integrate EVO.”;</w:t>
            </w:r>
          </w:p>
          <w:p w14:paraId="1E81902C"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la alineatul (3</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textul „generate prin intermediul portalului guvernamental al cetățeanului, al portalului guvernamental al unităților de drept sau prin intermediul aplicației guvernamentale integrate a serviciilor electronice” se substituie cu cuvintele „generate prin intermediul platformei de găzduire și partajare a documentelor și expuse în Portalul guvernamental integrat EVO”;</w:t>
            </w:r>
          </w:p>
          <w:p w14:paraId="6B84BB4D"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se completează cu alineatele 3</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 (3</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cu următorul cuprins:</w:t>
            </w:r>
          </w:p>
          <w:p w14:paraId="5E127893"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Datele din registru pot fi puse la dispoziție sub formă de atestări electronice ale atributelor, emise și prezentate prin intermediul aplicației guvernamentale integrate EVO, în condițiile prezentului articol.</w:t>
            </w:r>
          </w:p>
          <w:p w14:paraId="05A88622"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Posesorul registrului asigură, direct sau prin intermediul platformei de interoperabilitate, punerea la dispoziție a datelor din registru sub formă de atestări electronice ale atributelor, emise și puse la dispoziția titularului prin intermediul aplicației guvernamentale integrate EVO.</w:t>
            </w:r>
          </w:p>
          <w:p w14:paraId="2D2E7AF4"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vertAlign w:val="superscript"/>
              </w:rPr>
              <w:t>6</w:t>
            </w:r>
            <w:r>
              <w:rPr>
                <w:rFonts w:ascii="Times New Roman" w:eastAsia="Times New Roman" w:hAnsi="Times New Roman" w:cs="Times New Roman"/>
                <w:sz w:val="24"/>
                <w:szCs w:val="24"/>
              </w:rPr>
              <w:t xml:space="preserve">) Atestarea electronică a atributelor se emite de către posesorul registrului sau, în numele acestuia, de către posesorul sistemului informațional prin intermediul căruia se </w:t>
            </w:r>
            <w:r>
              <w:rPr>
                <w:rFonts w:ascii="Times New Roman" w:eastAsia="Times New Roman" w:hAnsi="Times New Roman" w:cs="Times New Roman"/>
                <w:sz w:val="24"/>
                <w:szCs w:val="24"/>
              </w:rPr>
              <w:lastRenderedPageBreak/>
              <w:t>realizează emiterea și se protejează prin semnătură electronică calificată sau prin sigiliu electronic calificat, care garantează originea, autenticitatea și integritatea atributelor atestate.</w:t>
            </w:r>
          </w:p>
          <w:p w14:paraId="6B2FA9BF"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Atributele incluse în atestarea electronică a atributelor se verifică, la momentul emiterii, în raport cu datele din registru, iar atestarea indică perioada de valabilitate și mecanismul de verificare a statutului de valabilitate. În cazul modificării, rectificării sau radierii datelor din registru care afectează atributele atestate, posesorul registrului asigură revocarea atestării ori actualizarea statutului de valabilitate al acesteia, în termen ce nu depășește termenul stabilit pentru actualizarea datelor în registru.</w:t>
            </w:r>
          </w:p>
          <w:p w14:paraId="1E8FECB0"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Atestarea electronică a atributelor emisă în condițiile prezentului articol produce efecte juridice echivalente cu cele ale extrasului din registru sau ale documentului eliberat în formă electronică sau pe suport de hârtie, care confirmă aceleași date și atribute, și nu poate fi refuzată de autoritățile publice sau de alte persoane fizice ori juridice pentru simplul motiv că este prezentată în formă electronică sau prin intermediul aplicației guvernamentale integrate EVO, cu condiția respectării cerințelor legale aplicabile și a posibilității verificării autenticității, integrității și statutului de valabilitate al acesteia.</w:t>
            </w:r>
          </w:p>
          <w:p w14:paraId="1277EFC9"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Emiterea atestării electronice a atributelor se efectuează exclusiv la cererea și cu acordul titularului, în mod gratuit pentru persoanele fizice. Titularul decide în mod autonom asupra prezentării atestării către părțile utilizatoare și beneficiază de divulgarea selectivă a atributelor, cu respectarea principiului minimizării datelor.</w:t>
            </w:r>
          </w:p>
          <w:p w14:paraId="1E36AF50"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vertAlign w:val="superscript"/>
              </w:rPr>
              <w:t>10</w:t>
            </w:r>
            <w:r>
              <w:rPr>
                <w:rFonts w:ascii="Times New Roman" w:eastAsia="Times New Roman" w:hAnsi="Times New Roman" w:cs="Times New Roman"/>
                <w:sz w:val="24"/>
                <w:szCs w:val="24"/>
              </w:rPr>
              <w:t xml:space="preserve">) Verificarea autenticității, integrității și statutului de valabilitate al atestării electronice a atributelor nu necesită accesarea directă a datelor din registru. Datele privind prezentarea și verificarea atestării electronice a atributelor nu pot fi utilizate pentru identificarea, profilarea sau urmărirea titularului ori pentru corelarea activităților </w:t>
            </w:r>
            <w:r>
              <w:rPr>
                <w:rFonts w:ascii="Times New Roman" w:eastAsia="Times New Roman" w:hAnsi="Times New Roman" w:cs="Times New Roman"/>
                <w:sz w:val="24"/>
                <w:szCs w:val="24"/>
              </w:rPr>
              <w:lastRenderedPageBreak/>
              <w:t>acestuia cu destinatarii atestării, cu excepția cazurilor expres prevăzute de lege.”.</w:t>
            </w:r>
          </w:p>
          <w:p w14:paraId="32F059DE"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49B47044" w14:textId="77777777" w:rsidR="00B9643D" w:rsidRDefault="00B9643D" w:rsidP="002E1162">
            <w:pPr>
              <w:jc w:val="both"/>
              <w:rPr>
                <w:rFonts w:ascii="Times New Roman" w:eastAsia="Times New Roman" w:hAnsi="Times New Roman" w:cs="Times New Roman"/>
                <w:b/>
                <w:bCs/>
                <w:sz w:val="24"/>
                <w:szCs w:val="24"/>
              </w:rPr>
            </w:pPr>
          </w:p>
          <w:p w14:paraId="2A43B9A5" w14:textId="77777777" w:rsidR="00B9643D" w:rsidRDefault="00B9643D" w:rsidP="002E1162">
            <w:pPr>
              <w:jc w:val="both"/>
              <w:rPr>
                <w:rFonts w:ascii="Times New Roman" w:eastAsia="Times New Roman" w:hAnsi="Times New Roman" w:cs="Times New Roman"/>
                <w:b/>
                <w:bCs/>
                <w:sz w:val="24"/>
                <w:szCs w:val="24"/>
              </w:rPr>
            </w:pPr>
          </w:p>
          <w:p w14:paraId="0335B9B9" w14:textId="77777777" w:rsidR="00B9643D" w:rsidRDefault="00B9643D" w:rsidP="002E1162">
            <w:pPr>
              <w:jc w:val="both"/>
              <w:rPr>
                <w:rFonts w:ascii="Times New Roman" w:eastAsia="Times New Roman" w:hAnsi="Times New Roman" w:cs="Times New Roman"/>
                <w:b/>
                <w:bCs/>
                <w:sz w:val="24"/>
                <w:szCs w:val="24"/>
              </w:rPr>
            </w:pPr>
          </w:p>
          <w:p w14:paraId="3F22AC53" w14:textId="77777777" w:rsidR="00B9643D" w:rsidRDefault="00B9643D" w:rsidP="002E1162">
            <w:pPr>
              <w:jc w:val="both"/>
              <w:rPr>
                <w:rFonts w:ascii="Times New Roman" w:eastAsia="Times New Roman" w:hAnsi="Times New Roman" w:cs="Times New Roman"/>
                <w:b/>
                <w:bCs/>
                <w:sz w:val="24"/>
                <w:szCs w:val="24"/>
              </w:rPr>
            </w:pPr>
          </w:p>
          <w:p w14:paraId="3039B5E3" w14:textId="77777777" w:rsidR="00B9643D" w:rsidRDefault="00B9643D" w:rsidP="002E1162">
            <w:pPr>
              <w:jc w:val="both"/>
              <w:rPr>
                <w:rFonts w:ascii="Times New Roman" w:eastAsia="Times New Roman" w:hAnsi="Times New Roman" w:cs="Times New Roman"/>
                <w:b/>
                <w:bCs/>
                <w:sz w:val="24"/>
                <w:szCs w:val="24"/>
              </w:rPr>
            </w:pPr>
          </w:p>
          <w:p w14:paraId="310385C1" w14:textId="77777777" w:rsidR="00B9643D" w:rsidRDefault="00B9643D" w:rsidP="002E1162">
            <w:pPr>
              <w:jc w:val="both"/>
              <w:rPr>
                <w:rFonts w:ascii="Times New Roman" w:eastAsia="Times New Roman" w:hAnsi="Times New Roman" w:cs="Times New Roman"/>
                <w:b/>
                <w:bCs/>
                <w:sz w:val="24"/>
                <w:szCs w:val="24"/>
              </w:rPr>
            </w:pPr>
          </w:p>
          <w:p w14:paraId="6F2F111B" w14:textId="77777777" w:rsidR="00B9643D" w:rsidRDefault="00B9643D" w:rsidP="002E1162">
            <w:pPr>
              <w:jc w:val="both"/>
              <w:rPr>
                <w:rFonts w:ascii="Times New Roman" w:eastAsia="Times New Roman" w:hAnsi="Times New Roman" w:cs="Times New Roman"/>
                <w:b/>
                <w:bCs/>
                <w:sz w:val="24"/>
                <w:szCs w:val="24"/>
              </w:rPr>
            </w:pPr>
          </w:p>
          <w:p w14:paraId="7BB02A66" w14:textId="77777777" w:rsidR="00B9643D" w:rsidRDefault="00B9643D" w:rsidP="002E1162">
            <w:pPr>
              <w:jc w:val="both"/>
              <w:rPr>
                <w:rFonts w:ascii="Times New Roman" w:eastAsia="Times New Roman" w:hAnsi="Times New Roman" w:cs="Times New Roman"/>
                <w:b/>
                <w:bCs/>
                <w:sz w:val="24"/>
                <w:szCs w:val="24"/>
              </w:rPr>
            </w:pPr>
          </w:p>
          <w:p w14:paraId="305772FB" w14:textId="77777777" w:rsidR="00B9643D" w:rsidRDefault="00B9643D" w:rsidP="002E1162">
            <w:pPr>
              <w:jc w:val="both"/>
              <w:rPr>
                <w:rFonts w:ascii="Times New Roman" w:eastAsia="Times New Roman" w:hAnsi="Times New Roman" w:cs="Times New Roman"/>
                <w:b/>
                <w:bCs/>
                <w:sz w:val="24"/>
                <w:szCs w:val="24"/>
              </w:rPr>
            </w:pPr>
          </w:p>
          <w:p w14:paraId="25E2DEA0" w14:textId="77777777" w:rsidR="00B9643D" w:rsidRDefault="00B9643D" w:rsidP="002E1162">
            <w:pPr>
              <w:jc w:val="both"/>
              <w:rPr>
                <w:rFonts w:ascii="Times New Roman" w:eastAsia="Times New Roman" w:hAnsi="Times New Roman" w:cs="Times New Roman"/>
                <w:b/>
                <w:bCs/>
                <w:sz w:val="24"/>
                <w:szCs w:val="24"/>
              </w:rPr>
            </w:pPr>
          </w:p>
          <w:p w14:paraId="0B8378FE" w14:textId="77777777" w:rsidR="00B9643D" w:rsidRDefault="00B9643D" w:rsidP="002E1162">
            <w:pPr>
              <w:jc w:val="both"/>
              <w:rPr>
                <w:rFonts w:ascii="Times New Roman" w:eastAsia="Times New Roman" w:hAnsi="Times New Roman" w:cs="Times New Roman"/>
                <w:b/>
                <w:bCs/>
                <w:sz w:val="24"/>
                <w:szCs w:val="24"/>
              </w:rPr>
            </w:pPr>
          </w:p>
          <w:p w14:paraId="4DC56C15" w14:textId="77777777" w:rsidR="00B9643D" w:rsidRDefault="00B9643D" w:rsidP="002E1162">
            <w:pPr>
              <w:jc w:val="both"/>
              <w:rPr>
                <w:rFonts w:ascii="Times New Roman" w:eastAsia="Times New Roman" w:hAnsi="Times New Roman" w:cs="Times New Roman"/>
                <w:b/>
                <w:bCs/>
                <w:sz w:val="24"/>
                <w:szCs w:val="24"/>
              </w:rPr>
            </w:pPr>
          </w:p>
          <w:p w14:paraId="29D04A3B" w14:textId="77777777" w:rsidR="00B9643D" w:rsidRDefault="00B9643D" w:rsidP="002E1162">
            <w:pPr>
              <w:jc w:val="both"/>
              <w:rPr>
                <w:rFonts w:ascii="Times New Roman" w:eastAsia="Times New Roman" w:hAnsi="Times New Roman" w:cs="Times New Roman"/>
                <w:b/>
                <w:bCs/>
                <w:sz w:val="24"/>
                <w:szCs w:val="24"/>
              </w:rPr>
            </w:pPr>
          </w:p>
          <w:p w14:paraId="36BC82CA" w14:textId="77777777" w:rsidR="00B9643D" w:rsidRDefault="00B9643D" w:rsidP="002E1162">
            <w:pPr>
              <w:jc w:val="both"/>
              <w:rPr>
                <w:rFonts w:ascii="Times New Roman" w:eastAsia="Times New Roman" w:hAnsi="Times New Roman" w:cs="Times New Roman"/>
                <w:b/>
                <w:bCs/>
                <w:sz w:val="24"/>
                <w:szCs w:val="24"/>
              </w:rPr>
            </w:pPr>
          </w:p>
          <w:p w14:paraId="78F2528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78E8E576" w14:textId="77777777" w:rsidTr="00CA3607">
        <w:tc>
          <w:tcPr>
            <w:tcW w:w="420" w:type="dxa"/>
            <w:shd w:val="clear" w:color="auto" w:fill="FFFFFF"/>
          </w:tcPr>
          <w:p w14:paraId="1007DF7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19137F8A"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1C109F4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168</w:t>
            </w:r>
          </w:p>
        </w:tc>
        <w:tc>
          <w:tcPr>
            <w:tcW w:w="6075" w:type="dxa"/>
            <w:tcBorders>
              <w:top w:val="single" w:sz="4" w:space="0" w:color="000000"/>
              <w:bottom w:val="single" w:sz="4" w:space="0" w:color="000000"/>
              <w:right w:val="single" w:sz="4" w:space="0" w:color="000000"/>
            </w:tcBorders>
            <w:shd w:val="clear" w:color="auto" w:fill="FFFFFF"/>
          </w:tcPr>
          <w:p w14:paraId="44BB784E"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II. Art. (...). – Codul administrativ al Republicii Moldova nr. 116/2018 (Monitorul Oficial al Republicii Moldova, 2018, nr. 309–320, art. 466), cu modificările ulterioare, se modifică după cum urmează:</w:t>
            </w:r>
          </w:p>
          <w:p w14:paraId="6703186F"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Articolul 72:</w:t>
            </w:r>
          </w:p>
          <w:p w14:paraId="7CCD3AD4" w14:textId="77777777" w:rsidR="00B9643D" w:rsidRDefault="00000000" w:rsidP="002E1162">
            <w:pPr>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alineatul (3) se completează cu textul „ , cu excepția cazului prevăzut la alin. (4)”;</w:t>
            </w:r>
          </w:p>
          <w:p w14:paraId="6856D56B" w14:textId="77777777" w:rsidR="00B9643D" w:rsidRDefault="00000000" w:rsidP="002E1162">
            <w:pPr>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 completează cu alineatul (4) cu următorul cuprins:</w:t>
            </w:r>
          </w:p>
          <w:p w14:paraId="66465431"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„(4) Petiția depusă prin intermediul unui sistem informațional de stat, în cadrul căruia petiționarul a fost identificat și autentificat prin intermediul serviciului guvernamental de identificare și autentificare electronică sau prin intermediul aplicației guvernamentale integrate EVO nu necesită aplicarea semnăturii electronice, cu condiția ca sistemul informațional să asigure înregistrarea datei și orei depunerii petiției și păstrarea dovezii depunerii acesteia.”;</w:t>
            </w:r>
          </w:p>
          <w:p w14:paraId="3318D257"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La articolul 75 alineatul (1) litera e) se completează cu textul „, cu excepția cazului prevăzut la art. 72 alin. (4)”.</w:t>
            </w:r>
          </w:p>
          <w:p w14:paraId="5A4A14B8"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709AAC3"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r w:rsidR="00B9643D" w14:paraId="57229958" w14:textId="77777777" w:rsidTr="00CA3607">
        <w:tc>
          <w:tcPr>
            <w:tcW w:w="420" w:type="dxa"/>
            <w:shd w:val="clear" w:color="auto" w:fill="FFFFFF"/>
          </w:tcPr>
          <w:p w14:paraId="19B7CBE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3B16A726"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6F17402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169</w:t>
            </w:r>
          </w:p>
        </w:tc>
        <w:tc>
          <w:tcPr>
            <w:tcW w:w="6075" w:type="dxa"/>
            <w:tcBorders>
              <w:top w:val="single" w:sz="4" w:space="0" w:color="000000"/>
              <w:bottom w:val="single" w:sz="4" w:space="0" w:color="000000"/>
              <w:right w:val="single" w:sz="4" w:space="0" w:color="000000"/>
            </w:tcBorders>
            <w:shd w:val="clear" w:color="auto" w:fill="FFFFFF"/>
          </w:tcPr>
          <w:p w14:paraId="6A053930"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III. Art. (...). – Articolul 17 din Legea nr. 234/2021 cu privire la serviciile publice (Monitorul Oficial al Republicii Moldova, 2022, nr. 34–38, art. 34), cu modificările ulterioare, se completează cu alineatul (3) cu următorul cuprins:</w:t>
            </w:r>
          </w:p>
          <w:p w14:paraId="656FCD9D"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În cazul prestării serviciilor publice în formă electronică ce nu determină înregistrarea sau modificarea datelor din resursele informaționale de stat, cererea de prestare a serviciului public și acțiunile necesare pentru inițierea și desfășurarea procesului de prestare a acestuia pot fi realizate de către beneficiar prin intermediul sistemului informațional destinat prestării serviciului public, după identificarea și autentificarea acestuia prin intermediul serviciului guvernamental de identificare și autentificare electronică ori al aplicației guvernamentale integrate EVO, </w:t>
            </w:r>
            <w:r>
              <w:rPr>
                <w:rFonts w:ascii="Times New Roman" w:eastAsia="Times New Roman" w:hAnsi="Times New Roman" w:cs="Times New Roman"/>
                <w:sz w:val="24"/>
                <w:szCs w:val="24"/>
              </w:rPr>
              <w:lastRenderedPageBreak/>
              <w:t>fără aplicarea semnăturii electronice, cu excepția cazurilor în care aplicarea acesteia este prevăzută de lege.”</w:t>
            </w:r>
          </w:p>
          <w:p w14:paraId="0D2FDE73"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0075902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Nu se acceptă</w:t>
            </w:r>
          </w:p>
          <w:p w14:paraId="39283914"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 propune de comasat această propunere cu proiectul MDID nr. 366/MDED/AGE/2026, la o etapă potrivită, ținând cont de subiectul ridicat și etapa avansată la care se află această inițiativă. </w:t>
            </w:r>
          </w:p>
        </w:tc>
      </w:tr>
      <w:tr w:rsidR="00B9643D" w14:paraId="562F455D" w14:textId="77777777" w:rsidTr="00CA3607">
        <w:tc>
          <w:tcPr>
            <w:tcW w:w="420" w:type="dxa"/>
            <w:shd w:val="clear" w:color="auto" w:fill="FFFFFF"/>
          </w:tcPr>
          <w:p w14:paraId="6561AB8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6EFEE6E2"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43EC61D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170</w:t>
            </w:r>
          </w:p>
        </w:tc>
        <w:tc>
          <w:tcPr>
            <w:tcW w:w="6075" w:type="dxa"/>
            <w:tcBorders>
              <w:top w:val="single" w:sz="4" w:space="0" w:color="000000"/>
              <w:bottom w:val="single" w:sz="4" w:space="0" w:color="000000"/>
              <w:right w:val="single" w:sz="4" w:space="0" w:color="000000"/>
            </w:tcBorders>
            <w:shd w:val="clear" w:color="auto" w:fill="FFFFFF"/>
          </w:tcPr>
          <w:p w14:paraId="5E715030"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IV. Art. (...). – Legea nr. 187/2025 pentru modificarea unor acte normative (Monitorul Oficial al Republicii Moldova, 2025, nr. 379–380, art. 491) se modifică după cum urmează:</w:t>
            </w:r>
          </w:p>
          <w:p w14:paraId="3C1E234B"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la Art. II pct. 18 cuvintele „portalului guvernamental al unităților de drept” se substituie cu cuvintele „în cabinetul persoanei din cadrul Portalului guvernamental integrat EVO”;</w:t>
            </w:r>
          </w:p>
          <w:p w14:paraId="6B3CD6A0"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Art. VI va avea următorul cuprins:</w:t>
            </w:r>
          </w:p>
          <w:p w14:paraId="1802A4EC"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„Art. VI. ‒ Articolul 183 din Codul civil nr. 1107/2002 (republicat în Monitorul Oficial al Republicii Moldova, 2019, nr. 66–75, art. 132), cu modificările ulterioare, se completează cu alineatul (4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cu următorul cuprins:</w:t>
            </w:r>
          </w:p>
          <w:p w14:paraId="387DC1AF" w14:textId="77777777" w:rsidR="00B9643D" w:rsidRDefault="00000000" w:rsidP="002E1162">
            <w:pPr>
              <w:widowControl w:val="0"/>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cabinetul persoanei din cadrul Portalului guvernamental integrat EVO.”;</w:t>
            </w:r>
          </w:p>
          <w:p w14:paraId="4B7C2925"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la Art. XVI textul „(2) Comunicarea autorităților publice cu persoanele juridice/persoanele fizice care practică activitate de întreprinzător (întreprindere individuală, gospodărie țărănească) se efectuează prin intermediul portalului guvernamental al unităților de drept. Documentele comunicate se consideră recepționate din următoarea zi lucrătoare zilei în care au fost remise prin intermediul portalului guvernamental al unităților de drept.” se substituie cu textul „(2) Comunicarea persoanelor juridice de drept public cu persoanele juridice/persoanele fizice care practică activitate de întreprinzător se efectuează prin intermediul Portalului guvernamental integrat EVO. Documentele sau notificările comunicate se consideră recepționate din următoarea zi lucrătoare zilei în care au fost remise în </w:t>
            </w:r>
            <w:r>
              <w:rPr>
                <w:rFonts w:ascii="Times New Roman" w:eastAsia="Times New Roman" w:hAnsi="Times New Roman" w:cs="Times New Roman"/>
                <w:sz w:val="24"/>
                <w:szCs w:val="24"/>
              </w:rPr>
              <w:lastRenderedPageBreak/>
              <w:t>cabinetul persoanei din cadrul Portalului guvernamental integrat EVO.”;</w:t>
            </w:r>
          </w:p>
          <w:p w14:paraId="754350B9"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la Art. XVII pct. 4 va avea următorul cuprins: </w:t>
            </w:r>
          </w:p>
          <w:p w14:paraId="327CB2B5" w14:textId="77777777" w:rsidR="00B9643D" w:rsidRDefault="00000000" w:rsidP="002E11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La articolul 22, alineatul (5) va avea următorul cuprins: „(5) Persoanele juridice și persoanele fizice care practică activitate de întreprinzător recepționează decizia prin intermediul Portalului guvernamental integrat EVO. Decizia transmisă în cadrul cabinetului personal din cadrul Portalului guvernamental integrat EVO se consideră recepționată din următoarea zi lucrătoare zilei în care a fost remisă.”</w:t>
            </w:r>
          </w:p>
          <w:p w14:paraId="74E09A00" w14:textId="77777777" w:rsidR="00B9643D" w:rsidRDefault="00B9643D" w:rsidP="002E1162">
            <w:pPr>
              <w:widowControl w:val="0"/>
              <w:ind w:firstLine="283"/>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6780E07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649EBA75" w14:textId="77777777" w:rsidTr="00CA3607">
        <w:tc>
          <w:tcPr>
            <w:tcW w:w="420" w:type="dxa"/>
            <w:shd w:val="clear" w:color="auto" w:fill="FFFFFF"/>
          </w:tcPr>
          <w:p w14:paraId="6E84D35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0" w:type="dxa"/>
            <w:shd w:val="clear" w:color="auto" w:fill="FFFFFF"/>
          </w:tcPr>
          <w:p w14:paraId="78AD2A57" w14:textId="77777777" w:rsidR="00B9643D" w:rsidRDefault="00B9643D" w:rsidP="002E1162">
            <w:pPr>
              <w:rPr>
                <w:rFonts w:ascii="Times New Roman" w:eastAsia="Times New Roman" w:hAnsi="Times New Roman" w:cs="Times New Roman"/>
                <w:b/>
                <w:bCs/>
                <w:sz w:val="24"/>
                <w:szCs w:val="24"/>
              </w:rPr>
            </w:pPr>
          </w:p>
        </w:tc>
        <w:tc>
          <w:tcPr>
            <w:tcW w:w="720" w:type="dxa"/>
            <w:tcBorders>
              <w:top w:val="single" w:sz="4" w:space="0" w:color="000000"/>
              <w:bottom w:val="single" w:sz="4" w:space="0" w:color="000000"/>
            </w:tcBorders>
            <w:shd w:val="clear" w:color="auto" w:fill="FFFFFF"/>
          </w:tcPr>
          <w:p w14:paraId="263E352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171</w:t>
            </w:r>
          </w:p>
        </w:tc>
        <w:tc>
          <w:tcPr>
            <w:tcW w:w="6075" w:type="dxa"/>
            <w:tcBorders>
              <w:top w:val="single" w:sz="4" w:space="0" w:color="000000"/>
              <w:bottom w:val="single" w:sz="4" w:space="0" w:color="000000"/>
              <w:right w:val="single" w:sz="4" w:space="0" w:color="000000"/>
            </w:tcBorders>
            <w:shd w:val="clear" w:color="auto" w:fill="FFFFFF"/>
          </w:tcPr>
          <w:p w14:paraId="3B8AFD0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 disponibilitatea infrastructurii și a soluțiilor tehnice necesare punerii în aplicare a modificărilor propuse, precum și necesitatea valorificării imediate a acestora în procesul de interacțiune cu autoritățile și instituțiile publice în formă electronică, se consideră oportun ca prevederile privind modificarea Legii nr. 71/2007 cu privire la registre, Codului administrativ al Republicii Moldova nr. 116/2018 și Legii nr. 234/2021 cu privire la serviciile publice să intre în vigoare la expirarea termenului de o lună de la data publicării legii în Monitorul Oficial al Republicii Moldova.</w:t>
            </w:r>
          </w:p>
          <w:p w14:paraId="5E18DA4A" w14:textId="77777777" w:rsidR="00B9643D" w:rsidRDefault="00B9643D" w:rsidP="002E1162">
            <w:pPr>
              <w:jc w:val="both"/>
              <w:rPr>
                <w:rFonts w:ascii="Times New Roman" w:eastAsia="Times New Roman" w:hAnsi="Times New Roman" w:cs="Times New Roman"/>
                <w:sz w:val="24"/>
                <w:szCs w:val="24"/>
              </w:rPr>
            </w:pPr>
          </w:p>
        </w:tc>
        <w:tc>
          <w:tcPr>
            <w:tcW w:w="4530" w:type="dxa"/>
            <w:tcBorders>
              <w:top w:val="single" w:sz="4" w:space="0" w:color="000000"/>
              <w:bottom w:val="single" w:sz="4" w:space="0" w:color="000000"/>
              <w:right w:val="single" w:sz="4" w:space="0" w:color="000000"/>
            </w:tcBorders>
            <w:shd w:val="clear" w:color="auto" w:fill="FFFFFF"/>
          </w:tcPr>
          <w:p w14:paraId="7A7B3B4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acceptă</w:t>
            </w:r>
          </w:p>
        </w:tc>
      </w:tr>
    </w:tbl>
    <w:p w14:paraId="3864116A" w14:textId="77777777" w:rsidR="00B9643D" w:rsidRDefault="00B9643D" w:rsidP="002E1162">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bl>
      <w:tblPr>
        <w:tblStyle w:val="a2"/>
        <w:tblW w:w="14310"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25"/>
        <w:gridCol w:w="4485"/>
      </w:tblGrid>
      <w:tr w:rsidR="00B9643D" w14:paraId="0B375012" w14:textId="77777777">
        <w:trPr>
          <w:trHeight w:val="473"/>
        </w:trPr>
        <w:tc>
          <w:tcPr>
            <w:tcW w:w="9825" w:type="dxa"/>
            <w:tcBorders>
              <w:top w:val="single" w:sz="4" w:space="0" w:color="000000"/>
              <w:bottom w:val="single" w:sz="4" w:space="0" w:color="000000"/>
            </w:tcBorders>
            <w:shd w:val="clear" w:color="auto" w:fill="8EAADB"/>
            <w:vAlign w:val="center"/>
          </w:tcPr>
          <w:p w14:paraId="71FCF376" w14:textId="77777777" w:rsidR="00B9643D" w:rsidRDefault="00000000" w:rsidP="002E1162">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Expertiza</w:t>
            </w:r>
          </w:p>
        </w:tc>
        <w:tc>
          <w:tcPr>
            <w:tcW w:w="4485" w:type="dxa"/>
            <w:tcBorders>
              <w:top w:val="single" w:sz="4" w:space="0" w:color="000000"/>
              <w:bottom w:val="single" w:sz="4" w:space="0" w:color="000000"/>
            </w:tcBorders>
            <w:shd w:val="clear" w:color="auto" w:fill="8EAADB"/>
            <w:vAlign w:val="center"/>
          </w:tcPr>
          <w:p w14:paraId="1014DB8C" w14:textId="77777777" w:rsidR="00B9643D" w:rsidRDefault="00B9643D" w:rsidP="002E1162">
            <w:pPr>
              <w:spacing w:after="0" w:line="240" w:lineRule="auto"/>
              <w:jc w:val="both"/>
              <w:rPr>
                <w:rFonts w:ascii="Times New Roman" w:eastAsia="Times New Roman" w:hAnsi="Times New Roman" w:cs="Times New Roman"/>
                <w:b/>
                <w:bCs/>
                <w:sz w:val="24"/>
                <w:szCs w:val="24"/>
              </w:rPr>
            </w:pPr>
          </w:p>
        </w:tc>
      </w:tr>
    </w:tbl>
    <w:p w14:paraId="64077D95" w14:textId="77777777" w:rsidR="00B9643D" w:rsidRDefault="00B9643D" w:rsidP="002E1162">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bl>
      <w:tblPr>
        <w:tblStyle w:val="a3"/>
        <w:tblW w:w="14344" w:type="dxa"/>
        <w:tblInd w:w="-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2551"/>
        <w:gridCol w:w="709"/>
        <w:gridCol w:w="6122"/>
        <w:gridCol w:w="24"/>
        <w:gridCol w:w="4512"/>
      </w:tblGrid>
      <w:tr w:rsidR="00B9643D" w14:paraId="5A04A7C6" w14:textId="77777777" w:rsidTr="00CA3607">
        <w:tc>
          <w:tcPr>
            <w:tcW w:w="426" w:type="dxa"/>
            <w:shd w:val="clear" w:color="auto" w:fill="FFFFFF"/>
          </w:tcPr>
          <w:p w14:paraId="0E699C1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shd w:val="clear" w:color="auto" w:fill="FFFFFF"/>
          </w:tcPr>
          <w:p w14:paraId="0494F0FA" w14:textId="77777777" w:rsidR="00B9643D" w:rsidRDefault="00000000" w:rsidP="002E116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Centrul de Armonizare a Legislației</w:t>
            </w:r>
          </w:p>
          <w:p w14:paraId="60ED4E28" w14:textId="77777777" w:rsidR="00B9643D" w:rsidRDefault="00000000" w:rsidP="002E1162">
            <w:pPr>
              <w:rPr>
                <w:rFonts w:ascii="Times New Roman" w:eastAsia="Times New Roman" w:hAnsi="Times New Roman" w:cs="Times New Roman"/>
                <w:sz w:val="24"/>
                <w:szCs w:val="24"/>
              </w:rPr>
            </w:pPr>
            <w:r>
              <w:rPr>
                <w:rFonts w:ascii="Times New Roman" w:eastAsia="Times New Roman" w:hAnsi="Times New Roman" w:cs="Times New Roman"/>
                <w:sz w:val="24"/>
                <w:szCs w:val="24"/>
              </w:rPr>
              <w:t>Aviz nr.31/02-69-6987 din 16.06.2026</w:t>
            </w:r>
          </w:p>
        </w:tc>
        <w:tc>
          <w:tcPr>
            <w:tcW w:w="709" w:type="dxa"/>
            <w:tcBorders>
              <w:top w:val="single" w:sz="4" w:space="0" w:color="000000"/>
              <w:bottom w:val="single" w:sz="4" w:space="0" w:color="000000"/>
            </w:tcBorders>
            <w:shd w:val="clear" w:color="auto" w:fill="FFFFFF"/>
          </w:tcPr>
          <w:p w14:paraId="0ADC3C3C"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172</w:t>
            </w:r>
          </w:p>
        </w:tc>
        <w:tc>
          <w:tcPr>
            <w:tcW w:w="6122" w:type="dxa"/>
            <w:tcBorders>
              <w:top w:val="single" w:sz="4" w:space="0" w:color="000000"/>
              <w:bottom w:val="single" w:sz="4" w:space="0" w:color="000000"/>
              <w:right w:val="single" w:sz="4" w:space="0" w:color="000000"/>
            </w:tcBorders>
            <w:shd w:val="clear" w:color="auto" w:fill="FFFFFF"/>
          </w:tcPr>
          <w:p w14:paraId="3DFF8C42"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Centrul de armonizare a legislației, analizând proiectul de Lege pentru modificarea unor acte normative (pentru promovarea economiei digitale și a comerțului electronic), comunică următoarele.</w:t>
            </w:r>
          </w:p>
          <w:p w14:paraId="0FB49E3D"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Proiectul vizează modificarea a 8 acte normative: Legea nr. 880/1992 privind Fondul Arhivistic al Republicii Moldova, Codul Fiscal nr. 1163/1997, Legea nr. 220/2007 privind înregistrarea de stat a persoanelor juridice și a întreprinzătorilor individuali, Legea nr. 114/2012 cu privire la serviciile de plată și moneda electronică, Legea nr. 133/2016 privind declararea averii și a intereselor personale, Legea nr. </w:t>
            </w:r>
            <w:r>
              <w:rPr>
                <w:rFonts w:ascii="Times New Roman" w:eastAsia="Times New Roman" w:hAnsi="Times New Roman" w:cs="Times New Roman"/>
                <w:sz w:val="24"/>
                <w:szCs w:val="24"/>
              </w:rPr>
              <w:lastRenderedPageBreak/>
              <w:t>308/2017 cu privire la prevenirea și combaterea spălării banilor și finanțării terorismului, Legea nr. 174/2021 privind mecanismul de examinare a investițiilor de importanță pentru securitatea statului și Legea nr. 105/2023 privind protecția consumatorilor în vederea promovării economiei digitale și a comerțului electronic.</w:t>
            </w:r>
          </w:p>
          <w:p w14:paraId="1F2750F8" w14:textId="77777777" w:rsidR="00B9643D" w:rsidRDefault="00B9643D" w:rsidP="002E1162">
            <w:pPr>
              <w:pBdr>
                <w:top w:val="nil"/>
                <w:left w:val="nil"/>
                <w:bottom w:val="nil"/>
                <w:right w:val="nil"/>
                <w:between w:val="nil"/>
              </w:pBdr>
              <w:jc w:val="both"/>
              <w:rPr>
                <w:rFonts w:ascii="Times New Roman" w:eastAsia="Times New Roman" w:hAnsi="Times New Roman" w:cs="Times New Roman"/>
                <w:color w:val="000000"/>
                <w:sz w:val="24"/>
                <w:szCs w:val="24"/>
              </w:rPr>
            </w:pPr>
          </w:p>
          <w:p w14:paraId="425A0685"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Astfel, examinând proiectul național prin prisma actelor UE relevante fiecărui domeniu de intervenție, expunem următoarele: </w:t>
            </w:r>
          </w:p>
          <w:p w14:paraId="12B900A6"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 Cu privire la modificarea Legii nr. 880/1992 privind Fondul Arhivistic al Republicii Moldova (Art. I din proiect) — păstrarea și distrugerea documentelor electronice </w:t>
            </w:r>
          </w:p>
          <w:p w14:paraId="5E5A9C19"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Prevederile naționale prin care se introduce posibilitatea utilizării serviciilor de arhivă electronică prestate de prestatori de servicii de încredere calificați (art. 21¹) prezintă relevanță prin raportare la </w:t>
            </w:r>
            <w:r>
              <w:rPr>
                <w:rFonts w:ascii="Times New Roman" w:eastAsia="Times New Roman" w:hAnsi="Times New Roman" w:cs="Times New Roman"/>
                <w:b/>
                <w:bCs/>
                <w:sz w:val="24"/>
                <w:szCs w:val="24"/>
              </w:rPr>
              <w:t xml:space="preserve">Regulamentul (UE) nr. 910/2014 al Parlamentului European și al Consiliului din 23 iulie 2014 </w:t>
            </w:r>
            <w:r>
              <w:rPr>
                <w:rFonts w:ascii="Times New Roman" w:eastAsia="Times New Roman" w:hAnsi="Times New Roman" w:cs="Times New Roman"/>
                <w:sz w:val="24"/>
                <w:szCs w:val="24"/>
              </w:rPr>
              <w:t>privind identificarea electronică și serviciile de încredere pentru tranzacțiile electronice pe piața internă (</w:t>
            </w:r>
            <w:proofErr w:type="spellStart"/>
            <w:r>
              <w:rPr>
                <w:rFonts w:ascii="Times New Roman" w:eastAsia="Times New Roman" w:hAnsi="Times New Roman" w:cs="Times New Roman"/>
                <w:sz w:val="24"/>
                <w:szCs w:val="24"/>
              </w:rPr>
              <w:t>eIDAS</w:t>
            </w:r>
            <w:proofErr w:type="spellEnd"/>
            <w:r>
              <w:rPr>
                <w:rFonts w:ascii="Times New Roman" w:eastAsia="Times New Roman" w:hAnsi="Times New Roman" w:cs="Times New Roman"/>
                <w:sz w:val="24"/>
                <w:szCs w:val="24"/>
              </w:rPr>
              <w:t>), astfel cum a fost modificat prin Regulamentul (UE) 2024/1183 (</w:t>
            </w:r>
            <w:proofErr w:type="spellStart"/>
            <w:r>
              <w:rPr>
                <w:rFonts w:ascii="Times New Roman" w:eastAsia="Times New Roman" w:hAnsi="Times New Roman" w:cs="Times New Roman"/>
                <w:sz w:val="24"/>
                <w:szCs w:val="24"/>
              </w:rPr>
              <w:t>eIDAS</w:t>
            </w:r>
            <w:proofErr w:type="spellEnd"/>
            <w:r>
              <w:rPr>
                <w:rFonts w:ascii="Times New Roman" w:eastAsia="Times New Roman" w:hAnsi="Times New Roman" w:cs="Times New Roman"/>
                <w:sz w:val="24"/>
                <w:szCs w:val="24"/>
              </w:rPr>
              <w:t xml:space="preserve"> 2.0), care a introdus serviciul calificat de arhivare electronică în categoria serviciilor de încredere (art. 45g), cerințele specifice fiind stabilite la art. 45j (asigurarea durabilității și lizibilității datelor și documentelor electronice dincolo de perioada de valabilitate tehnologică și cel puțin pe durata perioadei legale sau contractuale de păstrare, cu menținerea integrității și a exactității originii).</w:t>
            </w:r>
          </w:p>
          <w:p w14:paraId="552342F9" w14:textId="77777777" w:rsidR="00B9643D" w:rsidRDefault="00B9643D" w:rsidP="002E1162">
            <w:pPr>
              <w:pBdr>
                <w:top w:val="nil"/>
                <w:left w:val="nil"/>
                <w:bottom w:val="nil"/>
                <w:right w:val="nil"/>
                <w:between w:val="nil"/>
              </w:pBdr>
              <w:jc w:val="both"/>
              <w:rPr>
                <w:rFonts w:ascii="Times New Roman" w:eastAsia="Times New Roman" w:hAnsi="Times New Roman" w:cs="Times New Roman"/>
                <w:color w:val="000000"/>
                <w:sz w:val="24"/>
                <w:szCs w:val="24"/>
              </w:rPr>
            </w:pPr>
          </w:p>
          <w:p w14:paraId="44CD26C5"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Astfel, soluția națională propusă </w:t>
            </w:r>
            <w:r>
              <w:rPr>
                <w:rFonts w:ascii="Times New Roman" w:eastAsia="Times New Roman" w:hAnsi="Times New Roman" w:cs="Times New Roman"/>
                <w:b/>
                <w:bCs/>
                <w:sz w:val="24"/>
                <w:szCs w:val="24"/>
              </w:rPr>
              <w:t xml:space="preserve">este compatibilă </w:t>
            </w:r>
            <w:r>
              <w:rPr>
                <w:rFonts w:ascii="Times New Roman" w:eastAsia="Times New Roman" w:hAnsi="Times New Roman" w:cs="Times New Roman"/>
                <w:b/>
                <w:bCs/>
                <w:i/>
                <w:iCs/>
                <w:sz w:val="24"/>
                <w:szCs w:val="24"/>
              </w:rPr>
              <w:t xml:space="preserve">per general </w:t>
            </w:r>
            <w:r>
              <w:rPr>
                <w:rFonts w:ascii="Times New Roman" w:eastAsia="Times New Roman" w:hAnsi="Times New Roman" w:cs="Times New Roman"/>
                <w:b/>
                <w:bCs/>
                <w:sz w:val="24"/>
                <w:szCs w:val="24"/>
              </w:rPr>
              <w:t>cu actul UE</w:t>
            </w:r>
            <w:r>
              <w:rPr>
                <w:rFonts w:ascii="Times New Roman" w:eastAsia="Times New Roman" w:hAnsi="Times New Roman" w:cs="Times New Roman"/>
                <w:sz w:val="24"/>
                <w:szCs w:val="24"/>
              </w:rPr>
              <w:t xml:space="preserve">, iar standardele minime privind integritatea, autenticitatea, disponibilitatea și trasabilitatea (art. 21¹, alin. (2)) corespund cerințelor art. 45j din Regulamentul (UE) nr. 910/2014. Atragem, însă, atenția asupra neconcordanței terminologice ori proiectul utilizează sintagma „prestatori de servicii de încredere calificați, </w:t>
            </w:r>
            <w:r>
              <w:rPr>
                <w:rFonts w:ascii="Times New Roman" w:eastAsia="Times New Roman" w:hAnsi="Times New Roman" w:cs="Times New Roman"/>
                <w:sz w:val="24"/>
                <w:szCs w:val="24"/>
              </w:rPr>
              <w:lastRenderedPageBreak/>
              <w:t>acreditați”, iar dreptul UE și legislația națională de transpunere, în speță, Legea nr. 124/2022 privind identificarea electronică și serviciile de încredere operează cu noțiunea de prestator de servicii de încredere „calificat”, statutul calificat fiind acordat de organul de supraveghere, nu printr-o „acreditare”. În context, propunem eliminarea sintagmei „acreditați” și corelarea expresă cu Legea nr. 124/2022, pentru evitarea ambiguității privind regimul juridic aplicabil prestatorului.</w:t>
            </w:r>
          </w:p>
        </w:tc>
        <w:tc>
          <w:tcPr>
            <w:tcW w:w="4536" w:type="dxa"/>
            <w:gridSpan w:val="2"/>
            <w:tcBorders>
              <w:top w:val="single" w:sz="4" w:space="0" w:color="000000"/>
              <w:left w:val="single" w:sz="4" w:space="0" w:color="000000"/>
              <w:bottom w:val="single" w:sz="4" w:space="0" w:color="000000"/>
              <w:right w:val="single" w:sz="4" w:space="0" w:color="000000"/>
            </w:tcBorders>
          </w:tcPr>
          <w:p w14:paraId="0D55250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1679CEF1"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(excluderea sintagmei „acreditați”)</w:t>
            </w:r>
          </w:p>
        </w:tc>
      </w:tr>
      <w:tr w:rsidR="00B9643D" w14:paraId="12E0231D" w14:textId="77777777" w:rsidTr="00CA3607">
        <w:tc>
          <w:tcPr>
            <w:tcW w:w="426" w:type="dxa"/>
            <w:shd w:val="clear" w:color="auto" w:fill="FFFFFF"/>
          </w:tcPr>
          <w:p w14:paraId="7FA547EB"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shd w:val="clear" w:color="auto" w:fill="FFFFFF"/>
          </w:tcPr>
          <w:p w14:paraId="02C4FF48"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bottom w:val="single" w:sz="4" w:space="0" w:color="000000"/>
              <w:right w:val="single" w:sz="4" w:space="0" w:color="000000"/>
            </w:tcBorders>
            <w:shd w:val="clear" w:color="auto" w:fill="FFFFFF"/>
          </w:tcPr>
          <w:p w14:paraId="5A8218D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173</w:t>
            </w:r>
          </w:p>
        </w:tc>
        <w:tc>
          <w:tcPr>
            <w:tcW w:w="614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BFFC5FA"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II. Cu privire la modificarea Codului fiscal nr. 1163/1997 (Art. II din proiect)</w:t>
            </w:r>
          </w:p>
          <w:p w14:paraId="2E5AD872"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Modificările privind regimul de impunere a persoanelor fizice care desfășoară comerț electronic (art. 69⁷) și taxa pentru unitățile comerciale (art. 291) vizează impozitarea directă și fiscalitatea locală, domenii care, nu fac obiectul armonizării la nivelul Uniunii Europene, rămânând în competența statelor membre. Sub acest aspect, prevederile în cauză nu ridică careva probleme de compatibilitate cu acquis-</w:t>
            </w:r>
            <w:proofErr w:type="spellStart"/>
            <w:r>
              <w:rPr>
                <w:rFonts w:ascii="Times New Roman" w:eastAsia="Times New Roman" w:hAnsi="Times New Roman" w:cs="Times New Roman"/>
                <w:sz w:val="24"/>
                <w:szCs w:val="24"/>
              </w:rPr>
              <w:t>ul</w:t>
            </w:r>
            <w:proofErr w:type="spellEnd"/>
            <w:r>
              <w:rPr>
                <w:rFonts w:ascii="Times New Roman" w:eastAsia="Times New Roman" w:hAnsi="Times New Roman" w:cs="Times New Roman"/>
                <w:sz w:val="24"/>
                <w:szCs w:val="24"/>
              </w:rPr>
              <w:t xml:space="preserve"> UE.</w:t>
            </w:r>
          </w:p>
          <w:p w14:paraId="62E3216F" w14:textId="77777777" w:rsidR="00B9643D" w:rsidRDefault="00000000" w:rsidP="002E1162">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Cu referire la Art. II, pct. 2, modificarea art. 103, alin. (1) pct. 13, privind scutirea de TVA a serviciilor poștale universale, prezintă relevanță Directiva 2006/112/CE a Consiliului din 28 noiembrie 2006 privind sistemul comun al taxei pe valoarea adăugată, care, la art. 132 (1) lit. (a) prevede scutirea prestărilor de servicii efectuate de serviciile poștale publice. Astfel, norma propusă, care circumscrie scutirea serviciilor poștale universale prestate de furnizorul de servicii poștale universale, este compatibilă cu conceptul scutirii din dreptul UE, care vizează serviciul universal, ci nu serviciile poștale prestate în condiții concurențiale.</w:t>
            </w:r>
          </w:p>
          <w:p w14:paraId="6E2E51F9" w14:textId="77777777" w:rsidR="00CA3607" w:rsidRDefault="00CA3607" w:rsidP="002E1162">
            <w:pPr>
              <w:shd w:val="clear" w:color="auto" w:fill="FFFFFF"/>
              <w:rPr>
                <w:rFonts w:ascii="Times New Roman" w:eastAsia="Times New Roman" w:hAnsi="Times New Roman" w:cs="Times New Roman"/>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020B9F05"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ia act.</w:t>
            </w:r>
          </w:p>
        </w:tc>
      </w:tr>
      <w:tr w:rsidR="00B9643D" w14:paraId="028B1686" w14:textId="77777777" w:rsidTr="00CA3607">
        <w:tc>
          <w:tcPr>
            <w:tcW w:w="426" w:type="dxa"/>
            <w:shd w:val="clear" w:color="auto" w:fill="FFFFFF"/>
          </w:tcPr>
          <w:p w14:paraId="3BAFCE0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shd w:val="clear" w:color="auto" w:fill="FFFFFF"/>
          </w:tcPr>
          <w:p w14:paraId="627FBFC1"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bottom w:val="single" w:sz="4" w:space="0" w:color="000000"/>
              <w:right w:val="single" w:sz="4" w:space="0" w:color="000000"/>
            </w:tcBorders>
            <w:shd w:val="clear" w:color="auto" w:fill="FFFFFF"/>
          </w:tcPr>
          <w:p w14:paraId="59EC277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174</w:t>
            </w:r>
          </w:p>
        </w:tc>
        <w:tc>
          <w:tcPr>
            <w:tcW w:w="6146" w:type="dxa"/>
            <w:gridSpan w:val="2"/>
            <w:tcBorders>
              <w:top w:val="single" w:sz="4" w:space="0" w:color="000000"/>
              <w:left w:val="single" w:sz="4" w:space="0" w:color="000000"/>
              <w:bottom w:val="single" w:sz="4" w:space="0" w:color="000000"/>
              <w:right w:val="single" w:sz="4" w:space="0" w:color="000000"/>
            </w:tcBorders>
            <w:shd w:val="clear" w:color="auto" w:fill="FFFFFF"/>
          </w:tcPr>
          <w:p w14:paraId="53B26CE6"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III. Cu privire la modificarea Legii nr. 220/2007 privind înregistrarea de stat a persoanelor juridice și a întreprinzătorilor individuali (Art. III din proiect) </w:t>
            </w:r>
          </w:p>
          <w:p w14:paraId="489B09A7" w14:textId="77777777" w:rsidR="00B9643D" w:rsidRDefault="00000000" w:rsidP="002E1162">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Introducerea posibilității verificării gratuite, în regim online, a denumirii propuse anterior înregistrării persoanei juridice (art. 9, alin. (7)) se înscrie în obiectivele de digitalizare a dreptului </w:t>
            </w:r>
            <w:r>
              <w:rPr>
                <w:rFonts w:ascii="Times New Roman" w:eastAsia="Times New Roman" w:hAnsi="Times New Roman" w:cs="Times New Roman"/>
                <w:sz w:val="24"/>
                <w:szCs w:val="24"/>
              </w:rPr>
              <w:lastRenderedPageBreak/>
              <w:t xml:space="preserve">societar, reflectate de </w:t>
            </w:r>
            <w:r>
              <w:rPr>
                <w:rFonts w:ascii="Times New Roman" w:eastAsia="Times New Roman" w:hAnsi="Times New Roman" w:cs="Times New Roman"/>
                <w:b/>
                <w:bCs/>
                <w:sz w:val="24"/>
                <w:szCs w:val="24"/>
              </w:rPr>
              <w:t xml:space="preserve">Directiva (UE) 2017/1132 a Parlamentului European și a Consiliului din 14 iunie 2017 </w:t>
            </w:r>
            <w:r>
              <w:rPr>
                <w:rFonts w:ascii="Times New Roman" w:eastAsia="Times New Roman" w:hAnsi="Times New Roman" w:cs="Times New Roman"/>
                <w:sz w:val="24"/>
                <w:szCs w:val="24"/>
              </w:rPr>
              <w:t xml:space="preserve">privind anumite aspecte ale dreptului societăților comerciale (text codificat), astfel cum a fost modificată prin Directiva (UE) 2019/1151 în ceea ce privește utilizarea instrumentelor și a proceselor digitale în dreptul societăților comerciale. Directiva promovează constituirea și înregistrarea integral online a societăților, inclusiv, verificarea legalității și a denumirii societății, în măsura în care astfel de controale sunt prevăzute de dreptul național. Astfel, soluția propusă de proiect </w:t>
            </w:r>
            <w:r>
              <w:rPr>
                <w:rFonts w:ascii="Times New Roman" w:eastAsia="Times New Roman" w:hAnsi="Times New Roman" w:cs="Times New Roman"/>
                <w:b/>
                <w:bCs/>
                <w:sz w:val="24"/>
                <w:szCs w:val="24"/>
              </w:rPr>
              <w:t>este în acord cu aceste cerințe UE</w:t>
            </w:r>
            <w:r>
              <w:rPr>
                <w:rFonts w:ascii="Times New Roman" w:eastAsia="Times New Roman" w:hAnsi="Times New Roman" w:cs="Times New Roman"/>
                <w:sz w:val="24"/>
                <w:szCs w:val="24"/>
              </w:rPr>
              <w:t>.</w:t>
            </w:r>
          </w:p>
          <w:p w14:paraId="7F0892A3" w14:textId="77777777" w:rsidR="00CA3607" w:rsidRDefault="00CA3607" w:rsidP="002E1162">
            <w:pPr>
              <w:shd w:val="clear" w:color="auto" w:fill="FFFFFF"/>
              <w:jc w:val="both"/>
              <w:rPr>
                <w:rFonts w:ascii="Times New Roman" w:eastAsia="Times New Roman" w:hAnsi="Times New Roman" w:cs="Times New Roman"/>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06EE645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tc>
      </w:tr>
      <w:tr w:rsidR="00B9643D" w14:paraId="73EBB675" w14:textId="77777777" w:rsidTr="00CA3607">
        <w:tc>
          <w:tcPr>
            <w:tcW w:w="426" w:type="dxa"/>
            <w:shd w:val="clear" w:color="auto" w:fill="FFFFFF"/>
          </w:tcPr>
          <w:p w14:paraId="2CEBD4C5"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shd w:val="clear" w:color="auto" w:fill="FFFFFF"/>
          </w:tcPr>
          <w:p w14:paraId="6E4E44FC"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bottom w:val="single" w:sz="4" w:space="0" w:color="000000"/>
              <w:right w:val="single" w:sz="4" w:space="0" w:color="000000"/>
            </w:tcBorders>
            <w:shd w:val="clear" w:color="auto" w:fill="FFFFFF"/>
          </w:tcPr>
          <w:p w14:paraId="4BB969F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175</w:t>
            </w:r>
          </w:p>
        </w:tc>
        <w:tc>
          <w:tcPr>
            <w:tcW w:w="6146" w:type="dxa"/>
            <w:gridSpan w:val="2"/>
            <w:tcBorders>
              <w:top w:val="single" w:sz="4" w:space="0" w:color="000000"/>
              <w:left w:val="single" w:sz="4" w:space="0" w:color="000000"/>
              <w:bottom w:val="single" w:sz="4" w:space="0" w:color="000000"/>
              <w:right w:val="single" w:sz="4" w:space="0" w:color="000000"/>
            </w:tcBorders>
            <w:shd w:val="clear" w:color="auto" w:fill="FFFFFF"/>
          </w:tcPr>
          <w:p w14:paraId="2322EA4B"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IV. Cu privire la modificarea Legii nr. 114/2012 cu privire la serviciile de plată și moneda electronică (Art. IV din proiect) — societățile de plată mici </w:t>
            </w:r>
          </w:p>
          <w:p w14:paraId="0D83169E"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Introducerea categoriei „societate de plată mică” transpune, în esență, regimul derogatoriu al instituțiilor de plată mici prevăzut la art. 32 din </w:t>
            </w:r>
            <w:r>
              <w:rPr>
                <w:rFonts w:ascii="Times New Roman" w:eastAsia="Times New Roman" w:hAnsi="Times New Roman" w:cs="Times New Roman"/>
                <w:b/>
                <w:bCs/>
                <w:color w:val="000000"/>
                <w:sz w:val="24"/>
                <w:szCs w:val="24"/>
              </w:rPr>
              <w:t xml:space="preserve">Directiva (UE) 2015/2366 a Parlamentului European și a Consiliului din 25 noiembrie 2015 </w:t>
            </w:r>
            <w:r>
              <w:rPr>
                <w:rFonts w:ascii="Times New Roman" w:eastAsia="Times New Roman" w:hAnsi="Times New Roman" w:cs="Times New Roman"/>
                <w:color w:val="000000"/>
                <w:sz w:val="24"/>
                <w:szCs w:val="24"/>
              </w:rPr>
              <w:t>privind serviciile de plată în cadrul pieței interne. Pragul stabilit la art. 23², alin. (1) lit. b) din proiect - media lunară a valorii totale a operațiunilor de plată în ultimele 12 luni de cel mult 3 000 000 EUR corespunde pragului maxim prevăzut la art. 32 (1) lit. (a) din Directiva UE. De asemenea, limitarea activității exclusiv pe teritoriul Republicii Moldova și excluderea de la prestarea anumitor servicii sunt compatibile cu regimul UE derogatoriu, întrucât persoanele exceptate în temeiul art. 32 nu beneficiază de libertatea de stabilire/prestare transfrontalieră (art. 32 (3) din Directivă). Mai mult, obligația de înregistrare la Banca Națională (art. 23³) corespunde art. 32 (3) și art. 33 din Directiva 2015/2366.</w:t>
            </w:r>
          </w:p>
          <w:p w14:paraId="46287666"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 referire la modificarea art. 59, prin completarea cu alin. (9), referitor la rambursarea operațiunilor de plată autorizate inițiate prin intermediul beneficiarului plății, atragem atenția asupra unui risc de incompatibilitate cu art. 76 și art. 77 din Directiva UE (transpuse prin art. 59 din Legea nr. 114/2012). Astfel, Dreptul UE condiționează rambursarea exclusiv de </w:t>
            </w:r>
            <w:r>
              <w:rPr>
                <w:rFonts w:ascii="Times New Roman" w:eastAsia="Times New Roman" w:hAnsi="Times New Roman" w:cs="Times New Roman"/>
                <w:color w:val="000000"/>
                <w:sz w:val="24"/>
                <w:szCs w:val="24"/>
              </w:rPr>
              <w:lastRenderedPageBreak/>
              <w:t>criteriile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prevăzute la art. 76 (1) din Directiva UE (autorizarea nu a indicat suma exactă, iar suma a depășit-o pe cea la care plătitorul s-ar fi putut aștepta în mod rezonabil), iar dreptul la rambursare al operațiunii de plată este distinct și independent de litigiul comercial dintre plătitor și beneficiar. Astfel, condiționarea rambursării de evaluarea, de către prestatorul de servicii de plată, a modului în care au fost livrate bunurile sau prestate serviciile introduce un temei de refuz suplimentar care nu este prevăzut expres de actul UE. Astfel, </w:t>
            </w:r>
            <w:r>
              <w:rPr>
                <w:rFonts w:ascii="Times New Roman" w:eastAsia="Times New Roman" w:hAnsi="Times New Roman" w:cs="Times New Roman"/>
                <w:b/>
                <w:bCs/>
                <w:color w:val="000000"/>
                <w:sz w:val="24"/>
                <w:szCs w:val="24"/>
              </w:rPr>
              <w:t xml:space="preserve">se impune revizuirea art. 59 alin. (9) din proiect </w:t>
            </w:r>
            <w:r>
              <w:rPr>
                <w:rFonts w:ascii="Times New Roman" w:eastAsia="Times New Roman" w:hAnsi="Times New Roman" w:cs="Times New Roman"/>
                <w:color w:val="000000"/>
                <w:sz w:val="24"/>
                <w:szCs w:val="24"/>
              </w:rPr>
              <w:t>astfel încât temeiurile de refuz al rambursării să fie strict circumscrise condițiilor de la art. 76 (1) din Directiva UE, iar eventualele neînțelegeri privind executarea contractului comercial să fie tratate separat, prin trimitere la legislația civilă și de protecție a consumatorilor, fără a afecta regimul armonizat al rambursării.</w:t>
            </w:r>
          </w:p>
          <w:p w14:paraId="790756EE" w14:textId="77777777" w:rsidR="00CA3607" w:rsidRDefault="00CA3607" w:rsidP="002E1162">
            <w:pPr>
              <w:pBdr>
                <w:top w:val="nil"/>
                <w:left w:val="nil"/>
                <w:bottom w:val="nil"/>
                <w:right w:val="nil"/>
                <w:between w:val="nil"/>
              </w:pBdr>
              <w:jc w:val="both"/>
              <w:rPr>
                <w:rFonts w:ascii="Times New Roman" w:eastAsia="Times New Roman" w:hAnsi="Times New Roman" w:cs="Times New Roman"/>
                <w:b/>
                <w:bCs/>
                <w:color w:val="000000"/>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299ED6C2"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p w14:paraId="4DA19257" w14:textId="77777777" w:rsidR="00B9643D" w:rsidRDefault="00B9643D" w:rsidP="002E1162">
            <w:pPr>
              <w:jc w:val="both"/>
              <w:rPr>
                <w:rFonts w:ascii="Times New Roman" w:eastAsia="Times New Roman" w:hAnsi="Times New Roman" w:cs="Times New Roman"/>
                <w:sz w:val="24"/>
                <w:szCs w:val="24"/>
              </w:rPr>
            </w:pPr>
          </w:p>
          <w:p w14:paraId="4A77E07B" w14:textId="77777777" w:rsidR="00B9643D" w:rsidRDefault="00000000" w:rsidP="002E116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Amendamentul a fost retras. A se vedea argumentarea la pct. 8.</w:t>
            </w:r>
          </w:p>
        </w:tc>
      </w:tr>
      <w:tr w:rsidR="00B9643D" w14:paraId="57A9FE18" w14:textId="77777777" w:rsidTr="00CA3607">
        <w:tc>
          <w:tcPr>
            <w:tcW w:w="426" w:type="dxa"/>
            <w:shd w:val="clear" w:color="auto" w:fill="FFFFFF"/>
          </w:tcPr>
          <w:p w14:paraId="34C3964C"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shd w:val="clear" w:color="auto" w:fill="FFFFFF"/>
          </w:tcPr>
          <w:p w14:paraId="4E69BBBF"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bottom w:val="single" w:sz="4" w:space="0" w:color="000000"/>
              <w:right w:val="single" w:sz="4" w:space="0" w:color="000000"/>
            </w:tcBorders>
            <w:shd w:val="clear" w:color="auto" w:fill="FFFFFF"/>
          </w:tcPr>
          <w:p w14:paraId="49547BEE"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176</w:t>
            </w:r>
          </w:p>
        </w:tc>
        <w:tc>
          <w:tcPr>
            <w:tcW w:w="614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2348BB"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V. Cu privire la modificarea Legii nr. 133/2016 privind declararea averii și a intereselor personale (Art. V din proiect) </w:t>
            </w:r>
          </w:p>
          <w:p w14:paraId="1EF1B2E7"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Modificarea art. 7, alin. (2) din proiect, care permite subiecților declarării utilizarea oricărei semnături electronice calificate emise de un prestator de servicii de încredere calificat înscris în Registru este </w:t>
            </w:r>
            <w:r>
              <w:rPr>
                <w:rFonts w:ascii="Times New Roman" w:eastAsia="Times New Roman" w:hAnsi="Times New Roman" w:cs="Times New Roman"/>
                <w:b/>
                <w:bCs/>
                <w:color w:val="000000"/>
                <w:sz w:val="24"/>
                <w:szCs w:val="24"/>
              </w:rPr>
              <w:t>compatibilă cu Regulamentul (UE) nr. 910/2014 (</w:t>
            </w:r>
            <w:proofErr w:type="spellStart"/>
            <w:r>
              <w:rPr>
                <w:rFonts w:ascii="Times New Roman" w:eastAsia="Times New Roman" w:hAnsi="Times New Roman" w:cs="Times New Roman"/>
                <w:b/>
                <w:bCs/>
                <w:color w:val="000000"/>
                <w:sz w:val="24"/>
                <w:szCs w:val="24"/>
              </w:rPr>
              <w:t>eIDAS</w:t>
            </w:r>
            <w:proofErr w:type="spellEnd"/>
            <w:r>
              <w:rPr>
                <w:rFonts w:ascii="Times New Roman" w:eastAsia="Times New Roman" w:hAnsi="Times New Roman" w:cs="Times New Roman"/>
                <w:color w:val="000000"/>
                <w:sz w:val="24"/>
                <w:szCs w:val="24"/>
              </w:rPr>
              <w:t xml:space="preserve">), în special, cu </w:t>
            </w:r>
            <w:r>
              <w:rPr>
                <w:rFonts w:ascii="Times New Roman" w:eastAsia="Times New Roman" w:hAnsi="Times New Roman" w:cs="Times New Roman"/>
                <w:b/>
                <w:bCs/>
                <w:color w:val="000000"/>
                <w:sz w:val="24"/>
                <w:szCs w:val="24"/>
              </w:rPr>
              <w:t xml:space="preserve">art. 25 </w:t>
            </w:r>
            <w:r>
              <w:rPr>
                <w:rFonts w:ascii="Times New Roman" w:eastAsia="Times New Roman" w:hAnsi="Times New Roman" w:cs="Times New Roman"/>
                <w:color w:val="000000"/>
                <w:sz w:val="24"/>
                <w:szCs w:val="24"/>
              </w:rPr>
              <w:t>(efectele juridice ale semnăturilor electronice) și art. 27 (semnăturile electronice în serviciile publice), precum și cu principiul nediscriminării și al interoperabilității. Prevederea potrivit căreia acordarea cu titlu gratuit a semnăturilor electronice calificate nu aduce atingere dreptului de a utiliza alte semnături electronice calificate corespunde cerinței Regulamentului 910/2014/UE de a nu institui restricții care ar limita utilizarea semnăturilor calificate emise de prestatori calificați.</w:t>
            </w:r>
          </w:p>
          <w:p w14:paraId="69A9FDA8" w14:textId="77777777" w:rsidR="00CA3607" w:rsidRDefault="00CA3607" w:rsidP="002E1162">
            <w:pPr>
              <w:pBdr>
                <w:top w:val="nil"/>
                <w:left w:val="nil"/>
                <w:bottom w:val="nil"/>
                <w:right w:val="nil"/>
                <w:between w:val="nil"/>
              </w:pBdr>
              <w:jc w:val="both"/>
              <w:rPr>
                <w:rFonts w:ascii="Times New Roman" w:eastAsia="Times New Roman" w:hAnsi="Times New Roman" w:cs="Times New Roman"/>
                <w:b/>
                <w:bCs/>
                <w:color w:val="000000"/>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3974FA1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ia act.</w:t>
            </w:r>
          </w:p>
        </w:tc>
      </w:tr>
      <w:tr w:rsidR="00B9643D" w14:paraId="1AD62921" w14:textId="77777777" w:rsidTr="00CA3607">
        <w:tc>
          <w:tcPr>
            <w:tcW w:w="426" w:type="dxa"/>
            <w:shd w:val="clear" w:color="auto" w:fill="FFFFFF"/>
          </w:tcPr>
          <w:p w14:paraId="2F85C718"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shd w:val="clear" w:color="auto" w:fill="FFFFFF"/>
          </w:tcPr>
          <w:p w14:paraId="3A33BE88"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bottom w:val="single" w:sz="4" w:space="0" w:color="000000"/>
              <w:right w:val="single" w:sz="4" w:space="0" w:color="000000"/>
            </w:tcBorders>
            <w:shd w:val="clear" w:color="auto" w:fill="FFFFFF"/>
          </w:tcPr>
          <w:p w14:paraId="6E2146F0"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177</w:t>
            </w:r>
          </w:p>
        </w:tc>
        <w:tc>
          <w:tcPr>
            <w:tcW w:w="6146"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AB55BC"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VI. Cu privire la modificarea Legii nr. 308/2017 cu privire la prevenirea și combaterea spălării banilor și finanțării terorismului (Art. VI din proiect) </w:t>
            </w:r>
          </w:p>
          <w:p w14:paraId="0104BA2F"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Modificările propuse prezintă relevanță prin raportare la cadrul UE în materie - </w:t>
            </w:r>
            <w:r>
              <w:rPr>
                <w:rFonts w:ascii="Times New Roman" w:eastAsia="Times New Roman" w:hAnsi="Times New Roman" w:cs="Times New Roman"/>
                <w:b/>
                <w:bCs/>
                <w:color w:val="000000"/>
                <w:sz w:val="24"/>
                <w:szCs w:val="24"/>
              </w:rPr>
              <w:t xml:space="preserve">Directiva (UE) 2015/849 a Parlamentului European și a Consiliului din 20 mai 2015 </w:t>
            </w:r>
            <w:r>
              <w:rPr>
                <w:rFonts w:ascii="Times New Roman" w:eastAsia="Times New Roman" w:hAnsi="Times New Roman" w:cs="Times New Roman"/>
                <w:color w:val="000000"/>
                <w:sz w:val="24"/>
                <w:szCs w:val="24"/>
              </w:rPr>
              <w:t>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(Text cu relevanță pentru SEE), astfel cum a fost modificată prin Directiva (UE) 2018/843 (a cincea directivă AML), precum și cu noul pachet legislativ AML - Regulamentul (UE) 2024/1624 (AMLR) și Directiva (UE) 2024/1640 (a șasea directivă AML), aplicabil, ca regulă, din 10 iulie 2027. Consacrarea expresă a abordării bazate pe risc și a principiului proporționalității (modificarea art. 5), introducerea categoriei „entitate raportoare de dimensiuni mici” și posibilitatea unor cerințe simplificate (art. 4, alin. (1²), art. 6, alin. (13)) sunt compatibile cu actele UE relevante, întrucât proporționalitatea și măsurile simplificate sunt recunoscute de Directiva (UE) 2015/849 și consolidate de actele de modificare ulterioare.</w:t>
            </w:r>
          </w:p>
          <w:p w14:paraId="0D474EEF"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Mecanismul de raportare a discrepanțelor privind beneficiarul efectiv (modificarea art. 5²) este compatibil cu obligația de semnalare a neconcordanțelor prevăzută la art. 30 (4) și art. 61 din Directiva (UE) 2015/849.</w:t>
            </w:r>
          </w:p>
          <w:p w14:paraId="2D6748FC" w14:textId="77777777" w:rsidR="00CA3607" w:rsidRDefault="00CA3607" w:rsidP="002E1162">
            <w:pPr>
              <w:pBdr>
                <w:top w:val="nil"/>
                <w:left w:val="nil"/>
                <w:bottom w:val="nil"/>
                <w:right w:val="nil"/>
                <w:between w:val="nil"/>
              </w:pBdr>
              <w:jc w:val="both"/>
              <w:rPr>
                <w:rFonts w:ascii="Times New Roman" w:eastAsia="Times New Roman" w:hAnsi="Times New Roman" w:cs="Times New Roman"/>
                <w:b/>
                <w:bCs/>
                <w:color w:val="000000"/>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6E67AFF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tc>
      </w:tr>
      <w:tr w:rsidR="00B9643D" w14:paraId="2471185F" w14:textId="77777777" w:rsidTr="00CA3607">
        <w:tc>
          <w:tcPr>
            <w:tcW w:w="426" w:type="dxa"/>
            <w:shd w:val="clear" w:color="auto" w:fill="FFFFFF"/>
          </w:tcPr>
          <w:p w14:paraId="24F48E10"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shd w:val="clear" w:color="auto" w:fill="FFFFFF"/>
          </w:tcPr>
          <w:p w14:paraId="54FAC2B2"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bottom w:val="single" w:sz="4" w:space="0" w:color="000000"/>
              <w:right w:val="single" w:sz="4" w:space="0" w:color="000000"/>
            </w:tcBorders>
            <w:shd w:val="clear" w:color="auto" w:fill="FFFFFF"/>
          </w:tcPr>
          <w:p w14:paraId="330BFA0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178</w:t>
            </w:r>
          </w:p>
        </w:tc>
        <w:tc>
          <w:tcPr>
            <w:tcW w:w="6146" w:type="dxa"/>
            <w:gridSpan w:val="2"/>
            <w:tcBorders>
              <w:top w:val="single" w:sz="4" w:space="0" w:color="000000"/>
              <w:left w:val="single" w:sz="4" w:space="0" w:color="000000"/>
              <w:bottom w:val="single" w:sz="4" w:space="0" w:color="000000"/>
              <w:right w:val="single" w:sz="4" w:space="0" w:color="000000"/>
            </w:tcBorders>
            <w:shd w:val="clear" w:color="auto" w:fill="FFFFFF"/>
          </w:tcPr>
          <w:p w14:paraId="6D84F1A8"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VII. Cu privire la modificarea Legii nr. 174/2021 privind mecanismul de examinare a investițiilor de importanță pentru securitatea statului (Art. VII din proiect)</w:t>
            </w:r>
          </w:p>
          <w:p w14:paraId="20379C90"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Introducerea noțiunii de „tehnologie critică” și a domeniilor tehnologice aferente (art. 2 și art. 4) prezintă relevanță prin raportare la Regulamentul (UE) 2019/452 al Parlamentului European și al Consiliului din 19 martie 2019 de stabilire a unui cadru pentru examinarea investițiilor străine directe în Uniune și la Recomandarea Comisiei C(2023) 6689 din 3 octombrie 2023 privind domeniile tehnologice critice pentru securitatea economică a Uniunii, la care proiectul face </w:t>
            </w:r>
            <w:r>
              <w:rPr>
                <w:rFonts w:ascii="Times New Roman" w:eastAsia="Times New Roman" w:hAnsi="Times New Roman" w:cs="Times New Roman"/>
                <w:color w:val="000000"/>
                <w:sz w:val="24"/>
                <w:szCs w:val="24"/>
              </w:rPr>
              <w:lastRenderedPageBreak/>
              <w:t>trimitere directă. În context, se va exclude trimiterea directă la actul UE, respectiv, prin excluderea sintagmei ”astfel cum sunt descrise în Recomandarea Comisiei Europene C(2023) 6689 din 3 octombrie 2023 privind tehnologiile critice pentru securitatea economică a Uniunii Europene, precum și în actele ulterioare de modificare sau înlocuire ale acesteia, adoptate în cadrul mecanismului Uniunii Europene de examinare a investițiilor străine directe”.</w:t>
            </w:r>
          </w:p>
          <w:p w14:paraId="72F98C9B"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Utilizarea codurilor CAEM doar cu titlu orientativ (art. 4, alin. (2) nou din proiect) este, de asemenea, compatibilă cu abordarea funcțională a domeniului de aplicare din dreptul UE, care nu condiționează examinarea de o clasificare statistică. Cu titlu de informare, menționăm că, Regulamentul (UE) 2019/452 face obiectul unei revizuiri la nivelul UE, care va extinde, între altele, și sfera sectorială obligatorie.</w:t>
            </w:r>
          </w:p>
          <w:p w14:paraId="107E14C3" w14:textId="77777777" w:rsidR="00CA3607" w:rsidRDefault="00CA3607" w:rsidP="002E1162">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4FEF2527"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tc>
      </w:tr>
      <w:tr w:rsidR="00B9643D" w14:paraId="3C211153" w14:textId="77777777" w:rsidTr="00CA3607">
        <w:tc>
          <w:tcPr>
            <w:tcW w:w="426" w:type="dxa"/>
            <w:shd w:val="clear" w:color="auto" w:fill="FFFFFF"/>
          </w:tcPr>
          <w:p w14:paraId="21C0A7C4"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tcBorders>
              <w:bottom w:val="single" w:sz="4" w:space="0" w:color="000000"/>
            </w:tcBorders>
            <w:shd w:val="clear" w:color="auto" w:fill="FFFFFF"/>
          </w:tcPr>
          <w:p w14:paraId="76F0C6F8"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right w:val="single" w:sz="4" w:space="0" w:color="000000"/>
            </w:tcBorders>
            <w:shd w:val="clear" w:color="auto" w:fill="FFFFFF"/>
          </w:tcPr>
          <w:p w14:paraId="0E0DFDD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179</w:t>
            </w:r>
          </w:p>
        </w:tc>
        <w:tc>
          <w:tcPr>
            <w:tcW w:w="6146" w:type="dxa"/>
            <w:gridSpan w:val="2"/>
            <w:tcBorders>
              <w:top w:val="single" w:sz="4" w:space="0" w:color="000000"/>
              <w:left w:val="single" w:sz="4" w:space="0" w:color="000000"/>
              <w:bottom w:val="single" w:sz="4" w:space="0" w:color="000000"/>
              <w:right w:val="single" w:sz="4" w:space="0" w:color="000000"/>
            </w:tcBorders>
            <w:shd w:val="clear" w:color="auto" w:fill="FFFFFF"/>
          </w:tcPr>
          <w:p w14:paraId="49D03B15"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VIII. Cu privire la modificarea Legii nr. 105/2023 privind protecția consumatorilor (Art. VIII din proiect) </w:t>
            </w:r>
          </w:p>
          <w:p w14:paraId="547778E2"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Completările aduse art. 25, privind suportarea inițială de către vânzător/prestator a cheltuielilor de expertiză tehnică și limitarea posibilității de a transfera aceste costuri asupra consumatorului, în special, atunci când expertiza este necesară pentru răsturnarea prezumției de neconformitate </w:t>
            </w:r>
            <w:r>
              <w:rPr>
                <w:rFonts w:ascii="Times New Roman" w:eastAsia="Times New Roman" w:hAnsi="Times New Roman" w:cs="Times New Roman"/>
                <w:b/>
                <w:bCs/>
                <w:color w:val="000000"/>
                <w:sz w:val="24"/>
                <w:szCs w:val="24"/>
              </w:rPr>
              <w:t xml:space="preserve">sunt compatibile cu Directiva (UE) 2019/771 a Parlamentului European și a Consiliului din 20 mai 2019 </w:t>
            </w:r>
            <w:r>
              <w:rPr>
                <w:rFonts w:ascii="Times New Roman" w:eastAsia="Times New Roman" w:hAnsi="Times New Roman" w:cs="Times New Roman"/>
                <w:color w:val="000000"/>
                <w:sz w:val="24"/>
                <w:szCs w:val="24"/>
              </w:rPr>
              <w:t>privind anumite aspecte referitoare la contractele de vânzare de bunuri, care, la art. 11 instituie, în favoarea consumatorului, prezumția potrivit căreia neconformitatea apărută într-un termen determinat (minimum un an) se consideră că a existat la momentul livrării, sarcina probei contrare revenind vânzătorului.</w:t>
            </w:r>
          </w:p>
          <w:p w14:paraId="0665514B"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Introducerea sistemului intern de soluționare a reclamațiilor în cadrul serviciilor de intermediere online (art. 28¹) trebuie corelată cu mai multe acte UE. Proiectul face trimitere la Legea nr. 53/2025, care transpune Regulamentul (UE) 2019/1150 al Parlamentului European și al Consiliului din 20 iunie 2019 privind promovarea echității și a transparenței </w:t>
            </w:r>
            <w:r>
              <w:rPr>
                <w:rFonts w:ascii="Times New Roman" w:eastAsia="Times New Roman" w:hAnsi="Times New Roman" w:cs="Times New Roman"/>
                <w:color w:val="000000"/>
                <w:sz w:val="24"/>
                <w:szCs w:val="24"/>
              </w:rPr>
              <w:lastRenderedPageBreak/>
              <w:t xml:space="preserve">pentru întreprinderile utilizatoare de servicii de intermediere online. Atragem atenția că, art. 11 din Regulamentul (UE) 2019/1150 reglementează sistemul intern de soluționare a reclamațiilor formulate de întreprinderile utilizatoare împotriva furnizorului platformei, în timp ce art. 28¹ din proiect instituie un sistem voluntar pentru reclamațiile consumatorilor împotriva vânzătorilor și prestatorilor. Astfel, Nota de fundamentare la proiect va clarifica dacă sistemul de reclamație propus de proiect, ca fiind voluntar este unul distinct de cel impus de actul UE. </w:t>
            </w:r>
          </w:p>
          <w:p w14:paraId="4EEE28CD" w14:textId="77777777" w:rsidR="00B9643D" w:rsidRDefault="00000000" w:rsidP="002E1162">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Caracterul voluntar al sistemului, neînlocuirea entităților pentru soluționarea alternativă a litigiilor în materie de consum și a instanțelor și păstrarea integrală a drepturilor consumatorului sunt compatibile cu Directiva 2013/11/UE a Parlamentului European și a Consiliului din 21 mai 2013 privind soluționarea alternativă a litigiilor în materie de consum și de modificare a Regulamentului (CE) nr. 2006/2004 și a Directivei 2009/22/CE (Directiva privind SAL în materie de consum).</w:t>
            </w:r>
          </w:p>
          <w:p w14:paraId="77EC5FE4" w14:textId="77777777" w:rsidR="00CA3607" w:rsidRDefault="00CA3607" w:rsidP="002E1162">
            <w:pPr>
              <w:pBdr>
                <w:top w:val="nil"/>
                <w:left w:val="nil"/>
                <w:bottom w:val="nil"/>
                <w:right w:val="nil"/>
                <w:between w:val="nil"/>
              </w:pBdr>
              <w:jc w:val="both"/>
              <w:rPr>
                <w:rFonts w:ascii="Times New Roman" w:eastAsia="Times New Roman" w:hAnsi="Times New Roman" w:cs="Times New Roman"/>
                <w:b/>
                <w:bCs/>
                <w:color w:val="000000"/>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4227B021"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acceptă</w:t>
            </w:r>
          </w:p>
          <w:p w14:paraId="079CB709" w14:textId="77777777" w:rsidR="00B9643D" w:rsidRDefault="00B9643D" w:rsidP="002E1162">
            <w:pPr>
              <w:jc w:val="both"/>
              <w:rPr>
                <w:rFonts w:ascii="Times New Roman" w:eastAsia="Times New Roman" w:hAnsi="Times New Roman" w:cs="Times New Roman"/>
                <w:b/>
                <w:bCs/>
                <w:sz w:val="24"/>
                <w:szCs w:val="24"/>
              </w:rPr>
            </w:pPr>
          </w:p>
          <w:p w14:paraId="22268DF7" w14:textId="77777777" w:rsidR="00B9643D" w:rsidRDefault="00000000" w:rsidP="002E1162">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În nota de fundamentare de specificat că acesta este un mecanism voluntar.</w:t>
            </w:r>
          </w:p>
        </w:tc>
      </w:tr>
      <w:tr w:rsidR="00B9643D" w14:paraId="1CF315B7" w14:textId="77777777" w:rsidTr="00CA3607">
        <w:tc>
          <w:tcPr>
            <w:tcW w:w="426" w:type="dxa"/>
            <w:shd w:val="clear" w:color="auto" w:fill="FFFFFF"/>
          </w:tcPr>
          <w:p w14:paraId="5BA279C3"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tcBorders>
              <w:bottom w:val="single" w:sz="4" w:space="0" w:color="000000"/>
            </w:tcBorders>
            <w:shd w:val="clear" w:color="auto" w:fill="FFFFFF"/>
          </w:tcPr>
          <w:p w14:paraId="03261B2A"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Grupului de lucru al Comisiei de stat pentru reglementarea activității de întreprinzător</w:t>
            </w:r>
          </w:p>
          <w:p w14:paraId="67ECCE42" w14:textId="77777777" w:rsidR="00B9643D" w:rsidRDefault="00B9643D" w:rsidP="002E1162">
            <w:pPr>
              <w:jc w:val="both"/>
              <w:rPr>
                <w:rFonts w:ascii="Times New Roman" w:eastAsia="Times New Roman" w:hAnsi="Times New Roman" w:cs="Times New Roman"/>
                <w:b/>
                <w:bCs/>
                <w:sz w:val="24"/>
                <w:szCs w:val="24"/>
              </w:rPr>
            </w:pPr>
          </w:p>
          <w:p w14:paraId="02B19612"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Aviz nr. 38-78-7762 din 01.07.2026 </w:t>
            </w:r>
          </w:p>
          <w:p w14:paraId="71D6DDB8" w14:textId="77777777" w:rsidR="00B9643D" w:rsidRDefault="00B9643D" w:rsidP="002E1162">
            <w:pPr>
              <w:jc w:val="both"/>
              <w:rPr>
                <w:rFonts w:ascii="Times New Roman" w:eastAsia="Times New Roman" w:hAnsi="Times New Roman" w:cs="Times New Roman"/>
                <w:b/>
                <w:bCs/>
                <w:sz w:val="24"/>
                <w:szCs w:val="24"/>
              </w:rPr>
            </w:pPr>
          </w:p>
          <w:p w14:paraId="5B04C9FD" w14:textId="77777777" w:rsidR="00B9643D" w:rsidRDefault="00B9643D" w:rsidP="002E1162">
            <w:pPr>
              <w:jc w:val="both"/>
              <w:rPr>
                <w:rFonts w:ascii="Times New Roman" w:eastAsia="Times New Roman" w:hAnsi="Times New Roman" w:cs="Times New Roman"/>
                <w:b/>
                <w:bCs/>
                <w:sz w:val="24"/>
                <w:szCs w:val="24"/>
              </w:rPr>
            </w:pPr>
          </w:p>
          <w:p w14:paraId="61C5E046"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tcBorders>
            <w:shd w:val="clear" w:color="auto" w:fill="FFFFFF"/>
          </w:tcPr>
          <w:p w14:paraId="7F39D6CF"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180</w:t>
            </w:r>
          </w:p>
        </w:tc>
        <w:tc>
          <w:tcPr>
            <w:tcW w:w="6146" w:type="dxa"/>
            <w:gridSpan w:val="2"/>
            <w:tcBorders>
              <w:top w:val="single" w:sz="4" w:space="0" w:color="000000"/>
              <w:right w:val="single" w:sz="4" w:space="0" w:color="000000"/>
            </w:tcBorders>
            <w:shd w:val="clear" w:color="auto" w:fill="FFFFFF"/>
          </w:tcPr>
          <w:p w14:paraId="68F2CD4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Prezentul aviz este acordat în temeiul art.3 alin.(2), art.271, anexa nr.1 și art.32 alin.(22 ) din Legea nr.100/2017 cu privire la actele normative, în conformitate cu prevederile Legii nr.235/2006 cu privire la principiile de bază de reglementare a activității de întreprinzător, Hotărârii Guvernului nr.1429/2008 privind revizuirea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optimizarea cadrului normativ de reglementare a activității de întreprinzător și Hotărârii Guvernului nr.574/2024 cu privire la aprobarea Metodologiei de analiză a impactului de reglementare.</w:t>
            </w:r>
          </w:p>
          <w:p w14:paraId="45BA8718" w14:textId="77777777" w:rsidR="00B9643D" w:rsidRDefault="00B9643D" w:rsidP="002E1162">
            <w:pPr>
              <w:jc w:val="both"/>
              <w:rPr>
                <w:rFonts w:ascii="Times New Roman" w:eastAsia="Times New Roman" w:hAnsi="Times New Roman" w:cs="Times New Roman"/>
                <w:b/>
                <w:bCs/>
                <w:sz w:val="24"/>
                <w:szCs w:val="24"/>
              </w:rPr>
            </w:pPr>
          </w:p>
          <w:p w14:paraId="1FDD7D2F"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Decizia Grupului de lucru în privința proiectului de act normativ: </w:t>
            </w:r>
            <w:r>
              <w:rPr>
                <w:rFonts w:ascii="Times New Roman" w:eastAsia="Times New Roman" w:hAnsi="Times New Roman" w:cs="Times New Roman"/>
                <w:sz w:val="24"/>
                <w:szCs w:val="24"/>
              </w:rPr>
              <w:t>Proiectul de lege și nota de fundamentare se susține cu obiecții și recomandări.</w:t>
            </w:r>
          </w:p>
          <w:p w14:paraId="31BFA3B3" w14:textId="21A01D63"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Concluzia: </w:t>
            </w:r>
            <w:r>
              <w:rPr>
                <w:rFonts w:ascii="Times New Roman" w:eastAsia="Times New Roman" w:hAnsi="Times New Roman" w:cs="Times New Roman"/>
                <w:sz w:val="24"/>
                <w:szCs w:val="24"/>
              </w:rPr>
              <w:t>Proiectul nu conține prevederi contradictorii cu principiile de reglementare ale activității de întreprinzător.</w:t>
            </w:r>
          </w:p>
          <w:p w14:paraId="1FF7D662" w14:textId="77777777" w:rsidR="00B9643D" w:rsidRDefault="00B9643D" w:rsidP="002E1162">
            <w:pPr>
              <w:jc w:val="both"/>
              <w:rPr>
                <w:rFonts w:ascii="Times New Roman" w:eastAsia="Times New Roman" w:hAnsi="Times New Roman" w:cs="Times New Roman"/>
                <w:sz w:val="24"/>
                <w:szCs w:val="24"/>
              </w:rPr>
            </w:pPr>
          </w:p>
          <w:p w14:paraId="01E8249A"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Comentarii, </w:t>
            </w:r>
            <w:proofErr w:type="spellStart"/>
            <w:r>
              <w:rPr>
                <w:rFonts w:ascii="Times New Roman" w:eastAsia="Times New Roman" w:hAnsi="Times New Roman" w:cs="Times New Roman"/>
                <w:b/>
                <w:bCs/>
                <w:sz w:val="24"/>
                <w:szCs w:val="24"/>
              </w:rPr>
              <w:t>recomandări:</w:t>
            </w:r>
            <w:r>
              <w:rPr>
                <w:rFonts w:ascii="Times New Roman" w:eastAsia="Times New Roman" w:hAnsi="Times New Roman" w:cs="Times New Roman"/>
                <w:sz w:val="24"/>
                <w:szCs w:val="24"/>
              </w:rPr>
              <w:t>În</w:t>
            </w:r>
            <w:proofErr w:type="spellEnd"/>
            <w:r>
              <w:rPr>
                <w:rFonts w:ascii="Times New Roman" w:eastAsia="Times New Roman" w:hAnsi="Times New Roman" w:cs="Times New Roman"/>
                <w:sz w:val="24"/>
                <w:szCs w:val="24"/>
              </w:rPr>
              <w:t xml:space="preserve"> conformitate cu cele indicate în notă, proiectul este elaborat în temeiul problemelor semnalate</w:t>
            </w:r>
          </w:p>
          <w:p w14:paraId="41D0E7DC"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mediul de afaceri privind dificultățile legate de interacțiunea cu autoritățile publice, dezvoltarea economiei digitale, a comerțului electronic, inclusiv cel transfrontalier, adopției soluțiilor digitale de către mediul de afaceri, etc. Scopul autorilor este de a veni cu soluții vizând reducerea costurilor operaționale, eliminarea barierelor administrative și crearea unui mediu concurențial echitabil pentru afacerile digitale, astfel proiectul nu prevede noi cerințe, acte permisive, metode de supraveghere și control în raport cu agenții economici.</w:t>
            </w:r>
          </w:p>
          <w:p w14:paraId="5BA05EAA" w14:textId="3BE689C6" w:rsidR="00B9643D" w:rsidRDefault="00000000" w:rsidP="00CA3607">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La formularea normelor din proiect nu au fost încălcate principiile transparenței și previzibilității aplicării normelor. Din perspectiva reglementării activității de întreprinzător, soluțiile propuse se corelează principiilor oportunității și proporționalității intervenției statului.</w:t>
            </w:r>
          </w:p>
          <w:p w14:paraId="325C898F" w14:textId="77777777" w:rsidR="00B9643D" w:rsidRDefault="00B9643D" w:rsidP="002E1162">
            <w:pPr>
              <w:rPr>
                <w:rFonts w:ascii="Times New Roman" w:eastAsia="Times New Roman" w:hAnsi="Times New Roman" w:cs="Times New Roman"/>
                <w:b/>
                <w:bCs/>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2315F8B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Se ia act</w:t>
            </w:r>
          </w:p>
        </w:tc>
      </w:tr>
      <w:tr w:rsidR="00B9643D" w14:paraId="23011A0C" w14:textId="77777777" w:rsidTr="00CA3607">
        <w:tc>
          <w:tcPr>
            <w:tcW w:w="426" w:type="dxa"/>
            <w:shd w:val="clear" w:color="auto" w:fill="FFFFFF"/>
          </w:tcPr>
          <w:p w14:paraId="3494DEC7"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tcBorders>
              <w:bottom w:val="single" w:sz="4" w:space="0" w:color="000000"/>
            </w:tcBorders>
            <w:shd w:val="clear" w:color="auto" w:fill="FFFFFF"/>
          </w:tcPr>
          <w:p w14:paraId="4E335534"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tcBorders>
            <w:shd w:val="clear" w:color="auto" w:fill="FFFFFF"/>
          </w:tcPr>
          <w:p w14:paraId="22588EB9"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181</w:t>
            </w:r>
          </w:p>
        </w:tc>
        <w:tc>
          <w:tcPr>
            <w:tcW w:w="6146" w:type="dxa"/>
            <w:gridSpan w:val="2"/>
            <w:tcBorders>
              <w:top w:val="single" w:sz="4" w:space="0" w:color="000000"/>
              <w:right w:val="single" w:sz="4" w:space="0" w:color="000000"/>
            </w:tcBorders>
            <w:shd w:val="clear" w:color="auto" w:fill="FFFFFF"/>
          </w:tcPr>
          <w:p w14:paraId="3A681916" w14:textId="77777777" w:rsidR="00B9643D" w:rsidRDefault="00000000" w:rsidP="002E116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Art. II, referitor la propunerile de modificare a Codului fiscal nr. 1163/1997 - Ministerul Finanțelor promovează proiectul de lege pentru modificarea unor acte normative (privind simplificarea legislației fiscale și vamale) număr unic 599, prin care se propun modificări și la Codul fiscal. Dar nu sunt propuse modificări la prevederile din proiectul respectiv.</w:t>
            </w: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46973E94"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 ia act</w:t>
            </w:r>
          </w:p>
          <w:p w14:paraId="33488896" w14:textId="77777777" w:rsidR="00B9643D" w:rsidRDefault="00B9643D" w:rsidP="002E1162">
            <w:pPr>
              <w:jc w:val="both"/>
              <w:rPr>
                <w:rFonts w:ascii="Times New Roman" w:eastAsia="Times New Roman" w:hAnsi="Times New Roman" w:cs="Times New Roman"/>
                <w:sz w:val="24"/>
                <w:szCs w:val="24"/>
              </w:rPr>
            </w:pPr>
          </w:p>
          <w:p w14:paraId="00ACADA6"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Art. II privind Codul fiscal nr. 1163/1997 au fost retrase din proiect, urmând a fi promovate pe platforma Ministerului Finanțelor, în cadrul procesului de modificare a politicii bugetar-fiscale. Autorul reține informația privind proiectul de lege nr. 599 (simplificarea legislației fiscale și vamale) și își exprimă disponibilitatea de a susține preluarea propunerilor în cadrul procesului legislativ coordonat de Ministerul Finanțelor, potrivit competenței acestuia.</w:t>
            </w:r>
            <w:r>
              <w:rPr>
                <w:rFonts w:ascii="Times New Roman" w:eastAsia="Times New Roman" w:hAnsi="Times New Roman" w:cs="Times New Roman"/>
                <w:b/>
                <w:bCs/>
                <w:sz w:val="24"/>
                <w:szCs w:val="24"/>
              </w:rPr>
              <w:t xml:space="preserve"> </w:t>
            </w:r>
          </w:p>
          <w:p w14:paraId="7B8E73E5" w14:textId="77777777" w:rsidR="00B9643D" w:rsidRDefault="00B9643D" w:rsidP="002E1162">
            <w:pPr>
              <w:jc w:val="both"/>
              <w:rPr>
                <w:rFonts w:ascii="Times New Roman" w:eastAsia="Times New Roman" w:hAnsi="Times New Roman" w:cs="Times New Roman"/>
                <w:b/>
                <w:bCs/>
                <w:sz w:val="24"/>
                <w:szCs w:val="24"/>
              </w:rPr>
            </w:pPr>
          </w:p>
        </w:tc>
      </w:tr>
      <w:tr w:rsidR="00B9643D" w14:paraId="0FD2BBB4" w14:textId="77777777" w:rsidTr="00CA3607">
        <w:tc>
          <w:tcPr>
            <w:tcW w:w="426" w:type="dxa"/>
            <w:shd w:val="clear" w:color="auto" w:fill="FFFFFF"/>
          </w:tcPr>
          <w:p w14:paraId="7C50F521" w14:textId="77777777" w:rsidR="00B9643D" w:rsidRDefault="00B9643D" w:rsidP="002E1162">
            <w:pPr>
              <w:pBdr>
                <w:top w:val="nil"/>
                <w:left w:val="nil"/>
                <w:bottom w:val="nil"/>
                <w:right w:val="nil"/>
                <w:between w:val="nil"/>
              </w:pBdr>
              <w:jc w:val="both"/>
              <w:rPr>
                <w:rFonts w:ascii="Times New Roman" w:eastAsia="Times New Roman" w:hAnsi="Times New Roman" w:cs="Times New Roman"/>
                <w:b/>
                <w:bCs/>
                <w:sz w:val="24"/>
                <w:szCs w:val="24"/>
              </w:rPr>
            </w:pPr>
          </w:p>
        </w:tc>
        <w:tc>
          <w:tcPr>
            <w:tcW w:w="2551" w:type="dxa"/>
            <w:tcBorders>
              <w:bottom w:val="single" w:sz="4" w:space="0" w:color="000000"/>
            </w:tcBorders>
            <w:shd w:val="clear" w:color="auto" w:fill="FFFFFF"/>
          </w:tcPr>
          <w:p w14:paraId="48D8EAB9" w14:textId="77777777" w:rsidR="00B9643D" w:rsidRDefault="00B9643D" w:rsidP="002E1162">
            <w:pPr>
              <w:jc w:val="both"/>
              <w:rPr>
                <w:rFonts w:ascii="Times New Roman" w:eastAsia="Times New Roman" w:hAnsi="Times New Roman" w:cs="Times New Roman"/>
                <w:b/>
                <w:bCs/>
                <w:sz w:val="24"/>
                <w:szCs w:val="24"/>
              </w:rPr>
            </w:pPr>
          </w:p>
        </w:tc>
        <w:tc>
          <w:tcPr>
            <w:tcW w:w="709" w:type="dxa"/>
            <w:tcBorders>
              <w:top w:val="single" w:sz="4" w:space="0" w:color="000000"/>
            </w:tcBorders>
            <w:shd w:val="clear" w:color="auto" w:fill="FFFFFF"/>
          </w:tcPr>
          <w:p w14:paraId="44B19F3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182</w:t>
            </w:r>
          </w:p>
        </w:tc>
        <w:tc>
          <w:tcPr>
            <w:tcW w:w="6146" w:type="dxa"/>
            <w:gridSpan w:val="2"/>
            <w:tcBorders>
              <w:top w:val="single" w:sz="4" w:space="0" w:color="000000"/>
              <w:right w:val="single" w:sz="4" w:space="0" w:color="000000"/>
            </w:tcBorders>
            <w:shd w:val="clear" w:color="auto" w:fill="FFFFFF"/>
            <w:tcMar>
              <w:left w:w="0" w:type="dxa"/>
              <w:right w:w="0" w:type="dxa"/>
            </w:tcMar>
          </w:tcPr>
          <w:p w14:paraId="6D36AD71" w14:textId="77777777" w:rsidR="00B9643D" w:rsidRDefault="00000000" w:rsidP="002E1162">
            <w:pPr>
              <w:ind w:left="141" w:right="1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art. III, referitor la propunerile de modificare a Legii nr. 220/2007 privind înregistrarea de stat a persoanelor juridice și a întreprinzătorilor individuali, menționăm că MDED promovează proiectul de lege număr unic 478/MDED/2026, prin care se propun modificări la alineatul (7) al articolului 9 </w:t>
            </w:r>
            <w:r>
              <w:rPr>
                <w:rFonts w:ascii="Times New Roman" w:eastAsia="Times New Roman" w:hAnsi="Times New Roman" w:cs="Times New Roman"/>
                <w:sz w:val="24"/>
                <w:szCs w:val="24"/>
              </w:rPr>
              <w:lastRenderedPageBreak/>
              <w:t xml:space="preserve">cu următorul cuprins: „(7) Până la înregistrarea persoanei juridice, organul înregistrării de stat verifică denumirea acesteia sub aspectul disponibilității și </w:t>
            </w:r>
            <w:proofErr w:type="spellStart"/>
            <w:r>
              <w:rPr>
                <w:rFonts w:ascii="Times New Roman" w:eastAsia="Times New Roman" w:hAnsi="Times New Roman" w:cs="Times New Roman"/>
                <w:sz w:val="24"/>
                <w:szCs w:val="24"/>
              </w:rPr>
              <w:t>distinctivității</w:t>
            </w:r>
            <w:proofErr w:type="spellEnd"/>
            <w:r>
              <w:rPr>
                <w:rFonts w:ascii="Times New Roman" w:eastAsia="Times New Roman" w:hAnsi="Times New Roman" w:cs="Times New Roman"/>
                <w:sz w:val="24"/>
                <w:szCs w:val="24"/>
              </w:rPr>
              <w:t>. În cazul în care documentele pentru înregistrarea de stat se depun de către solicitant în condițiile art. 8 alin. (1) lit. a) sau c), solicitantul este obligat să verifice disponibilitatea denumirii până la depunerea efectivă a documentelor.”</w:t>
            </w:r>
          </w:p>
          <w:p w14:paraId="65A8B06D" w14:textId="77777777" w:rsidR="00B9643D" w:rsidRDefault="00B9643D" w:rsidP="002E1162">
            <w:pPr>
              <w:jc w:val="both"/>
              <w:rPr>
                <w:rFonts w:ascii="Times New Roman" w:eastAsia="Times New Roman" w:hAnsi="Times New Roman" w:cs="Times New Roman"/>
                <w:sz w:val="24"/>
                <w:szCs w:val="24"/>
              </w:rPr>
            </w:pPr>
          </w:p>
        </w:tc>
        <w:tc>
          <w:tcPr>
            <w:tcW w:w="4512" w:type="dxa"/>
            <w:tcBorders>
              <w:top w:val="single" w:sz="4" w:space="0" w:color="000000"/>
              <w:left w:val="single" w:sz="4" w:space="0" w:color="000000"/>
              <w:bottom w:val="single" w:sz="4" w:space="0" w:color="000000"/>
              <w:right w:val="single" w:sz="4" w:space="0" w:color="000000"/>
            </w:tcBorders>
            <w:shd w:val="clear" w:color="auto" w:fill="FFFFFF"/>
          </w:tcPr>
          <w:p w14:paraId="1385207D"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Se ia act. </w:t>
            </w:r>
          </w:p>
          <w:p w14:paraId="753C1B8C" w14:textId="77777777" w:rsidR="00B9643D" w:rsidRDefault="00B9643D" w:rsidP="002E1162">
            <w:pPr>
              <w:jc w:val="both"/>
              <w:rPr>
                <w:rFonts w:ascii="Times New Roman" w:eastAsia="Times New Roman" w:hAnsi="Times New Roman" w:cs="Times New Roman"/>
                <w:b/>
                <w:bCs/>
                <w:sz w:val="24"/>
                <w:szCs w:val="24"/>
              </w:rPr>
            </w:pPr>
          </w:p>
          <w:p w14:paraId="1DF9B648" w14:textId="77777777" w:rsidR="00B9643D" w:rsidRDefault="00000000" w:rsidP="002E1162">
            <w:pPr>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Se reține că modificarea art. 9 alin. (7) din Legea nr. 220/2007 este promovată și prin proiectul de lege nr. 478/MDED/2026. </w:t>
            </w:r>
            <w:r>
              <w:rPr>
                <w:rFonts w:ascii="Times New Roman" w:eastAsia="Times New Roman" w:hAnsi="Times New Roman" w:cs="Times New Roman"/>
                <w:sz w:val="24"/>
                <w:szCs w:val="24"/>
              </w:rPr>
              <w:lastRenderedPageBreak/>
              <w:t>Ulterior acestea vor putea fi comasate în procesul de promovare a proiectelor.</w:t>
            </w:r>
          </w:p>
        </w:tc>
      </w:tr>
    </w:tbl>
    <w:p w14:paraId="2277B02D" w14:textId="77777777" w:rsidR="00B9643D" w:rsidRDefault="00B9643D" w:rsidP="002E1162">
      <w:pPr>
        <w:spacing w:after="0" w:line="240" w:lineRule="auto"/>
        <w:rPr>
          <w:rFonts w:ascii="Times New Roman" w:eastAsia="Times New Roman" w:hAnsi="Times New Roman" w:cs="Times New Roman"/>
          <w:sz w:val="24"/>
          <w:szCs w:val="24"/>
        </w:rPr>
      </w:pPr>
    </w:p>
    <w:p w14:paraId="64AE6245" w14:textId="77777777" w:rsidR="00B9643D" w:rsidRDefault="00000000" w:rsidP="002E1162">
      <w:pPr>
        <w:pStyle w:val="Titlu4"/>
        <w:shd w:val="clear" w:color="auto" w:fill="FFFFFF"/>
        <w:spacing w:after="0"/>
        <w:jc w:val="center"/>
        <w:rPr>
          <w:b w:val="0"/>
          <w:bCs w:val="0"/>
        </w:rPr>
      </w:pPr>
      <w:r>
        <w:t xml:space="preserve">Secretar de stat </w:t>
      </w:r>
      <w:r>
        <w:tab/>
      </w:r>
      <w:r>
        <w:tab/>
      </w:r>
      <w:r>
        <w:tab/>
      </w:r>
      <w:r>
        <w:tab/>
      </w:r>
      <w:r>
        <w:tab/>
      </w:r>
      <w:r>
        <w:tab/>
      </w:r>
      <w:r>
        <w:tab/>
      </w:r>
      <w:r>
        <w:tab/>
      </w:r>
      <w:r>
        <w:tab/>
      </w:r>
      <w:r>
        <w:tab/>
        <w:t>Michelle ILIEV</w:t>
      </w:r>
    </w:p>
    <w:sectPr w:rsidR="00B9643D">
      <w:footerReference w:type="even" r:id="rId8"/>
      <w:footerReference w:type="default" r:id="rId9"/>
      <w:footerReference w:type="first" r:id="rId10"/>
      <w:pgSz w:w="15840" w:h="12240" w:orient="landscape"/>
      <w:pgMar w:top="851" w:right="1134" w:bottom="709"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AFD63" w14:textId="77777777" w:rsidR="00A127E6" w:rsidRDefault="00A127E6">
      <w:pPr>
        <w:spacing w:after="0" w:line="240" w:lineRule="auto"/>
      </w:pPr>
      <w:r>
        <w:separator/>
      </w:r>
    </w:p>
  </w:endnote>
  <w:endnote w:type="continuationSeparator" w:id="0">
    <w:p w14:paraId="527EE597" w14:textId="77777777" w:rsidR="00A127E6" w:rsidRDefault="00A12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C66FEF4-A5C6-4534-9113-F6A40362EABC}"/>
    <w:embedBold r:id="rId2" w:fontKey="{5A6A9CAD-5CF8-44CA-BA44-F918B1C2C6BA}"/>
  </w:font>
  <w:font w:name="Georgia">
    <w:panose1 w:val="02040502050405020303"/>
    <w:charset w:val="EE"/>
    <w:family w:val="roman"/>
    <w:pitch w:val="variable"/>
    <w:sig w:usb0="00000287" w:usb1="00000000" w:usb2="00000000" w:usb3="00000000" w:csb0="0000009F" w:csb1="00000000"/>
    <w:embedItalic r:id="rId3" w:fontKey="{F757DC78-7515-4428-92A8-ADDAA76F76B7}"/>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embedRegular r:id="rId4" w:fontKey="{C9284A01-6B9F-4EAA-B71F-571ADA84833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C96C" w14:textId="77777777" w:rsidR="00B9643D" w:rsidRDefault="00000000">
    <w:pPr>
      <w:pBdr>
        <w:top w:val="nil"/>
        <w:left w:val="nil"/>
        <w:bottom w:val="nil"/>
        <w:right w:val="nil"/>
        <w:between w:val="nil"/>
      </w:pBdr>
      <w:tabs>
        <w:tab w:val="center" w:pos="4677"/>
        <w:tab w:val="right" w:pos="9355"/>
      </w:tabs>
      <w:spacing w:after="0" w:line="240" w:lineRule="auto"/>
      <w:jc w:val="right"/>
      <w:rPr>
        <w:color w:val="000000"/>
      </w:rPr>
    </w:pPr>
    <w:r>
      <w:fldChar w:fldCharType="begin"/>
    </w:r>
    <w:r>
      <w:instrText xml:space="preserve"> DOCPROPERTY "bjFooterEvenPageDocProperty"</w:instrText>
    </w:r>
    <w:r>
      <w:fldChar w:fldCharType="separate"/>
    </w:r>
    <w:r>
      <w:rPr>
        <w:rFonts w:ascii="Times New Roman" w:eastAsia="Times New Roman" w:hAnsi="Times New Roman" w:cs="Times New Roman"/>
        <w:b/>
        <w:bCs/>
        <w:color w:val="3366FF"/>
        <w:sz w:val="24"/>
        <w:szCs w:val="24"/>
      </w:rPr>
      <w:t>Uz-Intern</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0BE56" w14:textId="77777777" w:rsidR="00B9643D" w:rsidRDefault="00000000">
    <w:pPr>
      <w:pBdr>
        <w:top w:val="nil"/>
        <w:left w:val="nil"/>
        <w:bottom w:val="nil"/>
        <w:right w:val="nil"/>
        <w:between w:val="nil"/>
      </w:pBdr>
      <w:tabs>
        <w:tab w:val="center" w:pos="4677"/>
        <w:tab w:val="right" w:pos="9355"/>
      </w:tabs>
      <w:spacing w:after="0" w:line="240" w:lineRule="auto"/>
      <w:jc w:val="right"/>
      <w:rPr>
        <w:color w:val="000000"/>
      </w:rPr>
    </w:pPr>
    <w:r>
      <w:fldChar w:fldCharType="begin"/>
    </w:r>
    <w:r>
      <w:instrText>PAGE</w:instrText>
    </w:r>
    <w:r>
      <w:fldChar w:fldCharType="separate"/>
    </w:r>
    <w:r w:rsidR="002E1162">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36F7" w14:textId="77777777" w:rsidR="00B9643D" w:rsidRDefault="00000000">
    <w:pPr>
      <w:pBdr>
        <w:top w:val="nil"/>
        <w:left w:val="nil"/>
        <w:bottom w:val="nil"/>
        <w:right w:val="nil"/>
        <w:between w:val="nil"/>
      </w:pBdr>
      <w:tabs>
        <w:tab w:val="center" w:pos="4677"/>
        <w:tab w:val="right" w:pos="9355"/>
      </w:tabs>
      <w:spacing w:after="0" w:line="240" w:lineRule="auto"/>
      <w:jc w:val="right"/>
      <w:rPr>
        <w:color w:val="000000"/>
      </w:rPr>
    </w:pPr>
    <w:r>
      <w:fldChar w:fldCharType="begin"/>
    </w:r>
    <w:r>
      <w:instrText xml:space="preserve"> DOCPROPERTY "bjFooterFirstPageDocProperty"</w:instrText>
    </w:r>
    <w:r>
      <w:fldChar w:fldCharType="separate"/>
    </w:r>
    <w:r>
      <w:rPr>
        <w:rFonts w:ascii="Times New Roman" w:eastAsia="Times New Roman" w:hAnsi="Times New Roman" w:cs="Times New Roman"/>
        <w:b/>
        <w:bCs/>
        <w:color w:val="3366FF"/>
        <w:sz w:val="24"/>
        <w:szCs w:val="24"/>
      </w:rPr>
      <w:t>Uz-Intern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A12BE" w14:textId="77777777" w:rsidR="00A127E6" w:rsidRDefault="00A127E6">
      <w:pPr>
        <w:spacing w:after="0" w:line="240" w:lineRule="auto"/>
      </w:pPr>
      <w:r>
        <w:separator/>
      </w:r>
    </w:p>
  </w:footnote>
  <w:footnote w:type="continuationSeparator" w:id="0">
    <w:p w14:paraId="2A88D5C0" w14:textId="77777777" w:rsidR="00A127E6" w:rsidRDefault="00A127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F5308"/>
    <w:multiLevelType w:val="multilevel"/>
    <w:tmpl w:val="54F21BA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47901C8"/>
    <w:multiLevelType w:val="multilevel"/>
    <w:tmpl w:val="E49CCBB0"/>
    <w:lvl w:ilvl="0">
      <w:start w:val="1"/>
      <w:numFmt w:val="decimal"/>
      <w:lvlText w:val="%1."/>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36F0606B"/>
    <w:multiLevelType w:val="multilevel"/>
    <w:tmpl w:val="54B03D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0675EC"/>
    <w:multiLevelType w:val="multilevel"/>
    <w:tmpl w:val="809680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63EE763A"/>
    <w:multiLevelType w:val="multilevel"/>
    <w:tmpl w:val="D3AAC3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54742269">
    <w:abstractNumId w:val="3"/>
  </w:num>
  <w:num w:numId="2" w16cid:durableId="390932933">
    <w:abstractNumId w:val="2"/>
  </w:num>
  <w:num w:numId="3" w16cid:durableId="312149818">
    <w:abstractNumId w:val="4"/>
  </w:num>
  <w:num w:numId="4" w16cid:durableId="2079280993">
    <w:abstractNumId w:val="0"/>
  </w:num>
  <w:num w:numId="5" w16cid:durableId="1803309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43D"/>
    <w:rsid w:val="001211EF"/>
    <w:rsid w:val="002D0FCA"/>
    <w:rsid w:val="002E1162"/>
    <w:rsid w:val="00315E90"/>
    <w:rsid w:val="00A02917"/>
    <w:rsid w:val="00A127E6"/>
    <w:rsid w:val="00B9643D"/>
    <w:rsid w:val="00CA3607"/>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35895"/>
  <w15:docId w15:val="{4D4BA966-05C2-4EF0-BADE-A7FF3C65C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unhideWhenUsed/>
    <w:qFormat/>
    <w:pPr>
      <w:keepNext/>
      <w:keepLines/>
      <w:spacing w:before="360" w:after="80"/>
      <w:outlineLvl w:val="1"/>
    </w:pPr>
    <w:rPr>
      <w:b/>
      <w:bCs/>
      <w:sz w:val="36"/>
      <w:szCs w:val="36"/>
    </w:rPr>
  </w:style>
  <w:style w:type="paragraph" w:styleId="Titlu3">
    <w:name w:val="heading 3"/>
    <w:basedOn w:val="Normal"/>
    <w:next w:val="Normal"/>
    <w:uiPriority w:val="9"/>
    <w:unhideWhenUsed/>
    <w:qFormat/>
    <w:pPr>
      <w:keepNext/>
      <w:keepLines/>
      <w:spacing w:before="40" w:after="0"/>
      <w:outlineLvl w:val="2"/>
    </w:pPr>
    <w:rPr>
      <w:color w:val="1E4D78"/>
      <w:sz w:val="24"/>
      <w:szCs w:val="24"/>
    </w:rPr>
  </w:style>
  <w:style w:type="paragraph" w:styleId="Titlu4">
    <w:name w:val="heading 4"/>
    <w:basedOn w:val="Normal"/>
    <w:next w:val="Normal"/>
    <w:uiPriority w:val="9"/>
    <w:unhideWhenUsed/>
    <w:qFormat/>
    <w:pPr>
      <w:spacing w:line="240" w:lineRule="auto"/>
      <w:outlineLvl w:val="3"/>
    </w:pPr>
    <w:rPr>
      <w:rFonts w:ascii="Times New Roman" w:eastAsia="Times New Roman" w:hAnsi="Times New Roman" w:cs="Times New Roman"/>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ntet">
    <w:name w:val="header"/>
    <w:basedOn w:val="Normal"/>
    <w:link w:val="AntetCaracter"/>
    <w:uiPriority w:val="99"/>
    <w:unhideWhenUsed/>
    <w:rsid w:val="002E1162"/>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2E1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lV+n872M0sUZusZ8waOINVcpw==">CgMxLjAyDmguZGg0c3ZmY3V5c2xlOAByITFreEFMUWZocmVoTTRrU21Gb2dKakMwY2xoZnFhX05PNQ==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55085</Words>
  <Characters>319494</Characters>
  <Application>Microsoft Office Word</Application>
  <DocSecurity>0</DocSecurity>
  <Lines>2662</Lines>
  <Paragraphs>747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373832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Vornic Stefan</dc:creator>
  <cp:lastModifiedBy>Direcția politici în domeniul tehnologiei informației și digitalizării</cp:lastModifiedBy>
  <cp:revision>2</cp:revision>
  <dcterms:created xsi:type="dcterms:W3CDTF">2026-08-03T04:52:00Z</dcterms:created>
  <dcterms:modified xsi:type="dcterms:W3CDTF">2026-08-03T04:52:00Z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FooterEvenPageDocProperty">
    <vt:lpwstr>Uz-Intern</vt:lpwstr>
  </property>
  <property fmtid="{D5CDD505-2E9C-101B-9397-08002B2CF9AE}" pid="3" name="bjFooterFirstPageDocProperty">
    <vt:lpwstr>Uz-Intern</vt:lpwstr>
  </property>
  <property fmtid="{D5CDD505-2E9C-101B-9397-08002B2CF9AE}" pid="4" name="docIndexRef">
    <vt:lpwstr>d87c9188-bab5-4c72-945a-afbad845aea6</vt:lpwstr>
  </property>
  <property fmtid="{D5CDD505-2E9C-101B-9397-08002B2CF9AE}" pid="5" name="bjSaver">
    <vt:lpwstr>RSWIx7KSFYrmW/AdT9MtD7aTvtZtFtcY</vt:lpwstr>
  </property>
  <property fmtid="{D5CDD505-2E9C-101B-9397-08002B2CF9AE}" pid="6" name="bjDocumentLabelXML">
    <vt:lpwstr>&lt;?xml version="1.0" encoding="us-ascii"?&gt;&lt;sisl xmlns:xsd="http://www.w3.org/2001/XMLSchema" xmlns:xsi="http://www.w3.org/2001/XMLSchema-instance" sislVersion="0" policy="38b72ed7-fbd3-4bd7-b7f9-dc4481199516" origin="userSelected" xmlns="http://www.boldonj</vt:lpwstr>
  </property>
  <property fmtid="{D5CDD505-2E9C-101B-9397-08002B2CF9AE}" pid="7" name="bjDocumentLabelXML-0">
    <vt:lpwstr>ames.com/2008/01/sie/internal/label"&gt;&lt;element uid="28c5fba9-edd9-4748-8ba2-3889d0852013" value="" /&gt;&lt;/sisl&gt;</vt:lpwstr>
  </property>
  <property fmtid="{D5CDD505-2E9C-101B-9397-08002B2CF9AE}" pid="8" name="bjDocumentSecurityLabel">
    <vt:lpwstr>Uz-Intern</vt:lpwstr>
  </property>
  <property fmtid="{D5CDD505-2E9C-101B-9397-08002B2CF9AE}" pid="9" name="Hidden Author">
    <vt:lpwstr>Oltita Cojocari</vt:lpwstr>
  </property>
  <property fmtid="{D5CDD505-2E9C-101B-9397-08002B2CF9AE}" pid="10" name="bjClsUserRVM">
    <vt:lpwstr>[]</vt:lpwstr>
  </property>
  <property fmtid="{D5CDD505-2E9C-101B-9397-08002B2CF9AE}" pid="11" name="bjFooterBothDocProperty">
    <vt:lpwstr>Uz-Intern</vt:lpwstr>
  </property>
  <property fmtid="{D5CDD505-2E9C-101B-9397-08002B2CF9AE}" pid="12" name="bjLabelHistoryID">
    <vt:lpwstr>{B523C9B9-4E14-42FE-AE9F-01A6D69F6833}</vt:lpwstr>
  </property>
  <property fmtid="{D5CDD505-2E9C-101B-9397-08002B2CF9AE}" pid="13" name="GrammarlyDocumentId">
    <vt:lpwstr>5c5bba4d-8696-4938-82ff-00f37c98a05d</vt:lpwstr>
  </property>
</Properties>
</file>