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E870" w14:textId="77777777" w:rsidR="00140DD2" w:rsidRDefault="00000000">
      <w:pPr>
        <w:ind w:firstLine="0"/>
        <w:jc w:val="center"/>
        <w:rPr>
          <w:sz w:val="24"/>
          <w:szCs w:val="24"/>
        </w:rPr>
      </w:pPr>
      <w:r>
        <w:rPr>
          <w:b/>
          <w:bCs/>
          <w:sz w:val="24"/>
          <w:szCs w:val="24"/>
        </w:rPr>
        <w:t>NOTA DE FUNDAMENTARE</w:t>
      </w:r>
    </w:p>
    <w:p w14:paraId="05D3EAD5" w14:textId="77777777" w:rsidR="00140DD2" w:rsidRDefault="00000000">
      <w:pPr>
        <w:ind w:firstLine="0"/>
        <w:jc w:val="center"/>
        <w:rPr>
          <w:b/>
          <w:bCs/>
          <w:sz w:val="24"/>
          <w:szCs w:val="24"/>
        </w:rPr>
      </w:pPr>
      <w:r>
        <w:rPr>
          <w:b/>
          <w:bCs/>
          <w:sz w:val="24"/>
          <w:szCs w:val="24"/>
        </w:rPr>
        <w:t>la proiectul de lege pentru modificarea unor acte normative</w:t>
      </w:r>
    </w:p>
    <w:p w14:paraId="2DE48E33" w14:textId="77777777" w:rsidR="00140DD2" w:rsidRDefault="00000000">
      <w:pPr>
        <w:ind w:firstLine="0"/>
        <w:jc w:val="center"/>
        <w:rPr>
          <w:sz w:val="24"/>
          <w:szCs w:val="24"/>
        </w:rPr>
      </w:pPr>
      <w:r>
        <w:rPr>
          <w:b/>
          <w:bCs/>
          <w:sz w:val="24"/>
          <w:szCs w:val="24"/>
        </w:rPr>
        <w:t>(pentru promovarea economiei digitale, a comerțului electronic și a digitalizării unor proceduri administrative)</w:t>
      </w:r>
    </w:p>
    <w:p w14:paraId="3430036F" w14:textId="77777777" w:rsidR="00140DD2" w:rsidRDefault="00140DD2">
      <w:pPr>
        <w:ind w:firstLine="705"/>
        <w:jc w:val="center"/>
        <w:rPr>
          <w:sz w:val="24"/>
          <w:szCs w:val="24"/>
        </w:rPr>
      </w:pPr>
    </w:p>
    <w:tbl>
      <w:tblPr>
        <w:tblStyle w:val="a"/>
        <w:tblW w:w="910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109"/>
      </w:tblGrid>
      <w:tr w:rsidR="00140DD2" w14:paraId="7C967563" w14:textId="77777777">
        <w:tc>
          <w:tcPr>
            <w:tcW w:w="9109"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100890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Denumirea sau numele autorului și, după caz, a/al participanților la elaborarea proiectului actului normativ</w:t>
            </w:r>
          </w:p>
        </w:tc>
      </w:tr>
      <w:tr w:rsidR="00140DD2" w14:paraId="487686EA"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322439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pentru modificarea unor acte normative (pentru promovarea economiei digitale, a comerțului electronic și a digitalizării unor proceduri administrative) a fost elaborat de către Ministerul Dezvoltării Economice și Digitalizării, cu participarea Consiliului Economic de pe lângă Prim-ministrul Republicii Moldova și cu suportul Programului Innovate Moldova (Suedia și UK).</w:t>
            </w:r>
          </w:p>
          <w:p w14:paraId="4488A032" w14:textId="77777777" w:rsidR="00140DD2" w:rsidRDefault="00140DD2">
            <w:pPr>
              <w:ind w:firstLine="705"/>
              <w:rPr>
                <w:rFonts w:ascii="Times New Roman" w:eastAsia="Times New Roman" w:hAnsi="Times New Roman" w:cs="Times New Roman"/>
                <w:sz w:val="24"/>
                <w:szCs w:val="24"/>
              </w:rPr>
            </w:pPr>
          </w:p>
        </w:tc>
      </w:tr>
      <w:tr w:rsidR="00140DD2" w14:paraId="77ECD2E6"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0622964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Condițiile ce au impus elaborarea proiectului actului normativ</w:t>
            </w:r>
          </w:p>
        </w:tc>
      </w:tr>
      <w:tr w:rsidR="00140DD2" w14:paraId="32FC1905"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5363B3F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2.1. Temeiul legal sau, după caz, sursa proiectului actului normativ</w:t>
            </w:r>
          </w:p>
        </w:tc>
      </w:tr>
      <w:tr w:rsidR="00140DD2" w14:paraId="7144BAAD"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C58AC30"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Prezentul proiect de lege este elaborat în temeiul art.5 din HG nr.143 din 25.08.2021 cu privire la organizarea și funcționarea Ministerului Dezvoltării Economice și Digitalizării, care prevede că </w:t>
            </w:r>
            <w:r>
              <w:rPr>
                <w:rFonts w:ascii="Times New Roman" w:eastAsia="Times New Roman" w:hAnsi="Times New Roman" w:cs="Times New Roman"/>
                <w:sz w:val="24"/>
                <w:szCs w:val="24"/>
                <w:highlight w:val="white"/>
              </w:rPr>
              <w:t>ministerul are misiunea de a analiza situaţia şi problemele din domeniile de activitate gestionate, de a elabora politici publice eficiente în domeniile prevăzute la punctul 6, de a monitoriza calitatea politicilor şi a actelor normative şi de a propune intervenţii justificate ale statului care urmează să ofere soluţii eficiente în domeniile de activitate, asigurând cel mai bun raport dintre rezultatele scontate şi costurile preconizate.</w:t>
            </w:r>
          </w:p>
          <w:p w14:paraId="40D258F9"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Dezvoltarea prezentului proiect este fundamentată pe prevederile Strategiei de transformare digitală a Republicii Moldova pentru anii 2023-2030 (HG nr.650/2023) și a Programului de implementare a acesteia pe anii 2025-2027 (HG 308/2025), Obiectivul general nr.3 Crearea unei economii digitale inovatoare și reziliente.</w:t>
            </w:r>
          </w:p>
          <w:p w14:paraId="60AC106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Totodată, drept temei a intervenției normative  constituie problemele semnalate de mediul de afaceri privind o serie de probleme legate de dezvoltarea economiei digitale, a comerțului electronic, inclusiv cel transfrontalier, </w:t>
            </w:r>
            <w:r>
              <w:rPr>
                <w:rFonts w:ascii="Times New Roman" w:eastAsia="Times New Roman" w:hAnsi="Times New Roman" w:cs="Times New Roman"/>
                <w:sz w:val="24"/>
                <w:szCs w:val="24"/>
              </w:rPr>
              <w:t>adopției soluțiilor digitale de către mediul de afaceri, promovării soluțiilor digitale în serviciile de plată (Fintech), exporturile de produse și servicii digitale, screening-ului investițional al companiilor digitale, etc.</w:t>
            </w:r>
          </w:p>
          <w:p w14:paraId="43FD8E31" w14:textId="77777777" w:rsidR="00140DD2" w:rsidRDefault="00140DD2">
            <w:pPr>
              <w:ind w:firstLine="705"/>
              <w:rPr>
                <w:rFonts w:ascii="Times New Roman" w:eastAsia="Times New Roman" w:hAnsi="Times New Roman" w:cs="Times New Roman"/>
                <w:sz w:val="24"/>
                <w:szCs w:val="24"/>
              </w:rPr>
            </w:pPr>
          </w:p>
        </w:tc>
      </w:tr>
      <w:tr w:rsidR="00140DD2" w14:paraId="2DFFD1A2"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74BA669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2.2. Descrierea situației actuale și a problemelor care impun intervenția, inclusiv a cadrului normativ aplicabil și a deficiențelor/lacunelor normative</w:t>
            </w:r>
          </w:p>
        </w:tc>
      </w:tr>
      <w:tr w:rsidR="00140DD2" w14:paraId="1FD4F19B"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A19EEAC"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Situația actuală care impune intervenția legislativă este caracterizată de o serie de bariere administrative, costuri ridicate de conformare și lacune normative care frânează dezvoltarea economiei digitale și a comerțului electronic în Republica Moldova. </w:t>
            </w:r>
          </w:p>
          <w:p w14:paraId="5FE60683"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Mai jos prezentăm situația pe fiecare intervenție legislativă, în parte:</w:t>
            </w:r>
          </w:p>
          <w:p w14:paraId="62DB141C"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MODIFICAREA LEGII NR. 880/1992 PRIVIND FONDUL ARHIVISTIC AL REPUBLICII MOLDOVA</w:t>
            </w:r>
          </w:p>
          <w:p w14:paraId="099F687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Sectorul privat, în special companiile cu un volum mare de documente contabile, comerciale, de personal, etc., se confruntă cu costuri semnificative de depozitare fizică a documentației, precum și cu procese administrative ineficiente în ceea ce privește păstrarea acestei documentații. Legislația cu privire la arhive rămâne orientată către păstrarea pe suport de hârtie, iar regimul documentelor digitizate și al distrugerii originalelor la expirarea termenului stabilit de lege nu este reglementat suficient. Legea nr. 880/1992 nu prevede în mod explicit posibilitatea distrugerii documentelor pe suport de hârtie după digitizare conformă și nici nu recunoaște arhivele electronice gestionate prin infrastructuri de tip cloud privat, ceea ce determină companiile să mențină arhive paralele (fizice și electronice) și să suporte costuri suplimentare.</w:t>
            </w:r>
          </w:p>
          <w:p w14:paraId="43766A9A" w14:textId="00575173"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paralel, implementarea SI „Arhiva electronică” este etapizată și condiționată de dezvoltarea infrastructurii guvernamentale de cloud, ceea ce întârzie disponibilitatea unei soluții naționale operaționale și creează incertitudine pentru mediul de afaceri în privința utilizării soluțiilor de arhivare oferite de furnizori privați. Lipsa unui regim clar aplicabil serviciilor de arhivă electronică securizată, în sensul art. 2 din Legea nr. 124/2022 privind identificarea electronică și serviciile de încredere, precum și necorelarea cu cerințele de interoperabilitate stabilite de Legea nr. 142/2018 cu privire la schimbul de date și interoperabilitate, împiedică prestatorii de servicii de încredere calificați să dezvolte și să ofere servicii de arhivare digitală recunoscute formal, ceea ce se traduce, în practică, într-un </w:t>
            </w:r>
            <w:r w:rsidR="009E5C89">
              <w:rPr>
                <w:rFonts w:ascii="Times New Roman" w:eastAsia="Times New Roman" w:hAnsi="Times New Roman" w:cs="Times New Roman"/>
                <w:sz w:val="24"/>
                <w:szCs w:val="24"/>
              </w:rPr>
              <w:t>cvasi monopol</w:t>
            </w:r>
            <w:r>
              <w:rPr>
                <w:rFonts w:ascii="Times New Roman" w:eastAsia="Times New Roman" w:hAnsi="Times New Roman" w:cs="Times New Roman"/>
                <w:sz w:val="24"/>
                <w:szCs w:val="24"/>
              </w:rPr>
              <w:t xml:space="preserve"> al infrastructurii guvernamentale și într-o descurajare a adopției soluțiilor moderne de arhivare electronică.</w:t>
            </w:r>
          </w:p>
          <w:p w14:paraId="467345C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4F48187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Procedura de verificare și rezervare a denumirii persoanelor juridice este reglementată de:</w:t>
            </w:r>
          </w:p>
          <w:p w14:paraId="1BDE6F4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Art. 9 alin. (7) din Legea nr. 220/2007, care stabilește că „până la înregistrarea persoanei juridice, organul înregistrării de stat verifică denumirea acesteia sub aspectul disponibilității, distinctivității și al corectitudinii lingvistice”.</w:t>
            </w:r>
          </w:p>
          <w:p w14:paraId="3F5FFAE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Art. 4 alin. (1) din Legea nr. 220/2007, conform căruia „pentru prestarea serviciilor, se percepe o taxă în mărimea și în modul prevăzute de Guvern”.</w:t>
            </w:r>
          </w:p>
          <w:p w14:paraId="6028DF9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reglementărilor în vigoare și tarifelor practicate de Agenția Servicii Publice (ASP), rezervarea denumirii unei companii presupune achitarea unei taxe de 71 de lei pentru verificare și rezervare pe o perioadă de până la 6 luni, la care se adaugă taxele de înregistrare propriu-zisă care variază între 1.149 lei (termen standard de 24 de ore) și 4.596 lei (procedura urgentă de 4 ore), plus 100 de lei pentru elaborarea, redactarea și aprobarea denumirii.</w:t>
            </w:r>
          </w:p>
          <w:p w14:paraId="1B16406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procedura de rezervare a denumirii creează mai multe probleme practice care afectează mediul de afaceri. Antreprenorii sunt obligați să achite taxa de verificare și rezervare pentru fiecare tentativă, fără a avea acces la un instrument online gratuit care să permită verificarea preliminară a disponibilității denumirii în Registrul de stat al unităților de drept. Această situație generează costuri suplimentare nejustificate, deoarece solicitanții plătesc repetat pentru verificarea diferitelor variante de denumiri; incertitudine procesuală, deoarece antreprenorii sunt nevoiți să testeze disponibilitatea unei denumiri contra cost, fără a avea o claritate prealabilă dacă denumirea va fi acceptată.</w:t>
            </w:r>
          </w:p>
          <w:p w14:paraId="3FB1912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Din perspectiva principiului proporționalității, perceperea repetată a taxei pentru tentative succesive, în lipsa unui mecanism gratuit și transparent de verificare preliminară, constituie o măsură excesivă raportată la scopul legitim urmărit (și anume protecția distinctivității denumirilor comerciale).</w:t>
            </w:r>
          </w:p>
          <w:p w14:paraId="1A194D1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Analizând experiența statelor europene, și anume a României</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și a Estoniei</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se poate observa că obiectivul protecției denumirilor comerciale poate fi realizat prin soluții digitale transparente și gratuite, fără a transfera riscul procedural și costurile de explorare a denumirilor asupra solicitantului.</w:t>
            </w:r>
          </w:p>
          <w:p w14:paraId="57AE7A36" w14:textId="77777777" w:rsidR="00140DD2" w:rsidRDefault="00140DD2">
            <w:pPr>
              <w:ind w:firstLine="705"/>
              <w:rPr>
                <w:rFonts w:ascii="Times New Roman" w:eastAsia="Times New Roman" w:hAnsi="Times New Roman" w:cs="Times New Roman"/>
                <w:sz w:val="24"/>
                <w:szCs w:val="24"/>
              </w:rPr>
            </w:pPr>
          </w:p>
          <w:p w14:paraId="5B935F2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prin proiect se propune modificarea Articolului 34 din Legea nr. 220/2007, ce reglementează furnizarea informației din Registrul de stat, preponderent prin eliberarea unui extras, fără a consacra expres posibilitatea accesării și generării automate, în timp real, a informației prin aplicații web. Această lacună permite interpretarea restrictivă </w:t>
            </w:r>
            <w:r>
              <w:rPr>
                <w:rFonts w:ascii="Times New Roman" w:eastAsia="Times New Roman" w:hAnsi="Times New Roman" w:cs="Times New Roman"/>
                <w:sz w:val="24"/>
                <w:szCs w:val="24"/>
              </w:rPr>
              <w:lastRenderedPageBreak/>
              <w:t>potrivit căreia informația oficială trebuie furnizată sub forma unui document distinct, inclusiv atunci când este utilizată pe teritoriul Republicii Moldova.</w:t>
            </w:r>
          </w:p>
          <w:p w14:paraId="3FB7415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anul 2025, cu referire la RSUD, au fost înregistrate aproximativ 70 mii de interacțiuni: 8.655 de solicitări de consultații, 10.323 de înregistrări noi, 40.538 de modificări ale actelor de constituire și 10.520 de solicitări privind dizolvarea sau radierea. Totodată, numărul extraselor eliberate anual este estimat la circa 100 mii. Toate aceste operațiuni sunt gestionate de 76 de registratori. </w:t>
            </w:r>
          </w:p>
          <w:p w14:paraId="7451F04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Menținerea extrasului drept principală modalitate de furnizare a informației generează costuri administrative, solicitări repetate și utilizarea ineficientă a resurselor ASP. Este necesară diferențierea între informația utilizată la nivel național, care poate fi generată automat și verificată direct în RSUD, și extrasul formal necesar pentru prezentare peste hotare</w:t>
            </w:r>
            <w:r>
              <w:rPr>
                <w:rFonts w:ascii="Times New Roman" w:eastAsia="Times New Roman" w:hAnsi="Times New Roman" w:cs="Times New Roman"/>
                <w:b/>
                <w:bCs/>
                <w:sz w:val="24"/>
                <w:szCs w:val="24"/>
              </w:rPr>
              <w:t>.</w:t>
            </w:r>
          </w:p>
          <w:p w14:paraId="5949BAE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133/2016 PRIVIND DECLARAREA AVERII ȘI A INTERESELOR PERSONALE</w:t>
            </w:r>
          </w:p>
          <w:p w14:paraId="7C93C77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cadrul normativ consacră principiul neutralității tehnologice și al egalității prestatorilor de servicii de încredere calificați, aceștia funcționând în condiții de autorizare și supraveghere identice. Cu toate acestea, la nivelul procedurilor și al soluțiilor tehnice utilizate de platformele guvernamentale, subiecții declarării întâmpină, în practică, dificultăți în utilizarea semnăturilor electronice calificate emise de alți prestatori decât cei ale căror certificate sunt integrate implicit în fluxurile de depunere a declarațiilor.</w:t>
            </w:r>
          </w:p>
          <w:p w14:paraId="4C573B9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Subiecții declarării care dețin semnături electronice calificate emise de prestatori privați sau din alte state, în condițiile mecanismelor de recunoaștere aplicabile, sunt determinați, în practică, să obțină instrumente suplimentare pentru interacțiunea cu platformele guvernamentale, ceea ce generează costuri și sarcini administrative suplimentare.</w:t>
            </w:r>
          </w:p>
          <w:p w14:paraId="49965F0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Din punct de vedere normativ, Legea nr. 124/2022 privind identificarea electronică și serviciile de încredere, care a abrogat Legea nr. 91/2014 privind semnătura electronică și documentul electronic, recunoaște echivalența juridică a semnăturii electronice calificate cu semnătura olografă, indiferent de prestatorul emitent.</w:t>
            </w:r>
          </w:p>
          <w:p w14:paraId="28C898D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133/2016 privind declararea averii și a intereselor personale prevede, la art. 7 alin. (2), semnarea declarației în formă electronică prin utilizarea semnăturii electronice, fără a preciza expres că poate fi utilizată orice semnătură electronică calificată emisă de un prestator de servicii de încredere calificat înscris în Registrul de evidență a prestatorilor de servicii de încredere calificați.</w:t>
            </w:r>
          </w:p>
          <w:p w14:paraId="0736799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308/2017 CU PRIVIRE LA PREVENIREA ȘI COMBATEREA SPĂLĂRII BANILOR ȘI FINANȚĂRII TERORISMULUI</w:t>
            </w:r>
          </w:p>
          <w:p w14:paraId="4FE42AD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Entitățile raportoare din Republica Moldova semnalează că unele cerințe naționale depășesc standardul european minim (norme suplimentare catalogate drept „gold-plating”), generând costuri de conformare disproporționate în raport cu profilul de risc, în special pentru operatorii de dimensiuni reduse din ecosistemul digital.</w:t>
            </w:r>
          </w:p>
          <w:p w14:paraId="7F4D4E4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308/2017 obligă persoanele juridice să obțină și să dețină informații adecvate, corecte și actualizate privind beneficiarii efectivi, însă nu stabilește expres care sunt datele concrete ce constituie informații despre beneficiarul efectiv. În practică, aceste date sunt determinate prin formularul BE‑1 și acte administrative utilizate de ASP. Pentru beneficiarii efectivi nerezidenți apar dificultăți obiective de obținere și actualizare a unor date care nu se află sub controlul persoanei juridice. În lipsa acestor date poate interveni refuzul înregistrării de stat și răspunderea contravențională. Totodată, actele administrative cu caracter general utilizate în domeniu nu sunt reglementate expres sub aspectul publicării și accesibilității.</w:t>
            </w:r>
          </w:p>
          <w:p w14:paraId="53C0EC8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serie de propuneri prezentate la etapa de avizare inițială, ca urmare a avizelor Serviciului Prevenirea și Combaterea Spălării Banilor și ale Băncii Naționale a Moldovei, ce necesită o abordare sistemică în contextul procesului distinct de transpunere a Regulamentului (UE) 2024/1624 și a Directivei (UE) 2024/1640. În consecință, aceste intervenții au fost </w:t>
            </w:r>
            <w:r>
              <w:rPr>
                <w:rFonts w:ascii="Times New Roman" w:eastAsia="Times New Roman" w:hAnsi="Times New Roman" w:cs="Times New Roman"/>
                <w:sz w:val="24"/>
                <w:szCs w:val="24"/>
              </w:rPr>
              <w:lastRenderedPageBreak/>
              <w:t>retrase din proiect și remise pentru comasare cu actele consacrate, ce sunt în proces de elaborare. Ele vizau: instituirea regimului de „entității raportoare de dimensiuni mici”, cerințele simplificate de evaluare a riscurilor și de organizare internă, regimul neconcordanțelor privind beneficiarul efectiv, frecvența actualizării evaluării riscurilor, raportările pe prag, comunicările organelor de supraveghere și termenul de sistare a tranzacțiilor ce privesc instituții fundamentale ale regimului național AML/CFT. etc.</w:t>
            </w:r>
          </w:p>
          <w:p w14:paraId="07AB84A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174/2021 PRIVIND MECANISMUL DE EXAMINARE A INVESTIȚIILOR DE IMPORTANȚĂ PENTRU SECURITATEA STATULUI</w:t>
            </w:r>
          </w:p>
          <w:p w14:paraId="5A0C5AF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174/2021 instituie mecanismul de examinare a investițiilor de importanță pentru securitatea statului. Aplicarea practică a legii a evidențiat, însă mai multe deficiențe care afectează atât eficiența mecanismului de protecție a securității statului, cât și previzibilitatea obligațiilor investitorilor.</w:t>
            </w:r>
          </w:p>
          <w:p w14:paraId="270AE2A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Prima problemă privește etapa înregistrării unei întreprinderi noi. Cadrul actual poate fi interpretat în sensul că investitorul este obligat să obțină aprobarea investiției inclusiv la etapa constituirii unei întreprinderi care intenționează să desfășoare activități într-un domeniu de importanță pentru securitatea statului. Această abordare poate bloca sau întârzia constituirea unei persoane juridice, chiar înainte ca aceasta să desfășoare efectiv activități economice sau să realizeze o investiție propriu-zisă. În acest fel, procedura de screening riscă să fie transformată într-o condiție administrativă prealabilă pentru înregistrarea întreprinderii, ceea ce poate crea sarcini disproporționate și poate afecta libertatea de inițiere a activității de întreprinzător.</w:t>
            </w:r>
          </w:p>
          <w:p w14:paraId="67A6764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doua problemă ține de formularea domeniilor de importanță pentru securitatea statului. Domeniile prevăzute de lege trebuie să fie suficient de clare și previzibile, astfel încât investitorii, autoritățile emitente de acte permisive, organul înregistrării de stat și Consiliul pentru Examinarea Investițiilor de Importanță pentru Securitatea Statului să poată determina în mod obiectiv dacă o activitate intră sau nu sub incidența legii. Formulările generale sau excesiv de lungi pot conduce la interpretări divergente, la examinări inutile și la aplicarea neuniformă a legii.</w:t>
            </w:r>
          </w:p>
          <w:p w14:paraId="7814C94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treia problemă privește lipsa unui mecanism clar de informare instituțională. În practică, Consiliul poate să nu dispună în timp util de informații privind tranzacțiile, schimbările în structura asociaților sau dobândirea controlului asupra întreprinderilor care activează în domenii relevante. Lipsa obligației clare de furnizare a informațiilor de către autoritățile emitente de acte permisive, entitățile publice sau private, Depozitarul central unic și societățile de registru, limitează capacitatea Consiliului de a aprecia oportunitatea unei examinări din oficiu.</w:t>
            </w:r>
          </w:p>
          <w:p w14:paraId="50798A5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patra problemă se referă la procedura de aprobare prealabilă. Legea nu reglementează suficient de clar cine depune solicitarea în cazul grupurilor de persoane care acționează în mod concertat, momentul de la care curge termenul de examinare, cazurile cu risc redus, situațiile în care investiția nu necesită aprobare și mecanismul de prelungire a termenelor atunci când investitorul trebuie să obțină informații din alte jurisdicții sau de la autorități străine.</w:t>
            </w:r>
          </w:p>
          <w:p w14:paraId="61BC3F2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cincea problemă privește sancțiunile și măsurile ulterioare refuzului sau încălcării condițiilor de aprobare. Cadrul actual trebuie să asigure proporționalitatea sancțiunilor, diferențierea între investitori persoane fizice și persoane juridice, clarificarea situațiilor în care sancțiunea poate fi raportată la cifra de afaceri sau valoarea investiției și stabilirea unor mecanisme realiste pentru revenirea la situația anterioară investiției.</w:t>
            </w:r>
          </w:p>
          <w:p w14:paraId="0DD0CE4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fine, sunt necesare clarificări privind caracterul și criteriile examinării din oficiu, emiterea deciziilor de neaplicabilitate, protecția secretului de stat, comercial și profesional, tipurile și efectele actelor emise de Consiliu, cercul persoanelor afectate de acestea, precum și corelarea trimiterilor la art. 4 din lege și din actele normative conexe. Lipsa acestor precizări generează incertitudine juridică și poate conduce la aplicarea neuniformă a mecanismului. </w:t>
            </w:r>
          </w:p>
          <w:p w14:paraId="1E8682B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Prin urmare, proiectul urmărește remedierea lacunelor de reglementare, reducerea sarcinilor administrative excesive, întărirea capacității Consiliului de a identifica riscurile relevante și asigurarea unui mecanism mai clar, proporțional și previzibil de examinare a investițiilor.</w:t>
            </w:r>
          </w:p>
          <w:p w14:paraId="0DA4946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105/2003 PRIVIND PROTECȚIA CONSUMATORILOR</w:t>
            </w:r>
          </w:p>
          <w:p w14:paraId="7DDE2D1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4F7517A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Cadrul normativ în materia protecției consumatorilor este reprezentat de Legea nr. 105/2003, care consacră o răspundere extinsă a vânzătorului pentru orice neconformitate existentă la momentul livrării produsului sau prestării serviciului, inclusiv pentru produsele digitale și recunoaște dreptul consumatorului la remediu gratuit, care include reparare, înlocuire, reducere a prețului sau restituirea contravalorii. Mecanismul probator aferent soluționării reclamațiilor consumatorilor este detaliat în art. 25 din Legea nr. 105/2003, care obligă vânzătorul, în cazul refuzului de a satisface reclamația consumatorului pe motivul culpei acestuia din urmă, să demonstreze vina consumatorului printr-o expertiză tehnică, efectuată în termen de până la 14 zile, la o entitate terță, competentă și neutră.</w:t>
            </w:r>
          </w:p>
          <w:p w14:paraId="5A1A7B4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Din interpretarea art. 25 și a dispozițiilor generale ale Legii nr. 105/2003 rezultă că sarcina de a organiza și finanța expertiza tehnică revine, în prezent, integral vânzătorului, fără ca legea să prevadă un mecanism de recuperare a acestor costuri în ipoteza în care expertiza confirmă că neconformitatea este imputabile consumatorului și că deficiențele nu existau la momentul livrării. Practica semnalată de agenții economici arată că, în numeroase situații, reclamațiile se dovedesc a fi neîntemeiate și abuzive, însă costurile expertizei, inclusiv cheltuielile aferente transportului, manipulării, diagnosticării și examinării tehnice, rămân, indiferent de rezultat, în sarcina exclusivă a comerciantului. Acest fapt generează o sarcină financiară disproporționată, mai ales pentru întreprinderile mici și mijlocii.</w:t>
            </w:r>
          </w:p>
          <w:p w14:paraId="44F913F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abordare este reflectată și în practica judiciară, inclusiv în hotărârile explicative ale Plenului Curții Supreme de Justiție, care statuează că vânzătorul este obligat să dovedească vina consumatorului prin expertiza tehnică efectuată de o terță parte, iar raportul de expertiză constituie probă admisibilă în procesul civil, fără a fi însă reglementată în mod explicit chestiunea repartizării și recuperării costurilor expertizei atunci când culpa consumatorului este stabilită.</w:t>
            </w:r>
          </w:p>
          <w:p w14:paraId="227EA54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Deși Directiva (UE) 2019/771 privind anumite aspecte referitoare la contractele de vânzare de bunuri consacră o protecție substanțială consumatorului privind conformarea bunurilor, inclusiv prin instituirea unei prezumții de neconformitate pentru o anumită perioadă de la livrare, perioadă în care sarcina probei revine comerciantului, ea nu exclude posibilitatea ca statele membre să reglementeze, într-un mod echilibrat, mecanisme de repartizare a costurilor expertizei, în special în situațiile în care se constată abuz de drept sau culpă manifestată din partea consumatorului. Cadrul național existent, respectiv art. 25 alin. (3) din Legea nr. 105/2003, instituie deja o obligație analogă: dacă vânzătorul sau prestatorul refuză reclamația consumatorului, este obligat să dovedească vina consumatorului prin expertiză tehnică efectuată de o terță parte competentă, în termen de 14 zile. Mecanismul propus se corelează cu această obligație internă, precizând că rambursarea cheltuielilor de expertiză nu poate fi imputată consumatorului atunci când expertiza servea îndeplinirii obligației de probațiune a comerciantului, conform art. 23 alin. (6), ci exclusiv atunci când expertiza demonstrează, prin probe obiective, culpa consumatorului ulterior livrării.</w:t>
            </w:r>
          </w:p>
          <w:p w14:paraId="6F98168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Astfel, în absența unei reglementări interne exprese privind recuperarea costurilor expertizei și a unui cadrul funcționat de soluționare alternativă a litigiilor, sistemul actual transferă integral riscul financiar asupra vânzătorului/prestatorului, stimulează reclamațiile de rea-credință și descurajează investițiile în calitate și servicii post-vânzare.</w:t>
            </w:r>
          </w:p>
          <w:p w14:paraId="4BAAF91F"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7923EB0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aplicarea normelor prevăzute de Legea nr. 105/2003, antreprenorii invocă faptul că mecanismele actuale de soluționare a reclamațiilor nu sunt eficiente. Consumatorii se </w:t>
            </w:r>
            <w:r>
              <w:rPr>
                <w:rFonts w:ascii="Times New Roman" w:eastAsia="Times New Roman" w:hAnsi="Times New Roman" w:cs="Times New Roman"/>
                <w:sz w:val="24"/>
                <w:szCs w:val="24"/>
              </w:rPr>
              <w:lastRenderedPageBreak/>
              <w:t xml:space="preserve">adresează frecvent direct la ISSPCPC fără a încerca în prealabil o soluționare amiabilă cu vânzătorul sau prestatorul. </w:t>
            </w:r>
          </w:p>
          <w:p w14:paraId="71FC8AC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Dezvoltarea accelerată a comerțului electronic și a serviciilor de intermediere online a condus la apariția unor modele de afaceri în care tranzacția dintre consumator și vânzător este mediată de platforme digitale, fără ca acestea să preia calitatea de vânzător sau răspunderea contractuală față de consumator. În prezent, Legea nr. 105/2003 nu conține o reglementare expresă a mecanismelor interne de soluționare a reclamațiilor gestionate de astfel de platforme, deși asemenea mecanisme sunt cunoscute în practica internațională.</w:t>
            </w:r>
          </w:p>
          <w:p w14:paraId="00645A9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Platforme globale de tip Amazon sau Alibaba au dezvoltat sisteme integrate de gestionare a reclamațiilor, prin care consumatorii pot depune direct pe platformă reclamații privind neconformitatea produselor sau probleme de livrare, iar platforma facilitează comunicarea și schimbul de informații între consumator și vânzător. De regulă, în cadrul acestor sisteme, platforma pune la dispoziție o interfață electronică standardizată, notifică vânzătorul cu privire la reclamație, urmărește termenele de răspuns și, după caz, poate formula propuneri de soluționare amiabilă.</w:t>
            </w:r>
          </w:p>
          <w:p w14:paraId="24F4478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lipsa unei reglementări legale exprese, furnizorii de servicii de intermediere online care activează pe piața națională nu dispun de un cadru clar care să consacre posibilitatea instituirii unor asemenea sisteme interne. Această lacună conduce la o utilizare limitată și neuniformă a mecanismelor interne de reclamații, deși ele ar putea servi drept filtru eficient înaintea sesizarea autorității de protecție a consumatorilor sau instanțelor, contribuind la soluționarea rapidă a disputelor mici. </w:t>
            </w:r>
          </w:p>
          <w:p w14:paraId="4A688C0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Regimul actual, construit exclusiv pe relația bilaterală consumator–vânzător/prestator, respectiv pe intervenția directă a autorității sau a entităților SAL, nu valorifică rolul potențial al platformelor de intermediere online ca facilitatori ai dialogului între părți și ai soluționării rapide și eficiente a reclamațiilor în mediul online. Absența unei norme exprese care să recunoască și să structureze aceste mecanisme interne descurajează platformele să investească în dezvoltarea lor și lasă neclar statutul lor juridic, inclusiv din perspectiva delimitării față de procedurile SAL și a garanțiilor pentru consumatori.</w:t>
            </w:r>
          </w:p>
          <w:p w14:paraId="1F733AD7"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22A5032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291/2016 reglementează organizarea și desfășurarea jocurilor de noroc, inclusiv utilizarea mijloacelor de joc și desfășurarea jocurilor prin rețele de comunicații electronice. Cadrul actual nu delimitează însă expres aceste activități de producerea, în regim B2B, a conținutului digital și a serviciilor de transmisie live destinate exclusiv unor beneficiari nerezidenți, fără participarea jucătorilor din Republica Moldova.</w:t>
            </w:r>
          </w:p>
          <w:p w14:paraId="2F75C53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Modelul analizat presupune funcționarea unui studio similar unui studio de televiziune, care utilizează aplicații digitale, echipamente IT, camere, sisteme de iluminat și elemente de decor specifice. Compania locală nu acceptă mize, nu oferă câștiguri și nu organizează jocuri de noroc pentru public, ci furnizează conținut digital către entități străine licențiate, în baza unor contracte comerciale. Modele similare funcționează în Marea Britanie, Bulgaria și România, care au și ele regimuri stricte privind jocurile de noroc. Diferența importantă este că acestea delimitează mai clar activitatea operatorului B2C de activitățile furnizorilor B2B.</w:t>
            </w:r>
          </w:p>
          <w:p w14:paraId="541C43C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Lipsa acestei delimitări legale exprese creează riscul ca echipamentele și activitatea studioului să fie asimilate mijloacelor sau activităților din domeniul jocurilor de noroc. Această incertitudine împiedică realizarea investițiilor în acest domeniu. De ex., la moment se examinează o investiție estimată la aproximativ 30 milioane EUR și crearea a circa 2.000 de locuri de muncă, preponderent pentru tineri cu vârsta între 18 și 30 de ani.</w:t>
            </w:r>
          </w:p>
          <w:p w14:paraId="2AAC89A6"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38297B0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Legea nr. 77/2016 a consacrat un model performant de stimulare a industriei IT, bazat în principal pe regimul impozitului unic. Cadrul actual nu definește însă suficient al doilea </w:t>
            </w:r>
            <w:r>
              <w:rPr>
                <w:rFonts w:ascii="Times New Roman" w:eastAsia="Times New Roman" w:hAnsi="Times New Roman" w:cs="Times New Roman"/>
                <w:sz w:val="24"/>
                <w:szCs w:val="24"/>
              </w:rPr>
              <w:lastRenderedPageBreak/>
              <w:t>pilon de dezvoltare a MITP: susținerea inovării digitale, cercetării aplicative, transferului tehnologic și startup-urilor prin programe, fonduri și instrumente administrate de Administrația parcului.</w:t>
            </w:r>
          </w:p>
          <w:p w14:paraId="2A61673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Deși cadrul subordonat permite dezvoltarea unor mecanisme de sprijin, legea nu stabilește expres întreaga gamă a surselor de finanțare, formele de sprijin și posibilitatea Administrației de a participa la programe, consorții și inițiative europene. Această lacună limitează capacitatea MITP de a accesa și administra fonduri externe, inclusiv resurse din programele Uniunii Europene, și de a evolua dintr-un regim fiscal într-o platformă națională de inovare digitală. </w:t>
            </w:r>
          </w:p>
          <w:p w14:paraId="75C1F1E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unele prevederi privind facilitățile rezidenților, efectele retragerii titlului și activitățile de call-centre necesită clarificare. În special, includerea serviciilor de call-centre este condiționată de prestarea exclusivă la export, dar legea nu precizează că acestea trebuie să reprezinte activitatea principală a companiei, ceea ce lasă spațiu de interpretare și poate afecta companiile a căror activitate de bază constituie servicii din alte domenii de activitate permise în parc, dar pun sub risc companiile ce pot acorda colateral servicii de suport, inclusiv pe piața internă.</w:t>
            </w:r>
          </w:p>
          <w:p w14:paraId="2EEEB9B0"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1756564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29 din Legea nr. 71/2007 reglementează punerea la dispoziție a datelor din registre prin acces la date, eliberarea documentelor electronice sau pe suport de hârtie și furnizarea informației prin mijloace de comunicații. Cadrul actual nu permite însă în mod expres emiterea unor atestări electronice ale atributelor, gestionate și prezentate de titular prin aplicația guvernamentală integrată EVO.</w:t>
            </w:r>
          </w:p>
          <w:p w14:paraId="6638A44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persoanele trebuie să solicite și să prezinte repetat extrase, certificate, licențe, autorizații, permise sau alte documente, inclusiv atunci când este necesară confirmarea unui singur atribut. Documentele pot conține mai multe date decât sunt necesare, ceea ce generează sarcini administrative și nu corespunde pe deplin principiilor „once-only” și minimizării datelor.</w:t>
            </w:r>
          </w:p>
          <w:p w14:paraId="26022FE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privind identificarea electronică și serviciile de încredere nr. 395/MDED/SIS/2026 va transpune cadrul eIDAS 2.0 și va reglementa portofelul pentru identitatea digitală și atestările electronice ale atributelor, însă implementarea este preconizată pentru finele anului 2027 sau începutul anului 2028. Este necesar, prin urmare, un temei juridic intermediar pentru valorificarea funcționalităților EVO 2.0 și trecerea graduală de la modelul bazat pe documente la cel bazat pe atribute.</w:t>
            </w:r>
          </w:p>
          <w:p w14:paraId="6163B680"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495D30D4"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72 din Codul administrativ nr. 116/2018 impune aplicarea semnăturii electronice pe petițiile depuse în formă electronică. Nerespectarea acestei cerințe poate conduce, potrivit art. 75, la neexaminarea petiției, chiar dacă identitatea petiționarului a fost deja stabilită printr-un mecanism guvernamental de identificare și autentificare electronică.</w:t>
            </w:r>
          </w:p>
          <w:p w14:paraId="1727172D"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Cerința cumulativă de autentificare și semnare generează o etapă suplimentară pentru petiționar și limitează accesul persoanelor care se pot autentifica prin infrastructura guvernamentală, dar nu dețin un instrument de semnare electronică. În aceste situații, semnătura nu aduce întotdeauna o garanție suplimentară proporțională, dacă sistemul poate atribui fără echivoc acțiunea persoanei autentificate și poate conserva conținutul și dovada depunerii.</w:t>
            </w:r>
          </w:p>
          <w:p w14:paraId="51B0CAE0"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Este necesară diferențierea între funcția de identificare și autentificare a petiționarului și funcția semnăturii electronice. Pentru petițiile depuse într-un sistem informațional de stat securizat, autentificarea guvernamentală, înregistrarea datei și orei și păstrarea unei dovezi verificabile a depunerii pot asigura atribuirea și trasabilitatea acțiunii fără aplicarea separată a semnăturii electronice.</w:t>
            </w:r>
          </w:p>
          <w:p w14:paraId="3E236463"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6ECEEE72"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Legea 187/2025 a instituit în Codul fiscal, Codul civil, Codul administrativ și Codul vamal, un mecanism coordonat de comunicare oficială electronică între autoritățile publice și mediul de afaceri. Normele, care urmează să între în vigoare la 1 ianuarie 2027, utilizează însă sintagma „portalul guvernamental al unităților de drept”. </w:t>
            </w:r>
          </w:p>
          <w:p w14:paraId="139E8C5E" w14:textId="77777777" w:rsidR="00140DD2" w:rsidRDefault="00000000">
            <w:pPr>
              <w:ind w:firstLine="708"/>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Ulterior adoptării legii, prin Hotărârea Guvernului nr. 677/2025, portalurile guvernamentale ale cetățeanului și unităților de drept, precum și aplicația guvernamentală a serviciilor electronice, au fost consolidate în Portalul guvernamental integrat EVO. Menținerea denumirii anterioare ar putea limita efectele juridice ale comunicării la o componentă tehnică distinctă și ar crea incertitudine privind documentele accesate prin celelalte componente EVO.</w:t>
            </w:r>
            <w:r>
              <w:rPr>
                <w:rFonts w:ascii="Times New Roman" w:eastAsia="Times New Roman" w:hAnsi="Times New Roman" w:cs="Times New Roman"/>
                <w:color w:val="1155CC"/>
                <w:sz w:val="24"/>
                <w:szCs w:val="24"/>
                <w:u w:val="single"/>
              </w:rPr>
              <w:t xml:space="preserve"> </w:t>
            </w:r>
          </w:p>
          <w:p w14:paraId="447BBCDA"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formula actuală se referă numai la „autorități publice”, deși comunicări oficiale sunt efectuate și de instituții publice sau alte persoane juridice de drept public. Fără o clarificare, ar putea fi contestate efectele comunicărilor transmise de aceste entități, iar cele patru coduri ar putea aplica neuniform momentul recepționării documentelor.</w:t>
            </w:r>
          </w:p>
          <w:p w14:paraId="5A08D4B4" w14:textId="77777777" w:rsidR="00140DD2" w:rsidRDefault="00140DD2">
            <w:pPr>
              <w:ind w:firstLine="705"/>
              <w:rPr>
                <w:rFonts w:ascii="Times New Roman" w:eastAsia="Times New Roman" w:hAnsi="Times New Roman" w:cs="Times New Roman"/>
                <w:b/>
                <w:bCs/>
                <w:sz w:val="24"/>
                <w:szCs w:val="24"/>
              </w:rPr>
            </w:pPr>
          </w:p>
        </w:tc>
      </w:tr>
      <w:tr w:rsidR="00140DD2" w14:paraId="53AEB2B6"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745969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 Obiectivele urmărite și soluțiile propuse</w:t>
            </w:r>
          </w:p>
        </w:tc>
      </w:tr>
      <w:tr w:rsidR="00140DD2" w14:paraId="69B8E4C0" w14:textId="77777777">
        <w:tc>
          <w:tcPr>
            <w:tcW w:w="910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700ACF2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3.1. Principalele prevederi ale proiectului și evidențierea elementelor noi</w:t>
            </w:r>
          </w:p>
        </w:tc>
      </w:tr>
      <w:tr w:rsidR="00140DD2" w14:paraId="7FBF9350"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8AE133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 MODIFICAREA LEGII NR. 880/1992 PRIVIND FONDUL ARHIVISTIC AL REPUBLICII MOLDOVA</w:t>
            </w:r>
          </w:p>
          <w:p w14:paraId="5925393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propune modificarea Legii nr. 880/1992 privind Fondul Arhivistic al Republicii Moldova, consacrând posibilitatea utilizării serviciilor de arhivă electronică securizată pentru păstrarea documentelor electronice, a datelor, a documentelor și a documentelor digitizate, în condițiile legislației privind identificarea electronică și serviciile de încredere și ale legislației privind protecția datelor cu caracter personal. Standardele minime de păstrare și de securitate — integritatea, autenticitatea, disponibilitatea, lizibilitatea, trasabilitatea și conservarea valorii probante pe termen lung — se aprobă prin hotărâre de Guvern pentru documentele care fac parte din Fondul Arhivistic de Stat. Proiectul instituie Sistemul informațional „Arhiva electronică”, cu asigurarea interoperabilității prin platforma de interoperabilitate (MConnect), consacră recunoașterea transversală a documentelor arhivate electronic și prezumția de integritate a acestora, reglementează notificarea prealabilă a ștergerii documentelor la expirarea termenului de păstrare și permite distrugerea documentelor pe suport de hârtie digitizate, cu excepția celor cu termen permanent de păstrare, procedura urmând a fi stabilită prin act normativ aprobat de Guvern.</w:t>
            </w:r>
          </w:p>
          <w:p w14:paraId="190646F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20DDD88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urmărește următoarele obiective specifice:</w:t>
            </w:r>
          </w:p>
          <w:p w14:paraId="79C7DE7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Eliminarea barierelor administrative și reducerea costurilor de conformare pentru antreprenori prin instituirea unui mecanism gratuit de verificare preliminară a denumirii;</w:t>
            </w:r>
          </w:p>
          <w:p w14:paraId="03ADB8D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Creșterea transparenței și predictibilității procedurii de rezervare a denumirii prin digitalizarea și automatizarea procesului de verificare;</w:t>
            </w:r>
          </w:p>
          <w:p w14:paraId="3A99130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Alinierea procedurii la standardele europene și la bunele practici internaționale în domeniul înregistrării persoanelor juridice.</w:t>
            </w:r>
          </w:p>
          <w:p w14:paraId="1D7AF3B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propune modificarea articolului 9 alin. (7) din Legea nr. 220/2007, astfel încât, anterior depunerii cererii de înregistrare a persoanei juridice, solicitantul să beneficieze de verificarea preliminară gratuită, în regim online, prin intermediul Portalului guvernamental integrat EVO, a disponibilității denumirii propuse, în baza datelor din Registrul de stat al unităților de drept, cu posibilitatea indicării a până la trei variante de denumire, în ordine preferențială.</w:t>
            </w:r>
          </w:p>
          <w:p w14:paraId="10E491F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Verificarea preliminară are caracter informativ și nu produce efectul rezervării denumirii. Verificarea sub aspectul distinctivității și al conformității lingvistice, precum și </w:t>
            </w:r>
            <w:r>
              <w:rPr>
                <w:rFonts w:ascii="Times New Roman" w:eastAsia="Times New Roman" w:hAnsi="Times New Roman" w:cs="Times New Roman"/>
                <w:sz w:val="24"/>
                <w:szCs w:val="24"/>
              </w:rPr>
              <w:lastRenderedPageBreak/>
              <w:t>rezervarea denumirii, rămân servicii prestate contra plată de organul înregistrării de stat, taxa fiind percepută doar în cazul confirmării posibilității rezervării. În cazul depunerii documentelor pe suport de hârtie, în condițiile art. 8 alin. (1) lit. b), verificarea disponibilității denumirii se asigură inclusiv la sediul organului înregistrării de stat.</w:t>
            </w:r>
          </w:p>
          <w:p w14:paraId="2BC08C7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proiectul introduce, ca modalitate principală de furnizare pentru utilizare la nivel național, accesul prin aplicații web la informația din RSUD, generată automat și în timp real. Pentru prezentarea informației peste hotare se păstrează posibilitatea eliberării extrasului din Registrul de stat.</w:t>
            </w:r>
          </w:p>
          <w:p w14:paraId="14D8B17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Modificările completează atribuțiile ASP și normele privind plata serviciilor, astfel încât acestea să includă expres informația generată și furnizată automat. Elementul nou constă în trecerea de la eliberarea unui document la accesarea informației oficiale direct din registru, extrasul rămânând necesar pentru situațiile în care este solicitat un document formal utilizabil peste hotare.</w:t>
            </w:r>
          </w:p>
          <w:p w14:paraId="7DFBD58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133/2016 PRIVIND DECLARAREA AVERII ȘI A INTERESELOR PERSONALE</w:t>
            </w:r>
          </w:p>
          <w:p w14:paraId="413B361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propune, în primul rând, clarificarea și consolidarea regimului juridic al depunerii declarațiilor de avere și interese personale în formă electronică, prin consacrarea expresă, în Legea nr. 133/2016, a posibilității utilizării oricărei semnături electronice calificate emise de un prestator de servicii de încredere calificat, în condițiile Legii nr. 124/2022 privind identificarea electronică și serviciile de încredere, indiferent de natura prestatorului. Textul legal distinge clar între standardul de calificare a semnăturii, care determină echivalența juridică cu semnătura olografă, și identitatea prestatorului.</w:t>
            </w:r>
          </w:p>
          <w:p w14:paraId="1797FED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al doilea rând, proiectul reformulează art. 7 alin. (2) din Legea nr. 133/2016, astfel încât: (i) declarațiile electronice se semnează cu semnătură electronică calificată emisă de un prestator de servicii de încredere calificat; (ii) subiecții declarării pot utiliza orice semnătură electronică calificată, în condițiile Legii nr. 124/2022; (iii) acordarea cu titlu gratuit a serviciilor de încredere calificate pentru emiterea semnăturii electronice calificate și a dispozitivelor de creare a semnăturii electronice se stabilește de Guvern și nu limitează dreptul de utilizare a altor semnături electronice calificate.</w:t>
            </w:r>
          </w:p>
          <w:p w14:paraId="3D17F45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al treilea rând, proiectul urmărește ca procedurile și platformele guvernamentale de depunere și verificare a declarațiilor să accepte, în mod efectiv, toate semnăturile electronice calificate recunoscute de legislația Republicii Moldova. Se reține, în acest sens, că Serviciul guvernamental de semnătură electronică (MSign) constituie o infrastructură tehnică de interoperabilitate și de validare a semnăturilor emise de diferiți prestatori, fără a institui o preferință juridică sau tehnică pentru un anumit furnizor, iar eventualele limitări existente țin de mecanismele de recunoaștere transfrontalieră, aflate în curs de dezvoltare, iar nu de cadrul normativ intern.</w:t>
            </w:r>
          </w:p>
          <w:p w14:paraId="22E18B31"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308/2017 CU PRIVIRE LA PREVENIREA ȘI COMBATEREA SPĂLĂRII BANILOR ȘI FINANȚĂRII TERORISMULUI</w:t>
            </w:r>
          </w:p>
          <w:p w14:paraId="41A5A5D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Ca urmare a procesului de avizare, intervențiile inițial propuse asupra Legii nr. 308/2017 au fost retrase, urmând a fi reconsiderate în cadrul procesului distinct de transpunere a noului pachet legislativ european în domeniu, coordonat de Serviciul Prevenirea și Combaterea Spălării Banilor.</w:t>
            </w:r>
          </w:p>
          <w:p w14:paraId="0AD867E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menține două intervenții cu caracter de eliminare a cerințelor de tip „gold-plating”, propuse de Asociația Națională a Companiilor din Domeniul TIC și acceptate în cadrul avizării:</w:t>
            </w:r>
          </w:p>
          <w:p w14:paraId="2B15C16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 completarea art. 5² cu alineatul (6¹), potrivit căruia actele cu caracter public, obligatoriu, general și impersonal, care instituie obligații pentru persoane, inclusiv în procedura de înregistrare de stat sau de introducere a unor modificări în registrele de evidență, constituie acte normative și se elaborează, se adoptă și se publică în condițiile Legii nr. 100/2017 cu privire la actele normative;</w:t>
            </w:r>
          </w:p>
          <w:p w14:paraId="7CA8B19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modificarea art. 14, prin excluderea întreprinzătorului individual din sfera obligațiilor de declarare și de actualizare a datelor privind beneficiarul efectiv — obligație lipsită de valoare adăugată de transparență, întrucât beneficiarul efectiv coincide cu titularul însuși — și prin precizarea momentului de la care curge termenul de 30 de zile pentru actualizarea datelor.</w:t>
            </w:r>
          </w:p>
          <w:p w14:paraId="6EB25B7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urmărește creșterea securității juridice și alinierea legislației la standardele europene privind transparența beneficiarilor efectivi. Se propune: (i) definirea expresă a datelor privind beneficiarul efectiv și a informațiilor privind interesele generatoare de beneficii; (ii) instituirea unui regim bazat pe măsuri rezonabile și proporționale pentru beneficiarii efectivi nerezidenți; (iii) ajustarea obligației de actualizare a informațiilor astfel încât termenul să curgă din momentul în care modificările sunt făcute cunoscute persoanei obligate; (iv) completarea regimului contravențional; (v) instituirea obligației de publicare a actelor cu caracter normativ emise în aplicarea Legii nr. 308/2017. Rezultatul urmărit constă în reducerea cazurilor de refuz al înregistrării, eliminarea incertitudinii juridice și creșterea gradului de conformare.</w:t>
            </w:r>
          </w:p>
          <w:p w14:paraId="6E1151F6"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174/2021 PRIVIND MECANISMUL DE EXAMINARE A INVESTIȚIILOR DE IMPORTANȚĂ PENTRU SECURITATEA STATULUI</w:t>
            </w:r>
          </w:p>
          <w:p w14:paraId="29824BB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Intervenția urmărește următoarele obiective principale. Proiectul are ca obiectiv general perfecționarea mecanismului de examinare a investițiilor de importanță pentru securitatea statului prin clarificarea domeniilor supuse examinării, eficientizarea procedurii de aprobare prealabilă și reducerea sarcinilor administrative disproporționate pentru investitorii cu risc redus.</w:t>
            </w:r>
          </w:p>
          <w:p w14:paraId="069EB2E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Primul obiectiv este clarificarea sferei de aplicare a legii, prin expunerea art. 4 într-o redacție nouă care definește domeniile de importanță pentru securitatea statului prin raportare la infrastructurile critice naționale și la tehnologiile critice, astfel cum acestea sunt identificate prin legislația specială, lista detaliată și criteriile de încadrare urmând a fi stabilite prin hotărâre de Guvern. Definiția noțiunii de „tehnologie critică” a fost reformulată prin eliminarea trimiterii directe la Recomandarea Comisiei Europene C(2023) 6689 și la actele ulterioare de modificare a acesteia, pentru a nu institui o normă cu caracter dinamic, dependentă de evoluția unui act extern. Astfel, proiectul completează art. 3 cu alineatele (3) și (4), instituind un mecanism special pentru înregistrarea întreprinderilor noi. În cazul înregistrării unei întreprinderi noi care intenționează să desfășoare activități în domeniile prevăzute la art. 4 alin. (1), organul înregistrării de stat va comunica datele relevante Consiliului pentru aprecierea necesității unei examinări din oficiu. În același timp, întreprinderile noi sunt scutite de obligația de depunere a solicitării de aprobare a investițiilor în cadrul procedurii de înregistrare. Această soluție permite constituirea întreprinderii fără blocarea procedurii de înregistrare, menținând totodată posibilitatea Consiliului de a interveni ulterior, dacă apar riscuri relevante pentru securitatea statului.</w:t>
            </w:r>
          </w:p>
          <w:p w14:paraId="1142D79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doilea obiectiv este eficientizarea procedurii de examinare: instituirea unui mecanism de comunicare, de către organul înregistrării de stat și de alte autorități competente, a datelor relevante către Consiliul pentru Examinarea Investițiilor de Importanță pentru Securitatea Statului; introducerea deciziei de neaplicabilitate; termene de examinare diferențiate în funcție de risc; posibilitatea prelungirii motivate a termenelor; clarificarea regimului sancțiunilor și al dispozițiilor Consiliului; precum și actualizarea trimiterilor la Legea securității statului nr. 618/1995, abrogată. Astfel, proiectul reformulează art. 4 și stabilește o listă detaliată a domeniilor de importanță pentru securitatea statului. Sunt introduse criterii obiective pentru infrastructura energetică, transporturi, apă și canalizare, comunicații, infrastructura de date, domeniul aerospațial, apărare, electoral, tehnologii informaționale, inteligență artificială, robotică, semiconductori, securitate cibernetică, tehnologii nucleare, biotehnologii, aeroporturi, autogări, căi ferate, porturi, materiale nucleare, deșeuri radioactive și chimice periculoase, audiovizual, managementul traficului </w:t>
            </w:r>
            <w:r>
              <w:rPr>
                <w:rFonts w:ascii="Times New Roman" w:eastAsia="Times New Roman" w:hAnsi="Times New Roman" w:cs="Times New Roman"/>
                <w:sz w:val="24"/>
                <w:szCs w:val="24"/>
              </w:rPr>
              <w:lastRenderedPageBreak/>
              <w:t>aerian, aeronave, aerodromuri, produse și tehnologii militare, registre publice și activități hidrometeorologice și geofizice. Această detaliere, care include praguri cuantificate pentru unele domenii, reduce marja de interpretare și permite identificarea mai precisă a domeniilor sensibile, reducând totodată impactul asupra unor afaceri care nu comportă un impact la nivel de țară.</w:t>
            </w:r>
          </w:p>
          <w:p w14:paraId="4C56474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Norma privind utilizarea codurilor CAEM cu titlu orientativ nu a fost reținută, întrucât examinarea investițiilor se realizează prin raportare la natura activității efective, iar nu la clasificarea statistică declarată. Rezultatul scontat este creșterea previzibilității juridice, reducerea riscului de interpretare excesivă și asigurarea unei aplicări mai precise a mecanismului de examinare a investițiilor. Proiectul introduce la art. 4 alin. (2) obligația autorităților și entităților publice sau private, a autorităților emitente de acte permisive, a Depozitarului central unic și a societăților de registru de a furniza Consiliului informații privind investițiile, investitorii și investitorii potențiali care fac obiectul legii. Această obligație consolidează funcția de monitorizare a Consiliului și permite identificarea tranzacțiilor de preluare a controlului sau de procurare a unei cote semnificative în capitalul social al întreprinderilor din domenii sensibile.</w:t>
            </w:r>
          </w:p>
          <w:p w14:paraId="24F92CD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asemenea clarifică procedura de aprobare prealabilă prevăzută la art. 7. Se precizează că solicitarea poate fi depusă de investitorul care acționează individual sau de una dintre persoanele din grupul de persoane care acționează concertat. Se stabilește obligația indicării persoanei împuternicite să depună cererea în cazul acțiunii concertate. Totodată, termenul de examinare se diferențiază în funcție de risc: până la 20 de zile lucrătoare pentru cazurile cu risc redus și până la 30 de zile lucrătoare pentru celelalte cazuri, de la data primirii tuturor documentelor și informațiilor necesare.</w:t>
            </w:r>
          </w:p>
          <w:p w14:paraId="0639D08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introduce categoria cazurilor cu risc redus. Acestea includ investitorii care au obținut anterior o aprobare prealabilă în Republica Moldova și companiile cu sediul într-un stat membru al Uniunii Europene care dețin o aprobare similară emisă în conformitate cu legislația UE sau a statului membru respectiv. Această soluție reflectă principiul proporționalității și permite concentrarea resurselor administrative asupra investițiilor care prezintă riscuri reale.</w:t>
            </w:r>
          </w:p>
          <w:p w14:paraId="7300B8A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introduce la art. 9 decizia de neaplicabilitate. În cazul în care Consiliul constată că activitatea economică sau investiția analizată nu necesită aprobare prealabilă, acesta va putea emite o decizie expresă în acest sens. Această soluție oferă investitorului certitudine juridică și reduce riscul de interpretare divergentă.</w:t>
            </w:r>
          </w:p>
          <w:p w14:paraId="7DB7FB8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reglementează posibilitatea prelungirii termenului pentru prezentarea informațiilor suplimentare, atunci când investitorul demonstrează imposibilitatea prezentării datelor în termenul inițial din motive obiective, inclusiv din cauza termenelor prevăzute de legislația altor state. Această soluție este importantă pentru tranzacțiile transfrontaliere și pentru investitorii care trebuie să obțină documente din jurisdicții străine.</w:t>
            </w:r>
          </w:p>
          <w:p w14:paraId="1639AB2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ajustează regimul sancționator prevăzut la art. 11, prin diferențierea investitorilor persoane juridice și persoane fizice, stabilirea unor plafoane maxime ale amenzilor și introducerea unor reguli pentru situațiile în care întreprinderea nu a realizat cifră de afaceri. Se clarifică și posibilitatea sancționării beneficiarului efectiv în situații determinate de imposibilitatea achitării amenzii de către investitor, cu respectarea principiului proporționalității.</w:t>
            </w:r>
          </w:p>
          <w:p w14:paraId="3D6714A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clarifică regimul dispozițiilor emise de Consiliu și dreptul de contestare a acestora, prin modificarea art. 11¹ și art. 14, astfel încât persoanele afectate de deciziile sau dispozițiile Consiliului să beneficieze de claritate procedurală și garanții de contestare.</w:t>
            </w:r>
          </w:p>
          <w:p w14:paraId="3CA84051"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105/2003 PRIVIND PROTECȚIA CONSUMATORILOR</w:t>
            </w:r>
          </w:p>
          <w:p w14:paraId="1DB842E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40EAC1A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de lege completează art. 25 din Legea nr. 105/2003 prin introducerea a șase alineate noi, care reglementează regimul cheltuielilor aferente expertizei tehnice a produselor </w:t>
            </w:r>
            <w:r>
              <w:rPr>
                <w:rFonts w:ascii="Times New Roman" w:eastAsia="Times New Roman" w:hAnsi="Times New Roman" w:cs="Times New Roman"/>
                <w:sz w:val="24"/>
                <w:szCs w:val="24"/>
              </w:rPr>
              <w:lastRenderedPageBreak/>
              <w:t>sau serviciilor pretins neconforme, obligația de informare prealabilă a consumatorului și garanțiile procedurale în favoarea acestuia. Noul cadru urmărește să corecteze dezechilibrul actual și se aliniază principiului proporționalității consacrat în dreptul Uniunii Europene.</w:t>
            </w:r>
          </w:p>
          <w:p w14:paraId="0914E11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Primul element esențial concretizat în proiect este prevederea expresă a faptului că, în continuare, cheltuielile legate de efectuarea expertizei tehnice sunt suportate inițial de comerciant, ceea ce păstrează standardul ridicat de protecție a consumatorilor și reflectă regula conform căreia sarcina probei revine comerciantului, în temeiul art. 23 alin. (6) din Legea nr. 105/2003. Astfel, consumatorul nu este împiedicat să solicite clarificarea situației de neconformitate a bunului sau serviciului prin expertiză, iar accesul său la remediile prevăzute de Legea nr. 105/2003 rămâne neschimbat.</w:t>
            </w:r>
          </w:p>
          <w:p w14:paraId="010B0D2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Al doilea element ține de instituirea unei obligații detaliate de informare a consumatorului, pe un suport durabil, înainte de depunerea cererii de efectuare a expertizei, atunci când aceasta este inițiată de vânzător sau prestator. Informarea vizează entitatea care urmează să efectueze expertiza și obiectul acesteia, costul estimativ determinat pe baza tarifelor practicate de această entitate, dreptul vânzătorului sau prestatorului de a solicita rambursarea cheltuielilor efective — suma rambursabilă neputând depăși costul estimativ comunicat, cu excepția cazului în care consumatorul a acceptat expres o majorare — precum și dreptul consumatorului de a se adresa organelor abilitate cu funcții de protecție a consumatorilor sau instanțelor de judecată.</w:t>
            </w:r>
          </w:p>
          <w:p w14:paraId="2003C7E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Al treilea element îl constituie clarificarea situației în care expertiza confirmă neconformitatea inițială a produsului sau serviciului, din motive neimputabile consumatorului. În acest caz, cheltuielile expertizei rămân definitiv în sarcina vânzătorului sau prestatorului, care este obligat să aducă produsul sau serviciul la conformitate în mod gratuit, în conformitate cu art. 20 și art. 25 din Legea nr. 105/2003. Norma consolidează garanția că exercitarea drepturilor consumatorului nu atrage niciun cost atunci când reclamația sa este întemeiată, fiind în deplină concordanță cu jurisprudența națională și europeană privind protecția consumatorului ca parte slabă în raportul juridic.</w:t>
            </w:r>
          </w:p>
          <w:p w14:paraId="4C1836F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Al patrulea element este instituirea unui mecanism expres de rambursare a cheltuielilor de expertiză de către consumator, atunci când se demonstrează, prin probe obiective, că neconformitatea a apărut din motive imputabile acestuia, de exemplu, utilizare contrară instrucțiunilor sau factori externi apăruți după livrare, și că deficiențele invocate nu existau la momentul livrării. Obligația de rambursare nu este aplicabilă în ipoteza în care expertiza a fost necesară comerciantului pentru a-și îndeplini propria obligație legală de probațiune prevăzută de art. 23 alin. (6) din Legea nr. 105/2003. Această distincție este esențială: atunci când comerciantul inițiază expertiza tocmai pentru a determina dacă defectul exista la livrare, adică pentru a răspunde întrebării pe care legea îl obligă să o clarifice, costul acestei expertize nu poate fi imputat consumatorului, indiferent de rezultat. Rambursarea poate fi solicitată exclusiv atunci când expertiza, efectuată de o terță parte independentă, demonstrează cu probe obiective că defectul a fost cauzat de conduita consumatorului ulterior livrării. În această ipoteză, consumatorul va fi obligat să ramburseze vânzătorului sau prestatorului cheltuielile efective suportate, în baza documentelor confirmative prezentate de acesta, fără ca rambursarea să afecteze dreptul consumatorului de a contesta rezultatul expertizei în fața organelor abilitate cu funcții de protecție a consumatorilor, prin mecanisme alternative de soluționare a litigiilor sau în instanța de judecată. Mecanismul creează o repartizare echitabilă a riscurilor: comerciantul avansează costurile pentru a asigura accesul efectiv la expertiză, însă nu rămâne captiv financiar în situația în care expertiza confirmă culpa exclusivă a consumatorului.</w:t>
            </w:r>
          </w:p>
          <w:p w14:paraId="58009AF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Al cincilea element, introdus ca urmare a avizului Inspectoratului de Stat pentru Supravegherea Produselor Nealimentare și Protecția Consumatorilor, constă în interdicția solicitării rambursării cheltuielilor de expertiză atunci când aceasta stabilește existența neconformității ori nu permite determinarea cauzei deficienței.</w:t>
            </w:r>
          </w:p>
          <w:p w14:paraId="2A46155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 șaselea element constă în interdicția condiționării examinării și soluționării reclamației de acceptarea prealabilă, de către consumator, a costurilor expertizei tehnice; refuzul consumatorului de a accepta costul estimativ comunicat nu constituie retragere a reclamației și nu exonerează vânzătorul sau prestatorul de obligația de probațiune.</w:t>
            </w:r>
          </w:p>
          <w:p w14:paraId="52E468B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1F92063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introduce în Legea nr. 105/2003 un nou articol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care consacră, în mod expres, posibilitatea furnizorilor de servicii de intermediere online, astfel cum sunt denumiți în  Legea nr. 53/2025, de a institui sisteme interne de soluționare a reclamațiilor formulate de consumatori împotriva vânzătorilor sau prestatorilor care își oferă produsele ori serviciile prin intermediul acestor platforme. Aceste sisteme au caracter voluntar și nu afectează răspunderea juridică a vânzătorului/prestatorului în temeiul Legii nr. 105/2003. Sistemele vor avea scopul de a acționa ca instrumente procedurale suplimentare, orientate spre soluționarea rapidă și amiabilă a litigiilor.</w:t>
            </w:r>
          </w:p>
          <w:p w14:paraId="4005BF6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Textul propus califică sistemul intern de soluționare a reclamațiilor ca mecanism de instrumentare a reclamațiilor gestionat de comerciant, distinct de entitățile de soluționare alternativă a litigiilor (SAL) și de procedurile SAL reglementate în Capitolul IX al Legii. Această delimitare recunoaște rolul platformelor de intermediere online ca facilitatori ai dialogului între consumator și vânzător/prestator.</w:t>
            </w:r>
          </w:p>
          <w:p w14:paraId="378DA91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detaliază rolul pe care îl poate avea furnizorul de servicii de intermediere online în cadrul sistemului intern: facilitarea comunicării dintre consumator și vânzător/prestator, monitorizarea electronică a parcursului reclamației și a respectării termenelor rezonabile de examinare, precum și formularea de recomandări sau propuneri de soluționare amiabilă. Platforma nu impune o soluție și nu substituie deciziile vânzătorului/prestatorului, ale entităților SAL sau ale instanțelor de judecată, ci creează un cadru organizat pentru dialog și negociere.</w:t>
            </w:r>
          </w:p>
          <w:p w14:paraId="509BBD4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Un element central al reglementării este reafirmarea faptului că instituirea și utilizarea sistemului intern nu modifică obligațiile legale ale vânzătorului/prestatorului față de consumator: acesta rămâne responsabil de îndeplinirea tuturor obligațiilor care îi revin potrivit Legii nr. 105/2003, inclusiv în ceea ce privește răspunderea pentru neconformitatea produselor sau serviciilor. În același timp, se consacră expres că utilizarea sistemului intern nu poate limita și nu poate condiționa drepturile consumatorului de a se adresa direct vânzătorului/prestatorului, autorităților competente, entităților SAL sau instanțelor de judecată, precum și de a utiliza mecanismele de soluționare online a litigiilor.</w:t>
            </w:r>
          </w:p>
          <w:p w14:paraId="01BA21C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Ca urmare a avizelor Inspectoratului de Stat pentru Supravegherea Produselor Nealimentare și Protecția Consumatorilor și al Agenției Naționale pentru Siguranța Alimentelor, alineatul (3) a fost reformulat pentru a enunța direct efectele reclamației depuse electronic — echivalente celor ale reclamației depuse direct — și pentru a clarifica raportul dintre sesizarea neconformității și predarea produsului, termenul prevăzut la art. 9 lit. j) curgând de la data îndeplinirii ambelor condiții. Alineatul (8) a fost completat cu obligația de informare a consumatorului și cu privire la dreptul de a se adresa organelor abilitate cu funcții de protecție a consumatorilor sau instanțelor de judecată.</w:t>
            </w:r>
          </w:p>
          <w:p w14:paraId="4891FD93"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23B9CB7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exclude expres din domeniul activităților de jocuri de noroc producerea, cu utilizarea tehnologiilor informației și comunicațiilor, a conținutului digital destinat exclusiv exportului către beneficiari nerezidenți, în baza contractelor încheiate cu aceștia. Excepția se aplică activităților B2B care nu presupun acceptarea mizelor, oferirea câștigurilor sau participarea jucătorilor din Republica Moldova.</w:t>
            </w:r>
          </w:p>
          <w:p w14:paraId="29BE7C2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se stabilește că cerințele privind mijloacele și utilajele de joc nu se aplică acestor agenți economici și se permite importul echipamentelor necesare desfășurării activității. Elementul nou constă în delimitarea expresă a producției de conținut digital pentru export de organizarea și desfășurarea propriu-zisă a jocurilor de noroc.</w:t>
            </w:r>
          </w:p>
          <w:p w14:paraId="7CADA20D"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lastRenderedPageBreak/>
              <w:t>VIII. LEGEA NR. 77/2016 CU PRIVIRE LA PARCURILE PENTRU TEHNOLOGIA INFORMAȚIEI</w:t>
            </w:r>
          </w:p>
          <w:p w14:paraId="2C2ED33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completează obiectivele parcurilor cu stimularea inovării digitale, facilitarea accesului startupurilor la finanțare și integrarea ecosistemului național în spațiul european de cercetare și inovare. Administrația va putea institui și administra programe, fonduri și instrumente finanțate din bugetul de stat, fonduri externe nerambursabile, programe ale Uniunii Europene, contribuții ale partenerilor de dezvoltare, donații, sponsorizări și alte surse legale. Sunt reglementate formele de sprijin, principiile de implementare și participarea la consorții naționale și internaționale. Programele UE, inclusiv Horizon Europe, urmăresc colaborarea, dezvoltarea tehnologiilor și consolidarea competitivității. </w:t>
            </w:r>
          </w:p>
          <w:p w14:paraId="1B69E6F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clarifică obligația de informare a salariaților și accesul la instrumentele de inovare. Pentru serviciile de call-centre prestate exclusiv la export se introduce condiția ca acestea să constituie activitatea principală a companiei.</w:t>
            </w:r>
          </w:p>
          <w:p w14:paraId="49D81F27"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032FF26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introduce emiterea și punerea la dispoziție prin EVO a atestărilor electronice ale atributelor ca modalitate distinctă de furnizare a datelor din registre. Atestările vor fi emise de posesorul registrului sau, în numele acestuia, prin sistemul informațional competent, vor fi protejate prin semnătură ori sigiliu electronic calificat și vor permite verificarea originii, autenticității, integrității și statutului de valabilitate.</w:t>
            </w:r>
          </w:p>
          <w:p w14:paraId="617283E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Atestările vor avea efecte juridice echivalente documentelor care confirmă aceleași date, iar titularul va decide prezentarea acestora către părțile utilizatoare. Emiterea pentru persoanele fizice va fi gratuită, iar mecanismul va permite divulgarea selectivă a atributelor, fără accesarea directă a registrului de către destinatar. Abordarea este aliniată funcțional cadrului EUDI Wallet, care prevede divulgarea selectivă a atributelor către părțile utilizatoare.</w:t>
            </w:r>
          </w:p>
          <w:p w14:paraId="72BDB48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72C429B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amendamentului va permite depunerea unei petiții fără semnătură electronică atunci când aceasta este transmisă printr-un sistem informațional de stat în care petiționarul a fost identificat și autentificat prin serviciul guvernamental de identificare și autentificare electronică sau prin EVO. Sistemul trebuie să înregistreze data și ora depunerii și să păstreze dovada acesteia. </w:t>
            </w:r>
          </w:p>
          <w:p w14:paraId="6A81222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Corelativ, lipsa semnăturii electronice nu va mai constitui motiv pentru neexaminarea unei asemenea petiții. Excepția este limitată la canalele guvernamentale autentificate și nu elimină semnătura electronică în situațiile în care aceasta este cerută expres de o normă specială.</w:t>
            </w:r>
          </w:p>
          <w:p w14:paraId="30DD8378"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3D09555B"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înlocuiește, în toate normele vizate, trimiterea la portalul guvernamental al unităților de drept cu formula neutră „cabinetul persoanei din cadrul Portalului guvernamental integrat EVO”. Astfel, comunicarea și efectul recepționării nu vor depinde de componenta tehnică prin care destinatarul accesează documentul.</w:t>
            </w:r>
          </w:p>
          <w:p w14:paraId="2A1C57D5"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Sfera emitenților este extinsă de la autoritățile publice la persoanele juridice de drept public, fiind incluse instituțiile publice și alte entități care comunică oficial cu mediul de afaceri. Documentele și notificările se vor considera recepționate din următoarea zi lucrătoare celei în care au fost remise în cabinetul persoanei, prin aplicarea unei reguli uniforme în materie fiscală, civilă, administrativă și vamală.</w:t>
            </w:r>
          </w:p>
          <w:p w14:paraId="1C623CB4"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40DD2" w14:paraId="12205CA9" w14:textId="77777777">
        <w:tc>
          <w:tcPr>
            <w:tcW w:w="910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738360A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Opțiunile alternative analizate și motivele pentru care acestea nu au fost luate în considerare</w:t>
            </w:r>
          </w:p>
        </w:tc>
      </w:tr>
      <w:tr w:rsidR="00140DD2" w14:paraId="5859915B"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21990F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09DADEC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Au fost analizate următoarele opțiuni alternative:</w:t>
            </w:r>
          </w:p>
          <w:p w14:paraId="2CA013C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ab/>
              <w:t>Menținerea situației actuale, fără modificări: această opțiune a fost respinsă, deoarece nu soluționează problemele structurale identificate, și anume problemele legate de lipsa unei piețe a serviciilor de arhivă electronică securizată privată, imposibilitatea clară de distrugere a documentelor pe suport de hârtie după digitizare, incertitudini pentru mediul de afaceri.</w:t>
            </w:r>
          </w:p>
          <w:p w14:paraId="1422F98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Limitarea arhivării electronice doar la infrastructura guvernamentală, fără autorizarea furnizorilor privați: respinsă, deoarece ar genera un monopol al serviciilor de arhivare, precum și ar încetini adoptarea tehnologică și ar transfera integral costurile investiționale asupra sectorului public, contrar practicilor UE, unde sunt acceptate și infrastructuri de tip cloud privat conforme.</w:t>
            </w:r>
          </w:p>
          <w:p w14:paraId="1CCB9A2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Reglementarea arhivării electronice exclusiv prin acte secundare, subordonate legii – respinsă, deoarece aspectele esențiale precum autorizarea prestatorilor de arhivă electronică securizată, recunoașterea expresă a documentelor digitale și condițiile distrugerii suportului fizic necesită reglementare la nivel de lege pentru a asigura securitatea juridică și previzibilitatea normelor.</w:t>
            </w:r>
          </w:p>
          <w:p w14:paraId="79BD6B9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72D5790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Menținerea situației actuale, fără modificări – această opțiune a fost respinsă deoarece presupune continuarea afectării mediului de afaceri prin costuri nejustificate și impredictibilitate procedurală. Opțiunea dată nu soluționează problema identificată.</w:t>
            </w:r>
          </w:p>
          <w:p w14:paraId="02905D5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Reducerea taxei de verificare și rezervare de la 71 lei, menținând însă obligativitatea achitării pentru fiecare tentativă. Această opțiune a fost respinsă deoarece nu elimină principala problemă, și anume achitarea unei taxe pentru incertitudine. Astfel, o asemenea soluție ar fi incompletă și nu răspunde obiectivelor de transparență și predictibilitate.</w:t>
            </w:r>
          </w:p>
          <w:p w14:paraId="775A29D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Implementarea verificării gratuite de către ASP, fără modificare legislativă. Astfel, ASP ar putea implementa voluntar un instrument de verificare online, fără a modifica cadrul legal, printr-un act administrativ intern. Această opțiune a fost respinsă, deoarece intervenția legislativă este necesară pentru a asigura caracterul obligatoriu, permanent și opozabil al dreptului la verificare gratuită.</w:t>
            </w:r>
          </w:p>
          <w:p w14:paraId="59054A9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a fost analizată menținerea cadrului actual și dezvoltarea serviciilor electronice exclusiv prin soluții administrative sau tehnice ale ASP. Opțiunea nu a fost reținută deoarece nu elimină interpretarea potrivit căreia informația trebuie furnizată printr-un extras distinct și nu instituie un temei legal clar pentru generarea automată, în timp real, a informației oficiale din RSUD.</w:t>
            </w:r>
          </w:p>
          <w:p w14:paraId="4816756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133/2016 PRIVIND DECLARAREA AVERII ȘI A INTERESELOR PERSONALE</w:t>
            </w:r>
          </w:p>
          <w:p w14:paraId="20A3ABC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procesul de elaborare a proiectului au fost analizate mai multe opțiuni alternative, după cum urmează:</w:t>
            </w:r>
          </w:p>
          <w:p w14:paraId="4202526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Menținerea situației actuale, fără modificări – această opțiune presupunea soluționarea exclusiv prin practică administrativă, fără intervenție legislativă. Această opțiune a fost exclusă, deoarece nu oferă claritate normativă asupra echivalenței juridice a tuturor semnăturilor electronice calificate utilizate în special de funcționarii publici, menținând riscurile de interpretare divergentă.</w:t>
            </w:r>
          </w:p>
          <w:p w14:paraId="6E1F1F9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Intervenția doar la nivel secundar, prin modificarea Hotărârii Guvernului nr. 1141/2017, fără ajustarea Legii nr. 133/2016 – această opțiune nu a fost reținută deoarece persista ambiguitatea din Legea nr. 133/2016 privind semnătura electronică și mecanismele stabilite de Guvern.</w:t>
            </w:r>
          </w:p>
          <w:p w14:paraId="4D00416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308/2017 CU PRIVIRE LA PREVENIREA ȘI COMBATEREA SPĂLĂRII BANILOR ȘI FINANȚĂRII TERORISMULUI</w:t>
            </w:r>
          </w:p>
          <w:p w14:paraId="1DDA183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procesul de elaborare au fost analizate opțiuni alternative privind instituirea unui regim de proporționalitate pentru entitățile raportoare de dimensiuni mici și ajustarea unor </w:t>
            </w:r>
            <w:r>
              <w:rPr>
                <w:rFonts w:ascii="Times New Roman" w:eastAsia="Times New Roman" w:hAnsi="Times New Roman" w:cs="Times New Roman"/>
                <w:sz w:val="24"/>
                <w:szCs w:val="24"/>
              </w:rPr>
              <w:lastRenderedPageBreak/>
              <w:t>termene procedurale. Ca urmare a avizelor Serviciului Prevenirea și Combaterea Spălării Banilor și ale Băncii Naționale a Moldovei, a fost reținută opțiunea de a nu interveni fragmentar asupra Legii nr. 308/2017, aceste soluții urmând a fi evaluate în cadrul procesului sistemic de transpunere a Regulamentului (UE) 2024/1624 și a Directivei (UE) 2024/1640. Au fost menținute exclusiv intervențiile de eliminare a cerințelor de tip „gold-plating” care nu afectează arhitectura regimului AML/CFT.</w:t>
            </w:r>
          </w:p>
          <w:p w14:paraId="52E08D6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fost analizată opțiunea menținerii cadrului normativ actual și clarificarea problemelor exclusiv prin ghiduri administrative. Această opțiune nu a fost acceptată deoarece deficiențele identificate rezultă din nivelul legislativ al reglementării și nu pot fi remediate prin acte administrative.</w:t>
            </w:r>
          </w:p>
          <w:p w14:paraId="1F8D422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174/2021 PRIVIND MECANISMUL DE EXAMINARE A INVESTIȚIILOR DE IMPORTANȚĂ PENTRU SECURITATEA STATULUI</w:t>
            </w:r>
          </w:p>
          <w:p w14:paraId="092EFBB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fost analizată opțiunea menținerii cadrului normativ actual și soluționării problemelor exclusiv prin practică administrativă sau prin ghiduri interne ale Consiliului. Această opțiune nu a fost reținută, deoarece problemele identificate țin de norme primare ale Legii nr. 174/2021, iar clarificarea lor prin acte administrative nu ar asigura suficientă previzibilitate pentru investitori și autorități.</w:t>
            </w:r>
          </w:p>
          <w:p w14:paraId="6A7AEAB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 fost examinată și opțiunea menținerii unei obligații generale de aprobare prealabilă inclusiv la etapa înregistrării întreprinderilor noi. Această opțiune nu a fost acceptată deoarece poate bloca inițierea activității economice înainte de existența unei investiții efective și poate crea sarcini administrative disproporționate.</w:t>
            </w:r>
          </w:p>
          <w:p w14:paraId="088ACBB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 Menținerea trimiterii la codurile CAEM, chiar cu titlu orientativ – opțiune analizată în varianta inițială a proiectului, dar care nu a fost reținută, întrucât examinarea investițiilor nu are ca obiect verificarea formală a codurilor de activitate declarate, iar utilizarea acestora ca reper ar putea crea premise pentru eludarea mecanismului, prin declararea unor coduri generale ori prin neactualizarea obiectului de activitate. Soluția reținută este definirea domeniilor de importanță pentru securitatea statului prin raportare la infrastructurile și tehnologiile critice, cu detalierea listei prin hotărâre de Guvern. A fost analizată opțiunea păstrării domeniilor de importanță pentru securitatea statului în forma generală actuală. Această opțiune nu a fost acceptată, întrucât formulările generale pot conduce la aplicare neuniformă și la includerea excesivă a unor activități care nu prezintă riscuri reale pentru securitatea statului.</w:t>
            </w:r>
          </w:p>
          <w:p w14:paraId="1358FF16"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105/2003 PRIVIND PROTECȚIA CONSUMATORILOR</w:t>
            </w:r>
          </w:p>
          <w:p w14:paraId="583EB400"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788C490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Opțiunea 1 – menținerea cadrului normativ existent. Această opțiune presupune păstrarea soluției actuale, în care comerciantul organizează și suportă integral cheltuielile expertizei tehnice, indiferent de rezultatul acesteia. Opțiunea a fost respinsă, deoarece aceasta menține dezechilibrul între părți, transferând în mod sistematic asupra comercianților costul reclamațiilor neîntemeiate sau abuzive. De asemenea, menținerea stării actuale afectează întreprinderile mici și mijlocii, pentru care costurile expertizelor pot avea impact financiar semnificativ. Mai mult, menținerea situației actuale nu creează nici un stimulent pentru consumatori de a evita  reclamațiile speculative, ceea ce contravine obiectivelor de eficiență ale politicii de protecție a consumatorilor.</w:t>
            </w:r>
          </w:p>
          <w:p w14:paraId="38D97F8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Opțiunea 2 – autoreglementare și soluții de soft-law (ghiduri și coduri de conduită). Această opțiune a fost respinsă deoarece nu oferă certitudine juridică participanților la raporturile juridice, precum și nu instituie un temei legal expres și clar și respectiv este una ineficientă.</w:t>
            </w:r>
          </w:p>
          <w:p w14:paraId="38DCF6E2"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0FF8101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Opțiunea 1 – menținerea cadrului normativ existent, fără intervenție. Această soluție ar însemna păstrarea exclusivă a mecanismelor tradiționale de soluționare a </w:t>
            </w:r>
            <w:r>
              <w:rPr>
                <w:rFonts w:ascii="Times New Roman" w:eastAsia="Times New Roman" w:hAnsi="Times New Roman" w:cs="Times New Roman"/>
                <w:sz w:val="24"/>
                <w:szCs w:val="24"/>
              </w:rPr>
              <w:lastRenderedPageBreak/>
              <w:t>reclamațiilor, fără consacrarea explicită a posibilității platformelor de a institui mecanisme interne de soluționare a reclamațiilor. Această opțiune însă nu valorifică potențialul platformelor de a facilita dialogul între participanții la raporturile de pe platformă, precum și nu oferă claritate privitor la regimul juridic al unor asemenea sisteme interne și înlăturare a confuziei legate de procedurile SAL și statutul juridic al platformei.</w:t>
            </w:r>
          </w:p>
          <w:p w14:paraId="3A8E5A5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Opțiunea 2 – instituirea unui sistem intern obligatoriu pentru toți furnizorii de servicii de intermediere online, cu cerințe uniforme privind procedura, termenele și funcționalitățile tehnice. Deși o asemenea soluție ar fi generat un nivel ridicat de standardizare, ea a fost apreciată ca disproporționată în raport cu diversitatea modelelor de afaceri de tip platformă. Crearea sistemului intern obligatoriu ar crea bariere de intrare pe piață pentru operatorii mai mici și ar afecta libertatea economică. În plus, impunerea unui sistem obligatoriu ar fi transferat asupra platformelor o parte din sarcinile procedurale ale vânzătorilor, fără ca acestea să fie parte a relației contractuale principale.</w:t>
            </w:r>
          </w:p>
          <w:p w14:paraId="022B70A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Opțiunea 3 – calificarea sistemelor interne ale platformelor ca proceduri de soluționare alternativă a litigiilor. Această opțiune a fost respinsă deoarece ar fi impus platformelor obligații și standarde procedurale similare entităților SAL (independență, imparțialitate, reguli formale de procedură) și ar fi putut crea confuzie pentru consumatori cu privire la natura și efectele mecanismelor interne. Intenția proiectului este ca sistemele interne să funcționeze ca instrumente de facilitare și mediere informală, nu ca substitut al entităților SAL.</w:t>
            </w:r>
          </w:p>
          <w:p w14:paraId="445090AC"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61CAF56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fost analizate menținerea cadrului actual și clarificarea regimului juridic prin interpretări administrative individuale. Aceste opțiuni nu au fost reținute deoarece nu oferă investitorilor certitudine juridică, nu înlătură restricțiile privind importul echipamentelor și mențin riscul calificării diferite a aceleiași activități de către autorități. Supunerea companiei regimului de autorizare a jocurilor de noroc ar fi, de asemenea, disproporționată, deoarece aceasta nu organizează jocuri, nu acceptă mize și nu interacționează cu jucătorii. </w:t>
            </w:r>
          </w:p>
          <w:p w14:paraId="2939A59C"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2393130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fost analizate menținerea cadrului actual și reglementarea programelor de sprijin exclusiv prin acte ale Guvernului sau regulamente interne. Aceste opțiuni nu au fost reținute deoarece nu oferă un mandat legal suficient de clar Administrației pentru accesarea și administrarea diverselor surse de finanțare, inclusiv a programelor europene, și nu consacră formele și principiile de sprijin. Nici clarificările fiscale și delimitarea activităților de call-centre nu pot fi realizate în mod durabil numai prin interpretări administrative. </w:t>
            </w:r>
          </w:p>
          <w:p w14:paraId="154D2B7C"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4C89FAD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fost analizate menținerea mecanismului actual de eliberare a documentelor și amânarea reglementării până la implementarea completă a proiectului nr. 395/MDED/SIS/2026. Aceste opțiuni nu au fost reținute deoarece ar întârzia valorificarea EVO 2.0, ar menține solicitarea repetată a documentelor și nu ar asigura tranziția graduală către ecosistemul EUDI Wallet. Modificarea nu substituie viitorul cadru general, ci instituie un mecanism tranzitoriu pentru datele provenite din registre. </w:t>
            </w:r>
          </w:p>
          <w:p w14:paraId="3BF9FAE0"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001A458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Au fost analizate menținerea cerinței semnăturii electronice pentru toate petițiile și introducerea unor mecanisme simplificate exclusiv prin reglementări tehnice. Prima opțiune menține o barieră redundantă pentru persoanele deja autentificate, iar cea de-a doua nu poate înlătura cerința expresă prevăzută de Codul administrativ și riscul neexaminării petiției în temeiul art. 75.</w:t>
            </w:r>
          </w:p>
          <w:p w14:paraId="593121EC"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4CEF3A8F"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Au fost analizate menținerea terminologiei actuale și modificarea separată, după 1 ianuarie 2027, a celor patru coduri. Prima opțiune ar păstra riscul unei interpretări restrictive, iar cea de-a doua ar permite intrarea în vigoare a unor norme cu terminologie deja depășită și ar necesita o intervenție legislativă imediată. Modificarea Legii nr. 187/2025 înainte de intrarea în vigoare a prevederilor reprezintă soluția juridică mai coerentă. </w:t>
            </w:r>
          </w:p>
          <w:p w14:paraId="10A656B8" w14:textId="77777777" w:rsidR="00140DD2" w:rsidRDefault="00140DD2">
            <w:pPr>
              <w:ind w:firstLine="705"/>
              <w:rPr>
                <w:rFonts w:ascii="Times New Roman" w:eastAsia="Times New Roman" w:hAnsi="Times New Roman" w:cs="Times New Roman"/>
                <w:sz w:val="24"/>
                <w:szCs w:val="24"/>
              </w:rPr>
            </w:pPr>
          </w:p>
        </w:tc>
      </w:tr>
      <w:tr w:rsidR="00140DD2" w14:paraId="11D7F43C" w14:textId="77777777">
        <w:trPr>
          <w:trHeight w:val="381"/>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2A38F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4. Analiza impactului de reglementare </w:t>
            </w:r>
          </w:p>
        </w:tc>
      </w:tr>
      <w:tr w:rsidR="00140DD2" w14:paraId="2A3B95B9"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4C1648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4.1. Impactul asupra sectorului public</w:t>
            </w:r>
          </w:p>
        </w:tc>
      </w:tr>
      <w:tr w:rsidR="00140DD2" w14:paraId="2280CDDE"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AEB908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Impactul proiectului asupra sectorului public este unul multidimensional, vizând eficientizarea proceselor administrative, optimizarea resurselor instituționale și creșterea veniturilor bugetare prin modernizarea cadrului normativ.</w:t>
            </w:r>
          </w:p>
          <w:p w14:paraId="4A147F5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Principalele efecte identificate în surse sunt următoarele:</w:t>
            </w:r>
          </w:p>
          <w:p w14:paraId="4C089FB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01E45B9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sectorul public, modificările implică, pe termen scurt, sarcini suplimentare de reglementare și supraveghere: elaborarea și aprobarea regulamentelor privind digitizarea conformă, procedura de expertiză și distrugere a documentelor pe hârtie, standardele tehnice minimale pentru arhivarea digitală și interoperabilitatea cu SI „e-Arhiva”, precum și instituirea procedurii de autorizare și monitorizare a prestatorilor de arhivă electronică securizată. </w:t>
            </w:r>
          </w:p>
          <w:p w14:paraId="309A927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lung, impactul este favorabil. Arhivele de stat și autoritățile cu atribuții de control vor avea acces mai rapid și mai sigur la documentele electronice, cu trasabilitate completă, reducând costurile operaționale. Interoperabilitatea dintre arhivele electronice private și SI „e‑Arhiva”, prevăzută la nivel de principiu în Conceptul sistemului, va permite o mai bună completare a Fondului Arhivistic cu documente digitale și va facilita implementarea strategiilor naționale de transformare digitală.</w:t>
            </w:r>
          </w:p>
          <w:p w14:paraId="32CF8FD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5FCE1C1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generează un impact pe termen scurt pentru Agenția Servicii Publice, reprezentat de necesitatea dezvoltării modulului de verificare preliminară a disponibilității denumirii și a integrării acestuia în Portalul guvernamental integrat EVO, cu respectarea Modelului unitar de design aprobat prin Hotărârea Guvernului nr. 677/2025 și cu consumul de date prin platforma de interoperabilitate (MConnect), în condițiile Legii nr. 142/2018.</w:t>
            </w:r>
          </w:p>
          <w:p w14:paraId="0118C1A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nu modifică atribuțiile ASP stabilite prin lege: ASP va continua să exercite funcțiile de verificare a denumirilor sub aspectul disponibilității, distinctivității și conformității lingvistice; rezervarea denumirilor și înregistrarea de stat a persoanelor juridice. Modificarea constă în modalitatea de prestare a serviciului, și anume în introducerea unei etape preliminare gratuite, online, accesibilă solicitantului.</w:t>
            </w:r>
          </w:p>
          <w:p w14:paraId="2DC8E91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proiectul va reduce volumul operațiunilor manuale asociate celor aproximativ 100 mii de extrase solicitate anual și va permite utilizarea mai eficientă a celor 76 de registratori. Automatizarea va diminua presiunea administrativă generată de circa 70 mii de interacțiuni anuale în domeniul RSUD și va permite orientarea personalului către operațiuni de înregistrare, modificare, dizolvare și radiere care necesită examinare profesională. </w:t>
            </w:r>
          </w:p>
          <w:p w14:paraId="02E7B6C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105/2003 PRIVIND PROTECȚIA CONSUMATORILOR</w:t>
            </w:r>
          </w:p>
          <w:p w14:paraId="0E5C3F4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03F491D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Modificările propuse la art. 25 din Legea nr. 105/2003 nu implică instituirea unor noi structuri sau extinderea competențelor legale ale autorităților publice, ci vizează în principal clarificarea relațiilor dintre consumator și operatorul economic în etapa prealabilă sesizării autorității de protecție a consumatorilor. În consecință, impactul instituțional direct asupra </w:t>
            </w:r>
            <w:r>
              <w:rPr>
                <w:rFonts w:ascii="Times New Roman" w:eastAsia="Times New Roman" w:hAnsi="Times New Roman" w:cs="Times New Roman"/>
                <w:sz w:val="24"/>
                <w:szCs w:val="24"/>
              </w:rPr>
              <w:lastRenderedPageBreak/>
              <w:t>sectorului public este moderat, dar de natură să contribuie la utilizarea mai eficientă a resurselor existente ale Inspectoratului de Stat pentru Supravegherea Produselor Nealimentare și Protecția Consumatorilor (ISSPNPC).</w:t>
            </w:r>
          </w:p>
          <w:p w14:paraId="588B2A9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introducerea obligației de informare prealabilă a consumatorului privind intenția de efectuare a expertizei, costul estimativ și posibilitatea de rambursare a cheltuielilor în caz de culpă, este de așteptat o reducere a numărului de reclamații vădit neîntemeiate înaintate direct către ISSPNPC, o parte dintre disputele minore urmând a fi filtrate și gestionate la nivelul relației comerciale directe. Această tendință este în linie cu recomandările formulate în analizele asupra cadrului de protecție a consumatorului, care evidențiază necesitatea perfecționării procedurii de soluționare a reclamațiilor și utilizarea mai eficientă a capacităților instituționale existente.</w:t>
            </w:r>
          </w:p>
          <w:p w14:paraId="069C585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36F64D0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nu implică modificări instituționale sau de competențe în cadrul autorităților publice, întrucât sistemele interne de soluționare a reclamațiilor sunt concepute ca mecanisme voluntare, gestionate integral de furnizorii de servicii de intermediere online. Implementarea articolului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din Legea nr. 105/2003 nu presupune crearea unor noi structuri publice și nici atribuirea unor competențe suplimentare organelor existente de protecție a consumatorilor.</w:t>
            </w:r>
          </w:p>
          <w:p w14:paraId="21F6320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Se anticipează însă un impact pozitiv indirect asupra Inspectoratului de Stat pentru Supravegherea Produselor Nealimentare și Protecția Consumatorilor și altor organe cu atribuții în domeniul protecției consumatorilor, prin reducerea numărului de cazuri care ajung direct la autoritate fără o etapă prealabilă de dialog și soluționare amiabilă între consumator și vânzător/prestator. Prin utilizarea sistemelor interne integrate în platforme, o parte din litigiile minore sau generate de neînțelegeri factuale pot fi soluționate rapid, înainte de declanșarea unei proceduri administrative sau judiciare.</w:t>
            </w:r>
          </w:p>
          <w:p w14:paraId="7CEA15A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sectorul public, proiectul nu generează costuri bugetare suplimentare, deoarece nu reclamă dezvoltarea unor infrastructuri tehnice sau angajarea unui personal nou dedicat gestionării acestor mecanisme. Intervenția legislativă se limitează la crearea cadrului normativ care permite platformelor să organizeze, pe propria infrastructură tehnică, sisteme interne de reclamații și la integrarea lor coerentă în arhitectura existentă de protecție a consumatorilor.</w:t>
            </w:r>
          </w:p>
          <w:p w14:paraId="3B4C883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mediu, este de așteptat ca volumul de lucru al autorităților să devină mai bine calibrat pe cazurile cu un grad ridicat de complexitate sau cu impact sistemic, în timp ce litigiile de mică amploare vor fi tratate preponderent prin mecanismele interne ale platformelor sau prin soluționare amiabilă. Acest lucru poate contribui la eficientizarea activității autorităților, la scurtarea termenelor de examinare a cauzelor rămase în competența lor și la o utilizare mai bună a resurselor administrative existente.</w:t>
            </w:r>
          </w:p>
          <w:p w14:paraId="23300BB6"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133/2016 PRIVIND DECLARAREA AVERII ȘI A INTERESELOR PERSONALE</w:t>
            </w:r>
          </w:p>
          <w:p w14:paraId="053E008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va avea un impact predominant organizatoric asupra sectorului public. În plan instituțional, autoritatea de control va beneficia de un cadru juridic mai clar privind utilizarea semnăturii electronice calificate, ceea ce va consolida securitatea juridică a procedurilor de verificare.</w:t>
            </w:r>
          </w:p>
          <w:p w14:paraId="36A77A3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Guvern și pentru autoritățile administrației publice centrale implicate în administrarea platformelor de declarare și a infrastructurilor de semnătură electronică, intervenția legislativă va genera obligația de ajustare a cadrului subsecvent (în special modificarea HG nr. 1141/2017 și a regulamentelor tehnice conexe), în vederea acceptării efective a tuturor semnăturilor electronice calificate recunoscute de legislația națională, indiferent de prestator. Aceasta va presupune revizuirea specificațiilor tehnice, a interfețelor și a procedurilor interne, însă pe termen mediu este de așteptat o eficientizare a proceselor prin creșterea interoperabilității și reducerea dependenței de o singură infrastructură.</w:t>
            </w:r>
          </w:p>
          <w:p w14:paraId="520744E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nivelul autorităților și instituțiilor publice ai căror funcționari sunt subiecți ai declarării, impactul constă în principal în creșterea flexibilității în utilizarea instrumentelor </w:t>
            </w:r>
            <w:r>
              <w:rPr>
                <w:rFonts w:ascii="Times New Roman" w:eastAsia="Times New Roman" w:hAnsi="Times New Roman" w:cs="Times New Roman"/>
                <w:sz w:val="24"/>
                <w:szCs w:val="24"/>
              </w:rPr>
              <w:lastRenderedPageBreak/>
              <w:t xml:space="preserve">de semnătură electronică și în reducerea blocajelor administrative generate de restrângerea de facto la un singur furnizor. </w:t>
            </w:r>
          </w:p>
          <w:p w14:paraId="290EC62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308/2017 CU PRIVIRE LA PREVENIREA ȘI COMBATEREA SPĂLĂRII BANILOR ȘI FINANȚĂRII TERORISMULUI</w:t>
            </w:r>
          </w:p>
          <w:p w14:paraId="36D4B41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proiectului nu presupune impact asupra arhitecturii instituționale a sectorului public. Intervențiile menținute au caracter punctual și nu modifică atribuțiile Serviciului Prevenirea și Combaterea Spălării Banilor ori ale autorităților de supraveghere.</w:t>
            </w:r>
          </w:p>
          <w:p w14:paraId="190D9BB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Precizarea potrivit căreia actele cu caracter normativ se adoptă și se publică în condițiile Legii nr. 100/2017 contribuie la previzibilitatea cadrului de reglementare, fără a limita dreptul autorităților de a emite ghiduri, recomandări și alte comunicări cu caracter informativ sau de orientare.</w:t>
            </w:r>
          </w:p>
          <w:p w14:paraId="3A1C832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Impactul instituțional este redus și poate fi absorbit în activitatea curentă a autorităților competente.</w:t>
            </w:r>
          </w:p>
          <w:p w14:paraId="72DFE1F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Clarifică atribuțiile ASP, SPCSB și ale altor autorități competente, reduce incertitudinile administrative și contribuie la aplicarea uniformă a legislației.</w:t>
            </w:r>
          </w:p>
          <w:p w14:paraId="541F99D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174/2021 PRIVIND MECANISMUL DE EXAMINARE A INVESTIȚIILOR DE IMPORTANȚĂ PENTRU SECURITATEA STATULUI</w:t>
            </w:r>
          </w:p>
          <w:p w14:paraId="5B5E51B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are impact pozitiv asupra sectorului public, prin clarificarea atribuțiilor organului înregistrării de stat, ale autorităților emitente de acte permisive, ale Depozitarului central unic, ale societăților de registru și ale Consiliului pentru Examinarea Investițiilor de Importanță pentru Securitatea Statului.</w:t>
            </w:r>
          </w:p>
          <w:p w14:paraId="4C715CD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instituirea obligației de transmitere a informațiilor către Consiliu, autoritățile publice vor contribui la identificarea timpurie a investițiilor relevante pentru securitatea statului. În același timp, scutirea întreprinderilor noi de obligația depunerii solicitării de aprobare în cadrul procedurii de înregistrare va reduce presiunea administrativă asupra organului înregistrării de stat și va evita blocarea procedurilor de constituire a persoanelor juridice.</w:t>
            </w:r>
          </w:p>
          <w:p w14:paraId="17428C6F"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6F12423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va oferi autorităților o delimitare clară între organizarea jocurilor de noroc și prestarea serviciilor digitale B2B pentru export, reducând necesitatea interpretărilor individuale și riscul aplicării neuniforme a legii. Implementarea nu presupune crearea unor autorități sau proceduri administrative noi, iar competențele de supraveghere a activităților de jocuri de noroc desfășurate în Republica Moldova rămân neafectate. </w:t>
            </w:r>
          </w:p>
          <w:p w14:paraId="791195F5"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32B2D8E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Administrația MITP va dobândi un mandat expres pentru proiectarea și administrarea programelor, fondurilor și instrumentelor de sprijin, precum și pentru participarea la consorții și proiecte europene. Aceasta va necesita consolidarea capacităților de management financiar, evaluare, monitorizare, control al riscurilor și raportare, fără crearea obligatorie a unei autorități publice noi. Implementarea instrumentelor va trebui să respecte transparența, concurența și legislația privind ajutorul de stat. </w:t>
            </w:r>
          </w:p>
          <w:p w14:paraId="66E42880"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59F2AE7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Posesorii registrelor vor trebui să asigure emiterea atestărilor, verificarea atributelor la sursă, actualizarea statutului și revocarea acestora în cazul modificării, rectificării sau radierii datelor. Mecanismul va reduce treptat volumul extraselor și certificatelor eliberate, precum și verificările manuale efectuate de autorități, dar va necesita integrarea registrelor cu platforma de interoperabilitate, platforma de găzduire și partajare a documentelor și EVO. </w:t>
            </w:r>
          </w:p>
          <w:p w14:paraId="1853643B"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5238F6D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Autoritățile vor putea primi și examina petiții depuse prin sisteme informaționale autentificate fără verificarea separată a semnăturii electronice, reducând cazurile de </w:t>
            </w:r>
            <w:r>
              <w:rPr>
                <w:rFonts w:ascii="Times New Roman" w:eastAsia="Times New Roman" w:hAnsi="Times New Roman" w:cs="Times New Roman"/>
                <w:sz w:val="24"/>
                <w:szCs w:val="24"/>
              </w:rPr>
              <w:lastRenderedPageBreak/>
              <w:t xml:space="preserve">neexaminare pentru vicii formale și solicitările de remediere. Sistemele utilizate vor trebui să asigure identificarea petiționarului, fixarea conținutului depus, marcarea temporală, confirmarea recepționării și păstrarea unei piste de audit verificabile. </w:t>
            </w:r>
          </w:p>
          <w:p w14:paraId="27A289F0"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21928ED6"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Persoanele juridice de drept public vor utiliza un canal unic pentru comunicarea oficială cu persoanele juridice și persoanele fizice care practică activitate de întreprinzător. Uniformizarea va reduce comunicările paralele, disputele privind canalul utilizat și interpretările divergente între administrația fiscală, vamală și alte entități publice. Sistemul trebuie să asigure dovada remiterii, data și ora, identitatea emitentului și destinatarului, conținutul comunicării și disponibilitatea documentului. </w:t>
            </w:r>
          </w:p>
          <w:p w14:paraId="0E7E68A2" w14:textId="77777777" w:rsidR="00140DD2" w:rsidRDefault="00140DD2">
            <w:pPr>
              <w:ind w:firstLine="705"/>
              <w:rPr>
                <w:rFonts w:ascii="Times New Roman" w:eastAsia="Times New Roman" w:hAnsi="Times New Roman" w:cs="Times New Roman"/>
                <w:sz w:val="24"/>
                <w:szCs w:val="24"/>
              </w:rPr>
            </w:pPr>
          </w:p>
        </w:tc>
      </w:tr>
      <w:tr w:rsidR="00140DD2" w14:paraId="736CD7FC"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2668E4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 Impactul financiar și argumentarea costurilor estimative</w:t>
            </w:r>
          </w:p>
        </w:tc>
      </w:tr>
      <w:tr w:rsidR="00140DD2" w14:paraId="32CB5A4B"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AE45040"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53E78C1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modificarea Legii nr. 880/1992, impactul financiar direct asupra bugetului public este limitat și, în principal, de natură organizațională, fiind justificat prin economii structurale pe termen mediu și lung și prin efectele pozitive asupra mediului de afaceri.</w:t>
            </w:r>
          </w:p>
          <w:p w14:paraId="74F6AE2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Principalele costuri se vor concentra în: (i) elaborarea și actualizarea actelor normative subsecvente (regulamente privind digitizarea conformă, procedura de expertiză și distrugere, standardele tehnice minimale pentru arhivarea digitală și interoperabilitatea cu SI „e‑Arhiva”, procedura de autorizare a prestatorilor de arhivă electronică securizată); (ii) consolidarea capacităților instituționale ale Agenției Naționale a Arhivelor, Serviciului Tehnologia Informației și Securitate Cibernetică și organului de supraveghere a serviciilor de încredere (formare profesională, eventuale adaptări ale sistemelor IT pentru supraveghere și interoperabilitate). Aceste costuri sunt preponderent de natură administrativă și pot fi acoperite din alocațiile bugetare curente ale instituțiilor, reorientând resurse din activități de gestionare a arhivelor fizice către activități de reglementare și supraveghere a arhivării digitale, fără a necesita, în această etapă, crearea unor noi structuri permanente.</w:t>
            </w:r>
          </w:p>
          <w:p w14:paraId="11E09ACA"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709EFED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mecanismului de verificare gratuită, în regim online, a denumirii persoanei juridice presupune, în principal, costuri unice de dezvoltare și integrare IT, precum și costuri curente reduse de mentenanță, care pot fi acoperite în limitele resurselor bugetare deja planificate pentru digitalizarea serviciilor publice și modernizarea RSUD. </w:t>
            </w:r>
          </w:p>
          <w:p w14:paraId="1EA4491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Economiile obținute prin reducerea interacțiunilor la ghișeu, a refuzurilor repetate de înregistrare și a numărului de cereri de reexaminare vor diminua presiunea administrativă asupra ASP și vor permite realocarea internă a resurselor umane către activități cu valoare adăugată mai mare. </w:t>
            </w:r>
          </w:p>
          <w:p w14:paraId="1F93D07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modificarea regimului taxei astfel încât plata să fie datorată exclusiv în cazul rezervării efective a denumirii nu afectează substanțial veniturile bugetare, întrucât taxa actuală aferentă tentativelor nereușite are un caracter preponderent parafiscal și descurajant, iar ponderea ei în totalul veniturilor din servicii de înregistrare este redusă.</w:t>
            </w:r>
          </w:p>
          <w:p w14:paraId="04B237E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facilitarea unui proces mai previzibil și mai rapid de alegere a denumirii, se anticipează o creștere a numărului de întreprinderi nou înregistrate și, pe termen mediu, o extindere a bazei de impozitare, ceea ce va genera venituri suplimentare la bugetul public național. În ansamblu, raportul cost–beneficiu al intervenției este favorabil, costurile inițiale de dezvoltare a instrumentului digital fiind compensate de reducerile de cost administrativ și de efectele pozitive indirecte asupra climatului investițional și a activității antreprenoriale.</w:t>
            </w:r>
          </w:p>
          <w:p w14:paraId="441799B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de altă parte, implementarea proiectului presupune adaptarea aplicațiilor web și a sistemelor informaționale administrate de ASP pentru generarea automată și verificarea </w:t>
            </w:r>
            <w:r>
              <w:rPr>
                <w:rFonts w:ascii="Times New Roman" w:eastAsia="Times New Roman" w:hAnsi="Times New Roman" w:cs="Times New Roman"/>
                <w:sz w:val="24"/>
                <w:szCs w:val="24"/>
              </w:rPr>
              <w:lastRenderedPageBreak/>
              <w:t xml:space="preserve">informației în timp real. Costurile urmează a fi acoperite din mijloacele prevăzute pentru dezvoltarea și mentenanța sistemelor ASP, fără instituirea unei structuri administrative noi. Pe termen mediu, acestea vor fi compensate prin reducerea costurilor de procesare manuală, semnare, tipărire, livrare și arhivare a circa 100 mii de extrase anual. </w:t>
            </w:r>
          </w:p>
          <w:p w14:paraId="03BBF85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133/2016 PRIVIND DECLARAREA AVERII ȘI A INTERESELOR PERSONALE</w:t>
            </w:r>
          </w:p>
          <w:p w14:paraId="5D32F2D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modificărilor propuse la Legea nr. 133/2016 nu generează cheltuieli semnificative suplimentare pentru bugetul public național, întrucât intervenția este concentrată pe clarificarea regimului juridic al utilizării semnăturii electronice calificate și pe asigurarea neutralității tehnologice, fără instituirea unor noi prestații, indemnizații sau mecanisme de finanțare. Costurile directe vor rezulta, în principal, din necesitatea ajustării Hotărârii Guvernului nr. 1141/2017 și a regulamentelor/soluțiilor tehnice conexe, inclusiv adaptarea platformelor electronice utilizate în domeniul public, astfel încât acestea să accepte efectiv toate semnăturile electronice calificate recunoscute de legislația națională, indiferent de prestator.</w:t>
            </w:r>
          </w:p>
          <w:p w14:paraId="069A84F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Aceste costuri sunt estimate ca fiind moderate legate de cheltuielile de dezvoltare și ajustare software, testare și instruire a personalului, care pot fi acoperite din alocațiile deja aprobate pentru digitalizare și mentenanța sistemelor informaționale ale autorităților competente, în cadrul bugetelor anuale și al cadrului bugetar pe termen mediu. </w:t>
            </w:r>
          </w:p>
          <w:p w14:paraId="70EB91F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subiecții declarării, proiectul nu instituie obligația achiziționării de noi semnături electronice, ci extinde posibilitatea utilizării instrumentelor deja deținute (semnături electronice calificate emise de diverși prestatori), astfel încât nu se creează costuri de conformare suplimentare față de situația actuală, ci, dimpotrivă, se diminuează riscul de costuri suplimentare impuse de dependența de un singur furnizor. </w:t>
            </w:r>
          </w:p>
          <w:p w14:paraId="171DB56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308/2017 CU PRIVIRE LA PREVENIREA ȘI COMBATEREA SPĂLĂRII BANILOR ȘI FINANȚĂRII TERORISMULUI</w:t>
            </w:r>
          </w:p>
          <w:p w14:paraId="69C5472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nu implică costuri suplimentare semnificative la nivelul bugetului public național.</w:t>
            </w:r>
          </w:p>
          <w:p w14:paraId="50484E8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proiectului nu necesită cheltuieli bugetare suplimentare semnificative.</w:t>
            </w:r>
          </w:p>
          <w:p w14:paraId="5CCAB3B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174/2021 PRIVIND MECANISMUL DE EXAMINARE A INVESTIȚIILOR DE IMPORTANȚĂ PENTRU SECURITATEA STATULUI</w:t>
            </w:r>
          </w:p>
          <w:p w14:paraId="675E339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proiectului nu presupune cheltuieli bugetare semnificative. Modificările au caracter procedural și normativ, fiind realizabile în limitele capacităților instituționale existente ale autorităților implicate.</w:t>
            </w:r>
          </w:p>
          <w:p w14:paraId="23ED728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Eventualele costuri administrative aferente ajustării procedurilor interne, instruirii personalului și actualizării fluxurilor de comunicare între autorități pot fi acoperite din resursele existente ale instituțiilor competente.</w:t>
            </w:r>
          </w:p>
          <w:p w14:paraId="5121D69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105/2003 PRIVIND PROTECȚIA CONSUMATORILOR</w:t>
            </w:r>
          </w:p>
          <w:p w14:paraId="1A31A09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7CEA9CD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Modificările propuse nu generează cheltuieli suplimentare pentru bugetul public național, întrucât nu implică crearea de noi instituții, posturi sau programe bugetare dedicate și nu reclamă investiții materiale suplimentare la nivelul autorităților de protecție a consumatorilor. </w:t>
            </w:r>
          </w:p>
          <w:p w14:paraId="4F90CC9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Impactul financiar se manifestă în principal la nivelul sectorului privat, prin recalibrarea repartizării costurilor expertizelor tehnice între operatorii economici și consumatori. În prezent, costul unei expertize tehnice (judiciare sau extrajudiciare) este determinat în funcție de timpul de lucru al expertului și de complexitatea expertizei, în temeiul metodologiei aprobate de Guvern și aplicate de instituțiile publice de expertiză (Centrul Național de Expertize Judiciare, Centrul tehnico-criminalistic și de expertize judiciare al MAI etc.). Tarifele la serviciile de expertiză judiciară și extrajudiciară se stabilesc pornind de la </w:t>
            </w:r>
            <w:r>
              <w:rPr>
                <w:rFonts w:ascii="Times New Roman" w:eastAsia="Times New Roman" w:hAnsi="Times New Roman" w:cs="Times New Roman"/>
                <w:sz w:val="24"/>
                <w:szCs w:val="24"/>
              </w:rPr>
              <w:lastRenderedPageBreak/>
              <w:t>costul unei ore de activitate a expertului și numărul estimat de ore, iar pentru expertize complexe pot fi aplicate prețuri contractuale; aceste costuri sunt suportate în prezent, în mod curent, de operatorii economici atunci când contestă pretențiile consumatorilor.</w:t>
            </w:r>
          </w:p>
          <w:p w14:paraId="01056B8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instituirea mecanismului de rambursare a cheltuielilor de expertiză în caz de culpă a consumatorului, proiectul nu introduce un cost nou, ci creează posibilitatea legală de recuperare a unui cost deja existent, suportat în mod frecvent de comercianți. Din perspectiva mediului de afaceri, aceasta se traduce în reducerea costurilor nejustificate asociate reclamațiilor neîntemeiate și, implicit, în îmbunătățirea structurii cheltuielilor de conformare, obiectiv susținut și de analizele de impact de reglementare care recomandă diminuarea sarcinilor administrative și financiare inutile pentru întreprinderi, în special pentru IMM-uri. Pe termen mediu, diminuarea acestor costuri nejustificate are potențialul de a se reflecta pozitiv în competitivitatea operatorilor economici și, indirect, în nivelul prețurilor și calității serviciilor oferite consumatorilor.</w:t>
            </w:r>
          </w:p>
          <w:p w14:paraId="47FB46D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consumatorii de bună-credință, impactul financiar este neutru, întrucât, dacă expertiza confirmă neconformitatea inițială a produsului sau serviciului, aceștia nu suportă niciun cost, remediile legale fiind acordate în continuare cu titlu gratuit. Obligația de rambursare intervine exclusiv în situațiile în care expertiza tehnică stabilește în mod clar că neconformitatea a apărut din motive imputabile consumatorului — dovedite prin probe obiective — și că deficiențele nu existau la momentul livrării, iar sumele pretinse de comerciant se bazează pe documente confirmative (facturi, devize, contracte de expertiză). Totodată, rambursarea nu poate fi solicitată în ipoteza în care expertiza a reprezentat instrumentul prin care vânzătorul și-a îndeplinit propria obligație de probațiune prevăzută de art. 23 alin. (6) din Legea nr. 105/2003, întrucât în acest caz costul expertizei constituie o cheltuială inerentă activității comerciale, nu o consecință a culpei consumatorului. Această structură financiară urmărește să fie proporțională și să evite încărcarea consumatorilor onești, concentrând efectul descurajator asupra comportamentelor abuzive, în spiritul recomandărilor europene privind reducerea costurilor tranzacționale nejustificate și a sarcinilor administrative excesive pentru mediul de afaceri.</w:t>
            </w:r>
          </w:p>
          <w:p w14:paraId="5A05D3BF"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2C992BB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nu generează cheltuieli suplimentare pentru bugetul public național, întrucât sistemele interne de soluționare a reclamațiilor sunt instituite și operate de furnizorii de servicii de intermediere online, pe propria infrastructură tehnică și organizațională. Nu se prevede crearea unor structuri publice noi, nici dezvoltarea unor platforme IT publice dedicate, astfel încât impactul financiar asupra sectorului public este neutru.</w:t>
            </w:r>
          </w:p>
          <w:p w14:paraId="0B2DEEF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furnizorii de servicii de intermediere online, impactul financiar are un caracter voluntar și autoreglat: doar platformele care aleg să implementeze sistemul intern vor suporta costurile aferente proiectării și menținerii interfețelor electronice de depunere a reclamațiilor, dezvoltării fluxurilor de comunicare cu vânzătorii/prestatorii și eventualei monitorizări electronice a parcursului reclamațiilor. Aceste costuri vor fi dimensionate în funcție de modelul de afaceri, volumul tranzacțiilor și nivelul de sofisticare a soluțiilor tehnice alese.</w:t>
            </w:r>
          </w:p>
          <w:p w14:paraId="7C34F5A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vânzători și prestatori, introducerea sistemelor interne de reclamații pe platforme nu creează obligații financiare suplimentare de principiu, ci reprezintă o reorganizare a modului în care sunt gestionate reclamațiile deja existente. Utilizarea acestor mecanisme poate conduce, dimpotrivă, la reducerea costurilor indirecte asociate litigiilor (timp de răspuns, resurse administrative, riscuri reputaționale), prin soluționarea mai rapidă și mai structurată a divergențelor, precum și la diminuarea cazurilor escaladate direct la autoritatea de protecție a consumatorilor sau în instanță.</w:t>
            </w:r>
          </w:p>
          <w:p w14:paraId="16C21BC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ansamblu, impactul financiar al proiectului este apreciat ca fiind redus și proporțional: nu implică resurse bugetare suplimentare, iar pentru sectorul privat costurile sunt opționale, adaptabile și pot fi compensate de beneficiile generate de soluționarea mai eficientă a reclamațiilor și de consolidarea încrederii în serviciile de intermediere online.</w:t>
            </w:r>
          </w:p>
          <w:p w14:paraId="01563F43"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lastRenderedPageBreak/>
              <w:t>VII. LEGEA NR. 291/2016 CU PRIVIRE LA ORGANIZAREA ȘI DESFĂȘURAREA JOCURILOR DE NOROC</w:t>
            </w:r>
          </w:p>
          <w:p w14:paraId="64C58F6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generează cheltuieli bugetare directe semnificative, deoarece instituie excepții normative și nu necesită crearea unor sisteme sau structuri administrative noi. În schimb, acesta poate facilita realizarea unor investiții private. Pentru exemplu, deja la această etapă este în așteptare o investiție estimată la aproximativ 30 milioane EUR, crearea a circa 2.000 de locuri de muncă și generarea unor venituri bugetare suplimentare din impozitele și contribuțiile aferente activității economice și salarizării. Valoarea exactă a veniturilor bugetare va depinde de structura investițiilor, nivelul salariilor și regimul fiscal aplicabil. Ținând cont de potențialul Republicii Moldova în acest domeniu, nivelul de dezvoltare a serviciilor digitale la export și personalul calificat multilingv, acestea pot crește considerabil în următorii ani. </w:t>
            </w:r>
          </w:p>
          <w:p w14:paraId="7DD932CC"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107EC4D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instituie automat cheltuieli bugetare și nu stabilește obligația alocării unor sume determinate. Eventualele alocații de la bugetul de stat, cofinanțări sau costuri administrative vor fi aprobate separat, în funcție de fiecare program și de disponibilitatea resurselor. Totodată, amendamentele creează posibilitatea atragerii fondurilor externe nerambursabile și a resurselor Uniunii Europene, reducând dependența instrumentelor de sprijin de bugetul național. </w:t>
            </w:r>
          </w:p>
          <w:p w14:paraId="056B7F19"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07F78A2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va presupune costuri pentru dezvoltarea EVO 2.0, integrarea registrelor, aplicarea semnăturilor sau sigiliilor calificate și gestionarea statutului atestărilor. Aceste costuri urmează a fi acoperite din mijloacele prevăzute pentru dezvoltarea infrastructurii guvernamentale și a sistemelor informaționale ale autorităților. Emiterea gratuită pentru persoanele fizice poate reduce veniturile obținute din serviciile actuale de eliberare a extraselor, impact care trebuie estimat distinct pentru fiecare registru, dar va fi compensat parțial prin reducerea costurilor de procesare, tipărire și livrare. </w:t>
            </w:r>
          </w:p>
          <w:p w14:paraId="4785ADC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6E68409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generează cheltuieli bugetare majore pentru sistemele care utilizează deja infrastructura guvernamentală de autentificare. Pot fi necesare ajustări pentru înregistrarea și conservarea dovezii depunerii, generarea confirmării de recepționare și auditarea operațiunilor. Aceste costuri pot fi compensate prin reducerea verificărilor manuale, a petițiilor respinse pentru lipsa semnăturii și a procesării repetate a acelorași adresări. </w:t>
            </w:r>
          </w:p>
          <w:p w14:paraId="08E0B4B1"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2F809B9B"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presupune dezvoltarea unui portal distinct, deoarece infrastructura este deja consolidată în cadrul EVO prin Hotărârea Guvernului nr. 677/2025. Pot apărea costuri de ajustare a integrărilor, cabinetelor, mecanismelor de notificare și jurnalizare ale entităților publice. Acestea vor fi compensate prin reducerea cheltuielilor de tipărire, expediere poștală, arhivare și gestionare a comunicărilor nereușite. </w:t>
            </w:r>
          </w:p>
          <w:p w14:paraId="73DE50B6" w14:textId="77777777" w:rsidR="00140DD2" w:rsidRDefault="00140DD2">
            <w:pPr>
              <w:ind w:firstLine="705"/>
              <w:rPr>
                <w:rFonts w:ascii="Times New Roman" w:eastAsia="Times New Roman" w:hAnsi="Times New Roman" w:cs="Times New Roman"/>
                <w:sz w:val="24"/>
                <w:szCs w:val="24"/>
              </w:rPr>
            </w:pPr>
          </w:p>
        </w:tc>
      </w:tr>
      <w:tr w:rsidR="00140DD2" w14:paraId="2BF7C977"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3E53B29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 Impactul asupra sectorului privat</w:t>
            </w:r>
          </w:p>
        </w:tc>
      </w:tr>
      <w:tr w:rsidR="00140DD2" w14:paraId="65E5D220"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BF895F2"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Impactul proiectului asupra sectorului privat este unul substanțial, vizând </w:t>
            </w:r>
            <w:r>
              <w:rPr>
                <w:rFonts w:ascii="Times New Roman" w:eastAsia="Times New Roman" w:hAnsi="Times New Roman" w:cs="Times New Roman"/>
                <w:b/>
                <w:bCs/>
                <w:sz w:val="24"/>
                <w:szCs w:val="24"/>
                <w:highlight w:val="white"/>
              </w:rPr>
              <w:t>reducerea costurilor operaționale, eliminarea barierelor administrative și crearea unui mediu concurențial echitabil</w:t>
            </w:r>
            <w:r>
              <w:rPr>
                <w:rFonts w:ascii="Times New Roman" w:eastAsia="Times New Roman" w:hAnsi="Times New Roman" w:cs="Times New Roman"/>
                <w:sz w:val="24"/>
                <w:szCs w:val="24"/>
                <w:highlight w:val="white"/>
              </w:rPr>
              <w:t xml:space="preserve"> pentru afacerile digitale.</w:t>
            </w:r>
          </w:p>
          <w:p w14:paraId="31E6F0F6"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03B6DE7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Modificările propuse creează pentru mediul de afaceri un cadru previzibil pentru utilizarea arhivei electronice securizate și pentru digitizarea conformă a documentelor pe suport de hârtie. Întreprinderile, în special cele cu volum mare de documente, vor putea </w:t>
            </w:r>
            <w:r>
              <w:rPr>
                <w:rFonts w:ascii="Times New Roman" w:eastAsia="Times New Roman" w:hAnsi="Times New Roman" w:cs="Times New Roman"/>
                <w:sz w:val="24"/>
                <w:szCs w:val="24"/>
              </w:rPr>
              <w:lastRenderedPageBreak/>
              <w:t>externalizare arhivarea electronică către prestatori autorizați sau își vor putea organiza arhive electronice proprii, reducând costurile cu spațiile legate de depozitare fizică, manipularea și administrarea arhivelor pe suport de hârtie.</w:t>
            </w:r>
          </w:p>
          <w:p w14:paraId="6C7ED14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582F7FE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Modificarea propusă are un impact pozitiv asupra sectorului privat, în special asupra antreprenorilor aflați în etapa de inițiere a afacerii, prin eliminarea costurilor repetate și a incertitudinii legate de verificarea disponibilității denumirii. </w:t>
            </w:r>
          </w:p>
          <w:p w14:paraId="314AF5DF"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Instituirea unui instrument online gratuit de verificare preliminară reduce povara administrativă asupra solicitanților, limitează situațiile în care aceștia sunt nevoiți să achite succesiv taxa pentru denumiri respinse și scurtează durata efectivă a procesului de înregistrare. </w:t>
            </w:r>
          </w:p>
          <w:p w14:paraId="23C738E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Clarificarea regimului aplicabil în cazul depunerii documentelor în condițiile art. 8 alin. (1) lit. b) contribuie la creșterea predictibilității și la diminuarea riscului de refuz al înregistrării din motive de similaritate sau neconformitate lingvistică.</w:t>
            </w:r>
          </w:p>
          <w:p w14:paraId="2CDE443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mediu, se preconizează un efect favorabil asupra mediului de afaceri, prin stimularea inițiativei antreprenoriale, reducerea barierelor de intrare pe piață și îmbunătățirea percepției generale asupra calității și transparenței serviciilor prestate de organul de înregistrare.</w:t>
            </w:r>
          </w:p>
          <w:p w14:paraId="65ECC7F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persoanele juridice și întreprinzătorii individuali vor obține imediat informația actualizată din RSUD, fără depunerea unei cereri, așteptarea eliberării extrasului și, după caz, deplasarea la sediul ASP. Măsura va reduce timpul și costurile de conformare aferente celor aproximativ 100 mii de extrase solicitate anual și va facilita verificarea rapidă a partenerilor de afaceri și desfășurarea tranzacțiilor. </w:t>
            </w:r>
          </w:p>
          <w:p w14:paraId="20AD80D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133/2016 PRIVIND DECLARAREA AVERII ȘI A INTERESELOR PERSONALE</w:t>
            </w:r>
          </w:p>
          <w:p w14:paraId="3B34810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Modificările propuse au un impact pozitiv asupra sectorului privat, în special asupra furnizorilor de semnătură electronică calificată. Prin clarificarea la nivelul Legii nr. 133/2016 că declarațiile de avere și interese pot fi semnate cu orice semnătură electronică calificată recunoscută de legislația națională, se elimină regimul de facto preferențial pentru infrastructura gestionată de un singur furnizor public și se creează condiții de concurență mai echitabile între prestatorii publici și privați de servicii de încredere. Aceasta poate stimula investițiile în servicii de semnătură electronică și identitate digitală, inclusiv soluții inovatoare, precum și intrarea pe piață a unor furnizori din alte state, în condițiile mecanismelor de recunoaștere aplicabile.</w:t>
            </w:r>
          </w:p>
          <w:p w14:paraId="68461FD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subiecții declarării care activează în sectorul privat (inclusiv administratori, acționari, persoane care dețin funcții de conducere sau de demnitate publică și care au deja semnături electronice calificate emise de prestatori privați ori transfrontalieri), proiectul reduce costurile indirecte de conformare, deoarece le permite utilizarea instrumentelor digitale deținute în alte raporturi juridice și evită obligația tacită de a contracta suplimentar semnături emise printr-o singură infrastructură. Pe termen mediu, o piață mai deschisă și mai competitivă a serviciilor de încredere poate conduce la optimizarea prețurilor și la diversificarea ofertelor, cu efecte benefice atât pentru întreprinderi, cât și pentru profesioniștii care folosesc frecvent semnătura electronică.</w:t>
            </w:r>
          </w:p>
          <w:p w14:paraId="653F529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Nu se anticipează costuri suplimentare semnificative pentru sectorul privat ca urmare a modificărilor propuse, întrucât proiectul nu introduce obligații noi de achiziționare sau utilizare a unor instrumente specifice, ci, dimpotrivă, lărgește sfera de instrumente acceptate și recunoscute în procedura de declarare. Eventualele ajustări tehnice pe partea prestatorilor de servicii de încredere (interconectări, integrare cu platformele publice) vor fi determinate în principal de modificările ulterioare aduse de Guvern cadrului tehnic și nu de prevederile legii, fiind în linie cu direcția generală de interoperabilitate și recunoaștere a semnăturilor electronice calificate în raporturile cu sectorul public.</w:t>
            </w:r>
          </w:p>
          <w:p w14:paraId="2A39B1E0"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IV. MODIFICAREA LEGII NR. 308/2017 CU PRIVIRE LA PREVENIREA ȘI COMBATEREA SPĂLĂRII BANILOR ȘI FINANȚĂRII TERORISMULUI</w:t>
            </w:r>
          </w:p>
          <w:p w14:paraId="0269B93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sectorul privat, excluderea întreprinzătorului individual din sfera obligațiilor de declarare și de actualizare a datelor privind beneficiarul efectiv elimină o sarcină formală lipsită de valoare adăugată de transparență, cu efect direct asupra celor mai mici forme de organizare a activității de întreprinzător.</w:t>
            </w:r>
          </w:p>
          <w:p w14:paraId="2CF245F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Precizarea regimului juridic al actelor emise de autoritățile competente sporește securitatea juridică a entităților raportoare, care nu vor mai putea fi ținute de obligații instituite prin acte lipsite de natura juridică a unui act normativ.</w:t>
            </w:r>
          </w:p>
          <w:p w14:paraId="65732BA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Nivelul de protecție AML/CFT nu este afectat: riscul de interpunere rămâne acoperit prin măsurile de precauție privind clienții, entitățile raportoare fiind în continuare obligate să identifice beneficiarul efectiv al oricărui client, inclusiv al unui întreprinzător individual.</w:t>
            </w:r>
          </w:p>
          <w:p w14:paraId="0E5DF65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Reduce costurile de conformare și riscurile asociate refuzului înregistrării ori sancționării în situații obiective privind beneficiarii efectivi nerezidenți.</w:t>
            </w:r>
          </w:p>
          <w:p w14:paraId="5488462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174/2021 PRIVIND MECANISMUL DE EXAMINARE A INVESTIȚIILOR DE IMPORTANȚĂ PENTRU SECURITATEA STATULUI</w:t>
            </w:r>
          </w:p>
          <w:p w14:paraId="0AF7A5E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Impactul asupra sectorului privat este pozitiv. Proiectul reduce incertitudinea investitorilor prin clarificarea domeniilor care intră sub incidența Legii nr. 174/2021, introduce proceduri mai clare și permite examinarea accelerată a cazurilor cu risc redus.</w:t>
            </w:r>
          </w:p>
          <w:p w14:paraId="59A3513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Scutirea întreprinderilor noi de obligația de depunere a solicitării de aprobare în cadrul procedurii de înregistrare reduce costurile administrative inițiale și permite inițierea mai rapidă a activității economice. Introducerea deciziei de neaplicabilitate oferă investitorilor un instrument de certitudine juridică atunci când activitatea sau investiția nu intră în domeniul de aplicare al legii.</w:t>
            </w:r>
          </w:p>
          <w:p w14:paraId="696EEEA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O detaliere a activităților incidente, care include praguri cuantificate pentru unele domenii, va reduce impactul asupra unor afaceri care nu comportă un impact la nivel de țară inclusiv ÎMM.</w:t>
            </w:r>
          </w:p>
          <w:p w14:paraId="66EBF2D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105/2003 PRIVIND PROTECȚIA CONSUMATORILOR</w:t>
            </w:r>
          </w:p>
          <w:p w14:paraId="04D10D5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62FA4CA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Reglementarea propusă are un impact direct asupra comercianților care comercializează bunuri și prestează servicii către consumatori, în special asupra întreprinderilor mici și mijlocii, care resimt cel mai acut costurile expertizelor tehnice generate de reclamațiile neîntemeiate. În forma actuală a Legii nr. 105/2003, agenții economici suportă integral cheltuielile expertizei chiar și atunci când aceasta confirmă că defecțiunea este rezultatul exploatării necorespunzătoare a produsului de către consumator, ceea ce, potrivit analizelor recente asupra cadrului de protecție a consumatorului, contribuie la creșterea sarcinilor financiare și administrative ale mediului de afaceri și afectează competitivitatea IMM-urilor.</w:t>
            </w:r>
          </w:p>
          <w:p w14:paraId="375C62E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instituirea unui mecanism de rambursare a cheltuielilor de expertiză în cazul în care expertiza stabilește culpa consumatorului, proiectul creează un instrument eficient de reducere a acestor costuri nejustificate. Comercianții vor continua să avanseze cheltuielile expertizei, asigurând astfel accesul consumatorului la clarificarea situației de neconformitate, însă vor putea recupera costurile efective atunci când se demonstrează, prin probe obiective, că reclamația nu are la bază o neconformitate inițială, ci o utilizare necorespunzătoare sau alți factori externi apăruți după livrare, imputabili consumatorului. Este esențial că mecanismul de rambursare nu se aplică atunci când expertiza a fost necesară comerciantului pentru a-și îndeplini obligația de probațiune instituită de art. 23 alin. (6) din Legea nr. 105/2003, adică atunci când aceasta a servit exclusiv determinării cauzei defectului în scopul răsturnării sau confirmării prezumției de conformitate, și nu pentru a stabili culpa consumatorului. Aceasta </w:t>
            </w:r>
            <w:r>
              <w:rPr>
                <w:rFonts w:ascii="Times New Roman" w:eastAsia="Times New Roman" w:hAnsi="Times New Roman" w:cs="Times New Roman"/>
                <w:sz w:val="24"/>
                <w:szCs w:val="24"/>
              </w:rPr>
              <w:lastRenderedPageBreak/>
              <w:t xml:space="preserve">contribuie la diminuarea riscului financiar asociat comportamentelor abuzive, fără a compromite protecția consumatorilor de bună-credință. </w:t>
            </w:r>
          </w:p>
          <w:p w14:paraId="6E4B6B3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reglementarea are un efect disciplinar asupra comportamentului consumatorilor: obligația de informare prealabilă privind costul estimativ al expertizei și posibilitatea rambursării în caz de culpă îi încurajează să evalueze mai responsabil oportunitatea formulării unei reclamații, descurajând utilizarea abuzivă a mecanismelor de protecție. </w:t>
            </w:r>
          </w:p>
          <w:p w14:paraId="5E5D36B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 termen mediu, reducerea costurilor de conformare nejustificate și creșterea predictibilității juridice pentru comercianți pot avea efecte pozitive indirecte asupra calității produselor și serviciilor, a investițiilor în servicii post-vânzare.</w:t>
            </w:r>
          </w:p>
          <w:p w14:paraId="4058367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132F5AA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este de natură să producă un impact preponderent pozitiv asupra sectorului privat, în special asupra operatorilor economici care își desfășoară activitatea prin intermediul platformelor de intermediere online. Instituirea unui cadru normativ care recunoaște expres posibilitatea platformelor de a organiza sisteme interne de soluționare a reclamațiilor oferă comercianților un mecanism suplimentar, structurat, pentru gestionarea relației cu consumatorii și pentru prevenirea escaladării rapide a litigiilor către autorități sau instanțe.</w:t>
            </w:r>
          </w:p>
          <w:p w14:paraId="1AB5EBE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furnizorii de servicii de intermediere online, reglementarea propusă clarifică rolul lor procedural – de facilitator al dialogului și al soluționării amiabile – fără a le transfera calitatea de vânzător sau răspunderea juridică pentru neconformitatea produselor/serviciilor. Aceasta reduce riscurile juridice asociate unor interpretări divergente și le permite să-și proiecteze mecanismele interne (interfețe de reclamații, fluxuri de comunicare, instrumente de monitorizare) într-un cadru previzibil, adaptat propriului model de afaceri.</w:t>
            </w:r>
          </w:p>
          <w:p w14:paraId="50279C9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vânzători și prestatori, utilizarea sistemelor interne implementate de platforme poate conduce la o gestionare mai eficientă a reclamațiilor, prin centralizarea comunicării cu consumatorul, trasabilitatea schimbului de informații și intervenția timpurie în vederea unei soluționări amiabile. În mod indirect, aceasta poate diminua costurile legate de timp, resurse administrative și reputație, precum și numărul cazurilor care ajung direct la autoritatea de protecție a consumatorilor fără un dialog prealabil.</w:t>
            </w:r>
          </w:p>
          <w:p w14:paraId="1AB0068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proiectul contribuie la atenuarea dezechilibrelor semnalate de mediul de afaceri în aplicarea actuală a Legii nr. 105/2003, prin faptul că sistemele interne pot funcționa ca o primă „linie” de clarificare a situațiilor factuale și de filtrare a reclamațiilor vădit neîntemeiate sau abuzive. </w:t>
            </w:r>
          </w:p>
          <w:p w14:paraId="6DF66A0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IMM-uri, care sunt adesea mai vulnerabile la sarcini procedurale și costuri de litigii, accesul la un mecanism standardizat, integrat în platforma prin intermediul căreia vând, poate reprezenta un avantaj competitiv, permițându-le să gestioneze eficient reclamațiile fără a dezvolta infrastructuri IT proprii complexe. În ansamblu, reglementarea propusă sprijină dezvoltarea unui mediu de afaceri mai previzibil și mai echilibrat în comerțul electronic, consolidând în același timp încrederea consumatorilor în aceste servicii.</w:t>
            </w:r>
          </w:p>
          <w:p w14:paraId="69F5DABD"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17D56F3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Modificările vor elimina incertitudinea juridică și restricțiile disproporționate aplicabile companiilor locale care produc conținut digital și servicii de transmisie live exclusiv pentru beneficiari nerezidenți. Acestea vor putea importa echipamentele necesare și desfășura activitatea în Republica Moldova fără a fi tratate drept organizatori ai jocurilor de noroc, ceea ce va facilita investiții noi și va putea atrage alte proiecte similare orientate spre export. </w:t>
            </w:r>
          </w:p>
          <w:p w14:paraId="23F67CFE"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4225F15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Startup-urile, întreprinderile inovatoare și rezidenții MITP vor beneficia de acces mai clar la granturi, vouchere, accelerare, mentorat, servicii de testare și alte instrumente financiare sau de dezvoltare. Clarificarea regimului fiscal distinct și a facilităților aplicabile </w:t>
            </w:r>
            <w:r>
              <w:rPr>
                <w:rFonts w:ascii="Times New Roman" w:eastAsia="Times New Roman" w:hAnsi="Times New Roman" w:cs="Times New Roman"/>
                <w:sz w:val="24"/>
                <w:szCs w:val="24"/>
              </w:rPr>
              <w:lastRenderedPageBreak/>
              <w:t xml:space="preserve">va spori securitatea juridică a investițiilor. Pentru companiile de call-centre, proiectul delimitează accesul la MITP prin cerința ca serviciile prestate exclusiv la export să constituie activitatea principală. </w:t>
            </w:r>
          </w:p>
          <w:p w14:paraId="6B5EB9A3"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2C04A53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Companiile vor putea verifica electronic atribute oficiale fără a solicita titularului documente pe hârtie și fără acces direct la registre, reducând timpul și costurile procedurilor de angajare, contractare, conformare și furnizare a serviciilor. Părțile utilizatoare care vor integra verificarea automată a atestărilor pot suporta costuri tehnice inițiale, însă utilizarea mecanismului trebuie să rămână proporțională și să nu creeze obligații tehnologice nejustificate pentru întreprinderile mici. </w:t>
            </w:r>
          </w:p>
          <w:p w14:paraId="06635FD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2D60973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Persoanele juridice și întreprinzătorii vor putea depune mai rapid petiții prin canalele guvernamentale autentificate, fără costurile și operațiunile suplimentare asociate semnării fiecărei adresări. Măsura va simplifica dialogul administrativ și va reduce riscul neexaminării petițiilor pentru lipsa semnăturii, inclusiv în cazul întreprinderilor mici care utilizează mai rar instrumentele de semnare electronică. </w:t>
            </w:r>
          </w:p>
          <w:p w14:paraId="0B6E919B"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2BD49A7C"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Mediul de afaceri va beneficia de un cabinet unic pentru recepționarea documentelor și notificărilor fiscale, vamale, administrative și civile, ceea ce va simplifica monitorizarea comunicărilor oficiale. În același timp, prezumția recepționării din următoarea zi lucrătoare impune companiilor să verifice regulat cabinetul EVO și să gestioneze corespunzător drepturile de acces și reprezentare ale angajaților. </w:t>
            </w:r>
          </w:p>
          <w:p w14:paraId="16376336" w14:textId="77777777" w:rsidR="00140DD2" w:rsidRDefault="00140DD2">
            <w:pPr>
              <w:ind w:firstLine="705"/>
              <w:rPr>
                <w:rFonts w:ascii="Times New Roman" w:eastAsia="Times New Roman" w:hAnsi="Times New Roman" w:cs="Times New Roman"/>
                <w:sz w:val="24"/>
                <w:szCs w:val="24"/>
              </w:rPr>
            </w:pPr>
          </w:p>
        </w:tc>
      </w:tr>
      <w:tr w:rsidR="00140DD2" w14:paraId="6E4A2E51"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3CBB08B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 Impactul social</w:t>
            </w:r>
          </w:p>
        </w:tc>
      </w:tr>
      <w:tr w:rsidR="00140DD2" w14:paraId="7D893746"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EDFD176"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Impactul social al proiectului de lege este evaluat ca fiind </w:t>
            </w:r>
            <w:r>
              <w:rPr>
                <w:rFonts w:ascii="Times New Roman" w:eastAsia="Times New Roman" w:hAnsi="Times New Roman" w:cs="Times New Roman"/>
                <w:b/>
                <w:bCs/>
                <w:sz w:val="24"/>
                <w:szCs w:val="24"/>
                <w:highlight w:val="white"/>
              </w:rPr>
              <w:t>preponderent pozitiv</w:t>
            </w:r>
            <w:r>
              <w:rPr>
                <w:rFonts w:ascii="Times New Roman" w:eastAsia="Times New Roman" w:hAnsi="Times New Roman" w:cs="Times New Roman"/>
                <w:sz w:val="24"/>
                <w:szCs w:val="24"/>
                <w:highlight w:val="white"/>
              </w:rPr>
              <w:t>, vizând în principal creșterea accesibilității, sprijinirea incluziunii economice și modernizarea interacțiunii dintre cetățeni, mediul de afaceri și stat.</w:t>
            </w:r>
          </w:p>
          <w:p w14:paraId="5B73756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Principalele beneficii sociale sunt structurate pe următoarele direcții:</w:t>
            </w:r>
          </w:p>
          <w:p w14:paraId="0353F16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Accesibilitate și Digitalizare</w:t>
            </w:r>
          </w:p>
          <w:p w14:paraId="4661AF66" w14:textId="77777777" w:rsidR="00140DD2" w:rsidRDefault="00000000">
            <w:pPr>
              <w:numPr>
                <w:ilvl w:val="0"/>
                <w:numId w:val="1"/>
              </w:numPr>
              <w:shd w:val="clear" w:color="auto" w:fill="FFFFFF"/>
              <w:ind w:left="0" w:firstLine="705"/>
            </w:pPr>
            <w:r>
              <w:rPr>
                <w:rFonts w:ascii="Times New Roman" w:eastAsia="Times New Roman" w:hAnsi="Times New Roman" w:cs="Times New Roman"/>
                <w:b/>
                <w:bCs/>
                <w:sz w:val="24"/>
                <w:szCs w:val="24"/>
              </w:rPr>
              <w:t>Acces facil la informație:</w:t>
            </w:r>
            <w:r>
              <w:rPr>
                <w:rFonts w:ascii="Times New Roman" w:eastAsia="Times New Roman" w:hAnsi="Times New Roman" w:cs="Times New Roman"/>
                <w:sz w:val="24"/>
                <w:szCs w:val="24"/>
              </w:rPr>
              <w:t xml:space="preserve"> Modernizarea fondului arhivistic permite persoanelor fizice </w:t>
            </w:r>
            <w:r>
              <w:rPr>
                <w:rFonts w:ascii="Times New Roman" w:eastAsia="Times New Roman" w:hAnsi="Times New Roman" w:cs="Times New Roman"/>
                <w:b/>
                <w:bCs/>
                <w:sz w:val="24"/>
                <w:szCs w:val="24"/>
              </w:rPr>
              <w:t>accesul rapid și de la distanță</w:t>
            </w:r>
            <w:r>
              <w:rPr>
                <w:rFonts w:ascii="Times New Roman" w:eastAsia="Times New Roman" w:hAnsi="Times New Roman" w:cs="Times New Roman"/>
                <w:sz w:val="24"/>
                <w:szCs w:val="24"/>
              </w:rPr>
              <w:t xml:space="preserve"> la documente esențiale, reducând necesitatea prezenței fizice la ghișee și timpul de așteptare.</w:t>
            </w:r>
          </w:p>
          <w:p w14:paraId="2C92BCDE" w14:textId="77777777" w:rsidR="00140DD2" w:rsidRDefault="00000000">
            <w:pPr>
              <w:numPr>
                <w:ilvl w:val="0"/>
                <w:numId w:val="1"/>
              </w:numPr>
              <w:shd w:val="clear" w:color="auto" w:fill="FFFFFF"/>
              <w:ind w:left="0" w:firstLine="705"/>
            </w:pPr>
            <w:r>
              <w:rPr>
                <w:rFonts w:ascii="Times New Roman" w:eastAsia="Times New Roman" w:hAnsi="Times New Roman" w:cs="Times New Roman"/>
                <w:b/>
                <w:bCs/>
                <w:sz w:val="24"/>
                <w:szCs w:val="24"/>
              </w:rPr>
              <w:t>Siguranța documentelor:</w:t>
            </w:r>
            <w:r>
              <w:rPr>
                <w:rFonts w:ascii="Times New Roman" w:eastAsia="Times New Roman" w:hAnsi="Times New Roman" w:cs="Times New Roman"/>
                <w:sz w:val="24"/>
                <w:szCs w:val="24"/>
              </w:rPr>
              <w:t xml:space="preserve"> Arhivarea electronică securizată diminuează riscul pierderii definitive a documentelor necesare pentru exercitarea unor drepturi sociale, cum ar fi cele legate de pensii sau proprietate.</w:t>
            </w:r>
          </w:p>
          <w:p w14:paraId="14644ED8" w14:textId="77777777" w:rsidR="00140DD2" w:rsidRDefault="00000000">
            <w:pPr>
              <w:numPr>
                <w:ilvl w:val="0"/>
                <w:numId w:val="1"/>
              </w:numPr>
              <w:shd w:val="clear" w:color="auto" w:fill="FFFFFF"/>
              <w:ind w:left="0" w:firstLine="705"/>
            </w:pPr>
            <w:r>
              <w:rPr>
                <w:rFonts w:ascii="Times New Roman" w:eastAsia="Times New Roman" w:hAnsi="Times New Roman" w:cs="Times New Roman"/>
                <w:b/>
                <w:bCs/>
                <w:sz w:val="24"/>
                <w:szCs w:val="24"/>
              </w:rPr>
              <w:t>Egalitate de gen și incluziune:</w:t>
            </w:r>
            <w:r>
              <w:rPr>
                <w:rFonts w:ascii="Times New Roman" w:eastAsia="Times New Roman" w:hAnsi="Times New Roman" w:cs="Times New Roman"/>
                <w:sz w:val="24"/>
                <w:szCs w:val="24"/>
              </w:rPr>
              <w:t xml:space="preserve"> Digitalizarea serviciilor (înregistrarea afacerii, accesul la documente) elimină barierele practice de mobilitate care afectează disproporționat femeile, tinerii sau persoanele din mediul rural cu responsabilități familiale extinse.</w:t>
            </w:r>
          </w:p>
          <w:p w14:paraId="67315EC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Protecția categoriilor vulnerabile</w:t>
            </w:r>
          </w:p>
          <w:p w14:paraId="6C0ED05C" w14:textId="77777777" w:rsidR="00140DD2" w:rsidRDefault="00000000">
            <w:pPr>
              <w:numPr>
                <w:ilvl w:val="0"/>
                <w:numId w:val="2"/>
              </w:numPr>
              <w:shd w:val="clear" w:color="auto" w:fill="FFFFFF"/>
              <w:ind w:left="0" w:firstLine="705"/>
            </w:pPr>
            <w:r>
              <w:rPr>
                <w:rFonts w:ascii="Times New Roman" w:eastAsia="Times New Roman" w:hAnsi="Times New Roman" w:cs="Times New Roman"/>
                <w:b/>
                <w:bCs/>
                <w:sz w:val="24"/>
                <w:szCs w:val="24"/>
              </w:rPr>
              <w:t xml:space="preserve">Menținerea facilităților sociale: </w:t>
            </w:r>
            <w:r>
              <w:rPr>
                <w:rFonts w:ascii="Times New Roman" w:eastAsia="Times New Roman" w:hAnsi="Times New Roman" w:cs="Times New Roman"/>
                <w:sz w:val="24"/>
                <w:szCs w:val="24"/>
              </w:rPr>
              <w:t>proiectul păstrează neatinse mecanismele de protecție socială existente, intervențiile propuse neafectând regimul prestațiilor de asigurări sociale și de asistență socială.</w:t>
            </w:r>
          </w:p>
          <w:p w14:paraId="0F5C5D39" w14:textId="77777777" w:rsidR="00140DD2" w:rsidRDefault="00000000">
            <w:pPr>
              <w:numPr>
                <w:ilvl w:val="0"/>
                <w:numId w:val="2"/>
              </w:numPr>
              <w:shd w:val="clear" w:color="auto" w:fill="FFFFFF"/>
              <w:ind w:left="0" w:firstLine="705"/>
            </w:pPr>
            <w:r>
              <w:rPr>
                <w:rFonts w:ascii="Times New Roman" w:eastAsia="Times New Roman" w:hAnsi="Times New Roman" w:cs="Times New Roman"/>
                <w:b/>
                <w:bCs/>
                <w:sz w:val="24"/>
                <w:szCs w:val="24"/>
              </w:rPr>
              <w:t>Accesibilitate geografică:</w:t>
            </w:r>
            <w:r>
              <w:rPr>
                <w:rFonts w:ascii="Times New Roman" w:eastAsia="Times New Roman" w:hAnsi="Times New Roman" w:cs="Times New Roman"/>
                <w:sz w:val="24"/>
                <w:szCs w:val="24"/>
              </w:rPr>
              <w:t xml:space="preserve"> Încurajarea serviciilor moderne de livrare îmbunătățește accesul populației din zonele izolate la produse diverse prin intermediul comerțului electronic.</w:t>
            </w:r>
          </w:p>
          <w:p w14:paraId="65711AAA"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Sprijinirea antreprenoriatului și a forței de muncă</w:t>
            </w:r>
          </w:p>
          <w:p w14:paraId="3F18C61F" w14:textId="77777777" w:rsidR="00140DD2" w:rsidRDefault="00000000">
            <w:pPr>
              <w:numPr>
                <w:ilvl w:val="0"/>
                <w:numId w:val="3"/>
              </w:numPr>
              <w:shd w:val="clear" w:color="auto" w:fill="FFFFFF"/>
              <w:ind w:left="0" w:firstLine="705"/>
            </w:pPr>
            <w:r>
              <w:rPr>
                <w:rFonts w:ascii="Times New Roman" w:eastAsia="Times New Roman" w:hAnsi="Times New Roman" w:cs="Times New Roman"/>
                <w:b/>
                <w:bCs/>
                <w:sz w:val="24"/>
                <w:szCs w:val="24"/>
              </w:rPr>
              <w:t xml:space="preserve">Acces echitabil la afaceri: </w:t>
            </w:r>
            <w:r>
              <w:rPr>
                <w:rFonts w:ascii="Times New Roman" w:eastAsia="Times New Roman" w:hAnsi="Times New Roman" w:cs="Times New Roman"/>
                <w:sz w:val="24"/>
                <w:szCs w:val="24"/>
              </w:rPr>
              <w:t>gratuitatea verificării preliminare a denumirii firmei facilitează lansarea afacerilor pentru persoanele cu resurse financiare limitate, inclusiv pentru tineri și pentru antreprenorii aflați la prima inițiativă.</w:t>
            </w:r>
          </w:p>
          <w:p w14:paraId="34756F5A" w14:textId="77777777" w:rsidR="00140DD2" w:rsidRDefault="00000000">
            <w:pPr>
              <w:numPr>
                <w:ilvl w:val="0"/>
                <w:numId w:val="3"/>
              </w:numPr>
              <w:shd w:val="clear" w:color="auto" w:fill="FFFFFF"/>
              <w:ind w:left="0" w:firstLine="705"/>
            </w:pPr>
            <w:r>
              <w:rPr>
                <w:rFonts w:ascii="Times New Roman" w:eastAsia="Times New Roman" w:hAnsi="Times New Roman" w:cs="Times New Roman"/>
                <w:b/>
                <w:bCs/>
                <w:sz w:val="24"/>
                <w:szCs w:val="24"/>
              </w:rPr>
              <w:lastRenderedPageBreak/>
              <w:t>Crearea locurilor de muncă: r</w:t>
            </w:r>
            <w:r>
              <w:rPr>
                <w:rFonts w:ascii="Times New Roman" w:eastAsia="Times New Roman" w:hAnsi="Times New Roman" w:cs="Times New Roman"/>
                <w:sz w:val="24"/>
                <w:szCs w:val="24"/>
              </w:rPr>
              <w:t>educerea costurilor administrative de intrare pe piață și digitalizarea procedurilor administrative sunt estimate să contribuie la extinderea activității întreprinderilor și, implicit, la crearea de noi locuri de muncă.</w:t>
            </w:r>
          </w:p>
          <w:p w14:paraId="183D8C3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Încrederea consumatorilor și soluționarea conflictelor</w:t>
            </w:r>
          </w:p>
          <w:p w14:paraId="0C39D103" w14:textId="77777777" w:rsidR="00140DD2" w:rsidRDefault="00000000">
            <w:pPr>
              <w:numPr>
                <w:ilvl w:val="0"/>
                <w:numId w:val="4"/>
              </w:numPr>
              <w:shd w:val="clear" w:color="auto" w:fill="FFFFFF"/>
              <w:ind w:left="0" w:firstLine="705"/>
            </w:pPr>
            <w:r>
              <w:rPr>
                <w:rFonts w:ascii="Times New Roman" w:eastAsia="Times New Roman" w:hAnsi="Times New Roman" w:cs="Times New Roman"/>
                <w:b/>
                <w:bCs/>
                <w:sz w:val="24"/>
                <w:szCs w:val="24"/>
              </w:rPr>
              <w:t>Mecanisme rapide de soluționare:</w:t>
            </w:r>
            <w:r>
              <w:rPr>
                <w:rFonts w:ascii="Times New Roman" w:eastAsia="Times New Roman" w:hAnsi="Times New Roman" w:cs="Times New Roman"/>
                <w:sz w:val="24"/>
                <w:szCs w:val="24"/>
              </w:rPr>
              <w:t xml:space="preserve"> Introducerea sistemelor interne de reclamații pe platformele de tip marketplace oferă consumatorilor instrumente simple și gratuite pentru apărarea drepturilor lor, chiar în mediul în care au efectuat achiziția.</w:t>
            </w:r>
          </w:p>
          <w:p w14:paraId="21141331" w14:textId="77777777" w:rsidR="00140DD2" w:rsidRDefault="00000000">
            <w:pPr>
              <w:numPr>
                <w:ilvl w:val="0"/>
                <w:numId w:val="4"/>
              </w:numPr>
              <w:shd w:val="clear" w:color="auto" w:fill="FFFFFF"/>
              <w:ind w:left="0" w:firstLine="705"/>
            </w:pPr>
            <w:r>
              <w:rPr>
                <w:rFonts w:ascii="Times New Roman" w:eastAsia="Times New Roman" w:hAnsi="Times New Roman" w:cs="Times New Roman"/>
                <w:b/>
                <w:bCs/>
                <w:sz w:val="24"/>
                <w:szCs w:val="24"/>
              </w:rPr>
              <w:t>Educație și transparență:</w:t>
            </w:r>
            <w:r>
              <w:rPr>
                <w:rFonts w:ascii="Times New Roman" w:eastAsia="Times New Roman" w:hAnsi="Times New Roman" w:cs="Times New Roman"/>
                <w:sz w:val="24"/>
                <w:szCs w:val="24"/>
              </w:rPr>
              <w:t xml:space="preserve"> Noile reguli privind expertiza tehnică obligă comercianții la o informare clară a consumatorilor, promovând un comportament mai responsabil și o mai bună cunoaștere a drepturilor și obligațiilor legale.</w:t>
            </w:r>
          </w:p>
          <w:p w14:paraId="1A3113FF"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Persoanele juridice și întreprinzătorii individuali vor obține ca informația actualizată din RSUD să fie livrată în regim automat</w:t>
            </w:r>
            <w:r>
              <w:rPr>
                <w:rFonts w:ascii="Times New Roman" w:eastAsia="Times New Roman" w:hAnsi="Times New Roman" w:cs="Times New Roman"/>
                <w:sz w:val="24"/>
                <w:szCs w:val="24"/>
              </w:rPr>
              <w:t xml:space="preserve">, fără depunerea unei cereri, așteptarea eliberării extrasului și, după caz, deplasarea la sediul ASP sau a altei autorități solicitante. Măsura va reduce timpul și costurile de conformare aferente celor aproximativ 100 mii de extrase solicitate anual și va facilita verificarea rapidă a partenerilor de afaceri și desfășurarea tranzacțiilor. </w:t>
            </w:r>
          </w:p>
          <w:p w14:paraId="67D8E544"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Proiectul de amendament poate genera din start aproximativ 2.000 de locuri de muncă</w:t>
            </w:r>
            <w:r>
              <w:rPr>
                <w:rFonts w:ascii="Times New Roman" w:eastAsia="Times New Roman" w:hAnsi="Times New Roman" w:cs="Times New Roman"/>
                <w:sz w:val="24"/>
                <w:szCs w:val="24"/>
              </w:rPr>
              <w:t xml:space="preserve">, preponderent pentru tineri cu vârsta între 18 și 30 de ani, inclusiv oportunități pentru persoane fără experiență profesională specializată. Investitorul urmează să ofere formare profesională, instruire lingvistică, salarii și beneficii competitive. Impactul asupra participării populației la jocuri de noroc este neutru, deoarece activitatea este destinată exclusiv piețelor externe și nu presupune furnizarea jocurilor de noroc către persoane din Republica Moldova. </w:t>
            </w:r>
          </w:p>
          <w:p w14:paraId="06E0546C"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7. Proiectul va contribui la dezvoltarea </w:t>
            </w:r>
            <w:r>
              <w:rPr>
                <w:rFonts w:ascii="Times New Roman" w:eastAsia="Times New Roman" w:hAnsi="Times New Roman" w:cs="Times New Roman"/>
                <w:sz w:val="24"/>
                <w:szCs w:val="24"/>
              </w:rPr>
              <w:t xml:space="preserve">startup-urilor, crearea locurilor de muncă cu valoare adăugată, dezvoltarea competențelor digitale și menținerea talentelor în Republica Moldova. Participarea la programe și ecosisteme europene va extinde oportunitățile pentru antreprenori, cercetători și profesioniști și va susține transformarea rezultatelor cercetării în produse și servicii digitale competitive. </w:t>
            </w:r>
          </w:p>
          <w:p w14:paraId="67136A3B"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 Măsura va simplifica accesul la servicii publice și private,</w:t>
            </w:r>
            <w:r>
              <w:rPr>
                <w:rFonts w:ascii="Times New Roman" w:eastAsia="Times New Roman" w:hAnsi="Times New Roman" w:cs="Times New Roman"/>
                <w:sz w:val="24"/>
                <w:szCs w:val="24"/>
              </w:rPr>
              <w:t xml:space="preserve"> va reduce deplasările și utilizarea hârtiei și va oferi titularului un control mai mare asupra informațiilor divulgate. Persoanele vor putea obține gratuit și prezenta prin EVO numai atributele necesare, fără solicitarea repetată a extraselor, certificatelor și permiselor. </w:t>
            </w:r>
          </w:p>
          <w:p w14:paraId="6EDF3FB5"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Modificările vor extinde accesul efectiv la dreptul de petiționare electronică</w:t>
            </w:r>
            <w:r>
              <w:rPr>
                <w:rFonts w:ascii="Times New Roman" w:eastAsia="Times New Roman" w:hAnsi="Times New Roman" w:cs="Times New Roman"/>
                <w:sz w:val="24"/>
                <w:szCs w:val="24"/>
              </w:rPr>
              <w:t xml:space="preserve"> și va simplifica interacțiunea cetățenilor cu autoritățile. Persoanele autentificate prin infrastructura guvernamentală vor putea transmite petiții fără un instrument distinct de semnare, fiind menținute canalele tradiționale pentru persoanele care nu utilizează mijloace digitale. </w:t>
            </w:r>
          </w:p>
          <w:p w14:paraId="059C00A3" w14:textId="77777777" w:rsidR="00140DD2" w:rsidRDefault="00000000">
            <w:pPr>
              <w:shd w:val="clear" w:color="auto" w:fill="FFFFFF"/>
              <w:ind w:firstLine="7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Se va obține reducerea timpului și costurilor</w:t>
            </w:r>
            <w:r>
              <w:rPr>
                <w:rFonts w:ascii="Times New Roman" w:eastAsia="Times New Roman" w:hAnsi="Times New Roman" w:cs="Times New Roman"/>
                <w:sz w:val="24"/>
                <w:szCs w:val="24"/>
              </w:rPr>
              <w:t xml:space="preserve"> asociate comunicărilor pe hârtie, creșterea predictibilității raporturilor dintre stat și întreprinzători și facilitarea interacțiunii la distanță, inclusiv pentru persoanele aflate peste hotare. Măsura contribuie și la reducerea consumului de hârtie și a deplasărilor la sediile autorităților. </w:t>
            </w:r>
          </w:p>
          <w:p w14:paraId="0EC5EDA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domenii precum prevenirea spălării banilor sau mecanismele de examinare a investițiilor, impactul social este considerat </w:t>
            </w:r>
            <w:r>
              <w:rPr>
                <w:rFonts w:ascii="Times New Roman" w:eastAsia="Times New Roman" w:hAnsi="Times New Roman" w:cs="Times New Roman"/>
                <w:b/>
                <w:bCs/>
                <w:sz w:val="24"/>
                <w:szCs w:val="24"/>
              </w:rPr>
              <w:t>neutru</w:t>
            </w:r>
            <w:r>
              <w:rPr>
                <w:rFonts w:ascii="Times New Roman" w:eastAsia="Times New Roman" w:hAnsi="Times New Roman" w:cs="Times New Roman"/>
                <w:sz w:val="24"/>
                <w:szCs w:val="24"/>
              </w:rPr>
              <w:t>, deoarece aceste măsuri vizează siguranța sistemului financiar și securitatea statului fără a afecta drepturile sociale ale cetățenilor</w:t>
            </w:r>
          </w:p>
          <w:p w14:paraId="5A39FC19" w14:textId="77777777" w:rsidR="00140DD2" w:rsidRDefault="00140DD2">
            <w:pPr>
              <w:ind w:firstLine="705"/>
              <w:rPr>
                <w:rFonts w:ascii="Times New Roman" w:eastAsia="Times New Roman" w:hAnsi="Times New Roman" w:cs="Times New Roman"/>
                <w:sz w:val="24"/>
                <w:szCs w:val="24"/>
              </w:rPr>
            </w:pPr>
          </w:p>
        </w:tc>
      </w:tr>
      <w:tr w:rsidR="00140DD2" w14:paraId="583C1D75"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41A83B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4.4.1. Impactul asupra datelor cu caracter personal</w:t>
            </w:r>
          </w:p>
        </w:tc>
      </w:tr>
      <w:tr w:rsidR="00140DD2" w14:paraId="6FBEE6E5"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542F5C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sz w:val="24"/>
                <w:szCs w:val="24"/>
                <w:highlight w:val="white"/>
              </w:rPr>
              <w:t>Impactul proiectului asupra datelor cu caracter personal este abordat în mod specific pentru fiecare domeniu de intervenție.</w:t>
            </w:r>
          </w:p>
          <w:p w14:paraId="1E02CBC6"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I.MODIFICAREA LEGII NR. 880/1992 PRIVIND FONDUL ARHIVISTIC AL REPUBLICII MOLDOVA</w:t>
            </w:r>
          </w:p>
          <w:p w14:paraId="6C50208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Modificarea Legii nr. 880/1992 are un impact direct asupra modului în care sunt prelucrate și păstrate datele cu caracter personal în arhivele electronice, motiv pentru care propunerea este concepută explicit în logica principiului „protecția datelor încă din faza de proiectare și în mod implicit”, prevăzut de standardele europene și preluat în practica națională. Prin reglementarea serviciilor de arhivă electronică securizată, proiectul introduce cerințe obligatorii privind confidențialitatea, integritatea, disponibilitatea și trasabilitatea documentelor electronice, precum și obligația prestatorilor autorizați de a aplica măsuri tehnice și organizatorice adecvate (control al accesului, audit al operațiunilor, eventual criptare, mecanisme de jurnalizare), în conformitate cu legislația națională în domeniul protecției datelor și cu principiile GDPR.</w:t>
            </w:r>
          </w:p>
          <w:p w14:paraId="58FBC9D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Din perspectiva riscurilor pentru viața privată, trecerea de la arhive în format exclusiv pe hârtie la arhive electronice poate crește riscurile incidentelor de securitate (acces neautorizat, divulgare, pierdere de date). Proiectul atenuează aceste riscuri prin: (i) condiționarea autorizării prestatorilor de arhivă electronică securizată de respectarea cerințelor privind protecția datelor cu caracter personal și securitatea cibernetică; (ii) obligativitatea păstrării documentelor în condiții care asigură integritatea și confidențialitatea; (iii) corelarea cu regulamentele tehnice ce urmează a fi aprobate de Guvern și cu supravegherea exercitată de autoritățile competente (inclusiv Centrul Național pentru Protecția Datelor cu Caracter Personal).</w:t>
            </w:r>
          </w:p>
          <w:p w14:paraId="4E7AC99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drepturile persoanelor vizate (acces, rectificare, opoziție, ștergere/limitare), arhivarea electronică securizată poate facilita exercitarea acestora prin localizarea mai rapidă a datelor, prin evidența unitară a prelucrărilor și prin capacitatea de a aplica selecții și filtrări la nivel de sistem informatic. În același timp, proiectul menține limitele specifice prelucrărilor în scopuri arhivistice de interes public (termene de păstrare, imposibilitatea ștergerii unor categorii de documente incluse în Fondul Arhivistic de stat), urmând ca actele secundare să detalieze modul de conciliere a acestor drepturi cu obligațiile de păstrare.</w:t>
            </w:r>
          </w:p>
          <w:p w14:paraId="211D5BB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7E546D1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Modificarea propusă nu introduce noi categorii de date cu caracter personal și nu schimbă scopurile sau temeiurile prelucrării acestora, verificarea online a denumirii efectuându-se în baza informațiilor privind denumirile deja înscrise în registru, fără identificarea persoanelor fizice. </w:t>
            </w:r>
          </w:p>
          <w:p w14:paraId="07E9337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Eventualele ajustări tehnice necesare pentru funcționarea instrumentului online vor respecta cadrul aplicabil de protecție a datelor cu caracter personal și vor utiliza măsuri adecvate de securitate cibernetică, astfel încât riscurile de acces sau transfer neautorizat să rămână reduse. În aceste condiții, impactul asupra datelor cu caracter personal este unul minim și gestionabil, fără necesitatea unor garanții suplimentare față de cele deja existente.</w:t>
            </w:r>
          </w:p>
          <w:p w14:paraId="186833A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impactul asupra protecției datelor cu caracter personal este unul limitat, întrucât proiectul modifică modalitatea de furnizare a informației, fără a extinde categoriile de date publice înscrise în RSUD. Accesul prin aplicații web va fi asigurat numai în limitele stabilite de legislația privind protecția datelor, cu aplicarea principiilor reducerii la minimum a datelor, protecției datelor începând cu momentul conceperii și securității prelucrării. Soluția tehnică va trebui să prevină accesul la date nepublice, colectarea automatizată masivă și reutilizarea abuzivă a datelor, inclusiv prin autentificare, jurnalizarea accesărilor și limitarea interogărilor, după caz. Astfel, proiectul nu creează un nou temei pentru divulgarea datelor personale, ci eficientizează accesul la informațiile care au deja caracter public. </w:t>
            </w:r>
          </w:p>
          <w:p w14:paraId="58330E81"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105/2003 PRIVIND PROTECȚIA CONSUMATORILOR</w:t>
            </w:r>
          </w:p>
          <w:p w14:paraId="39C0538A"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2251A57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introduce noi categorii de date cu caracter personal și nu extinde scopurile sau temeiurile de prelucrare deja existente în relațiile consumator–comerciant sau în </w:t>
            </w:r>
            <w:r>
              <w:rPr>
                <w:rFonts w:ascii="Times New Roman" w:eastAsia="Times New Roman" w:hAnsi="Times New Roman" w:cs="Times New Roman"/>
                <w:sz w:val="24"/>
                <w:szCs w:val="24"/>
              </w:rPr>
              <w:lastRenderedPageBreak/>
              <w:t>procedurile în fața autorității de protecție a consumatorilor. Datele utilizate în contextul expertizei (identificarea părților, date de contact, informații tehnice legate de produs) rămân cele inerente raportului contractual și procedurilor de soluționare a reclamațiilor, prelucrate în temeiul legislației generale privind protecția datelor și al normelor speciale în domeniul protecției consumatorilor.</w:t>
            </w:r>
          </w:p>
          <w:p w14:paraId="3145488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49FD3B4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Funcționarea sistemelor interne presupune prelucrarea datelor cu caracter personal ale consumatorilor (date de identificare, date de contact, informații privind tranzacția și reclamația), precum și, după caz, ale reprezentanților vânzătorilor/prestatorilor. Prelucrarea acestor date va trebui realizată în temeiul și cu respectarea strictă a legislației privind protecția datelor cu caracter personal, inclusiv prin informarea persoanelor vizate asupra scopurilor prelucrării, a temeiurilor legale, a duratei stocării și a drepturilor lor.</w:t>
            </w:r>
          </w:p>
          <w:p w14:paraId="12D764B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Sistemele interne vor trebui proiectate astfel încât să integreze măsuri tehnice și organizatorice adecvate pentru protejarea datelor (controlul accesului, confidențialitatea comunicărilor, trasabilitatea operațiunilor), minimizarea categoriilor de date utilizate și limitarea stocării la perioada necesară gestionării reclamației și eventualelor proceduri ulterioare. În acest fel, riscurile de acces neautorizat, utilizare necorespunzătoare sau divulgare neautorizată a datelor pot fi menținute la un nivel redus și gestionabile.</w:t>
            </w:r>
          </w:p>
          <w:p w14:paraId="5AFC9C6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133/2016 PRIVIND DECLARAREA AVERII ȘI A INTERESELOR PERSONALE</w:t>
            </w:r>
          </w:p>
          <w:p w14:paraId="28091B0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nu modifică natura, volumul sau categoriile de date cu caracter personal colectate și prelucrate în temeiul Legii nr. 133/2016, ci vizează, în principal, clarificarea regimului juridic al utilizării semnăturii electronice calificate și diversificarea prestatorilor de servicii de încredere ale căror instrumente pot fi utilizate la depunerea declarațiilor. Din această perspectivă, impactul asupra protecției datelor este unul preponderent neutru, cu potențiale efecte pozitive prin consolidarea autenticității, integrității și trasabilității declarațiilor depuse electronic.</w:t>
            </w:r>
          </w:p>
          <w:p w14:paraId="42CD509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308/2017 CU PRIVIRE LA PREVENIREA ȘI COMBATEREA SPĂLĂRII BANILOR ȘI FINANȚĂRII TERORISMULUI</w:t>
            </w:r>
          </w:p>
          <w:p w14:paraId="59997C1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afectează negativ regimul protecției datelor cu caracter personal. </w:t>
            </w:r>
          </w:p>
          <w:p w14:paraId="703A27F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Clarifică la nivel legislativ categoriile de date solicitate și limitează dependența de cerințe administrative insuficient reglementate.</w:t>
            </w:r>
          </w:p>
          <w:p w14:paraId="64EC54B1"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174/2021 PRIVIND MECANISMUL DE EXAMINARE A INVESTIȚIILOR DE IMPORTANȚĂ PENTRU SECURITATEA STATULUI</w:t>
            </w:r>
          </w:p>
          <w:p w14:paraId="597A01B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implică schimbul de informații între autorități și entități relevante privind investitorii, investitorii potențiali și tranzacțiile care pot face obiectul Legii nr. 174/2021. Prelucrarea acestor date va trebui realizată exclusiv în scopul aplicării mecanismului de examinare a investițiilor și cu respectarea legislației privind protecția datelor cu caracter personal. Totodată, toate instituțiile implicate deja sunt obligate să respecte cerințele legale privind datele cu caracter personal, a secretului comercial și cel de stat.</w:t>
            </w:r>
          </w:p>
          <w:p w14:paraId="38A18EA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Introducerea obligației de furnizare a informațiilor către Consiliu nu justifică prelucrarea nelimitată a datelor, ci doar transmiterea informațiilor relevante pentru aprecierea necesității examinării unei investiții. Autoritățile implicate vor trebui să asigure confidențialitatea, integritatea și limitarea accesului la datele respective.</w:t>
            </w:r>
          </w:p>
          <w:p w14:paraId="5EA78CD4"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 LEGEA NR. 291/2016 CU PRIVIRE LA ORGANIZAREA ȘI DESFĂȘURAREA JOCURILOR DE NOROC</w:t>
            </w:r>
          </w:p>
          <w:p w14:paraId="5CD2891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Activitatea poate presupune prelucrarea datelor angajaților, prezentatorilor și beneficiarilor contractuali, fără a implica în mod necesar datele jucătorilor, întrucât societatea locală produce și transmite conținut digital în regim B2B, la export. Prelucrarea datelor va trebui realizată în conformitate cu legislația privind protecția datelor, inclusiv prin limitarea datelor colectate, informarea persoanelor vizate, stabilirea termenelor de păstrare și aplicarea </w:t>
            </w:r>
            <w:r>
              <w:rPr>
                <w:rFonts w:ascii="Times New Roman" w:eastAsia="Times New Roman" w:hAnsi="Times New Roman" w:cs="Times New Roman"/>
                <w:sz w:val="24"/>
                <w:szCs w:val="24"/>
              </w:rPr>
              <w:lastRenderedPageBreak/>
              <w:t xml:space="preserve">măsurilor de securitate. În cazul transferului datelor către beneficiari nerezidenți, compania va trebui să respecte cerințele aplicabile transferurilor transfrontaliere. </w:t>
            </w:r>
          </w:p>
          <w:p w14:paraId="6472490C"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VIII. LEGEA NR. 77/2016 CU PRIVIRE LA PARCURILE PENTRU TEHNOLOGIA INFORMAȚIEI</w:t>
            </w:r>
          </w:p>
          <w:p w14:paraId="0F69406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Impactul direct este limitat, proiectul reglementând în principal competențe instituționale, surse de finanțare și forme de sprijin. La administrarea programelor, Administrația MITP va prelucra date despre solicitanți, beneficiari, experți și personalul proiectelor, fiind necesară aplicarea principiilor reducerii la minimum a datelor, limitării scopului, securității și păstrării proporționale. Participarea la programe europene sau internaționale va necesita și respectarea cerințelor aplicabile schimbului și transferului transfrontalier de date. </w:t>
            </w:r>
          </w:p>
          <w:p w14:paraId="36302DFA" w14:textId="77777777" w:rsidR="00140DD2" w:rsidRDefault="00000000">
            <w:pPr>
              <w:ind w:firstLine="705"/>
              <w:rPr>
                <w:rFonts w:ascii="Georgia" w:eastAsia="Georgia" w:hAnsi="Georgia" w:cs="Georgia"/>
                <w:b/>
                <w:bCs/>
                <w:sz w:val="24"/>
                <w:szCs w:val="24"/>
              </w:rPr>
            </w:pPr>
            <w:r>
              <w:rPr>
                <w:rFonts w:ascii="Times New Roman" w:eastAsia="Times New Roman" w:hAnsi="Times New Roman" w:cs="Times New Roman"/>
                <w:b/>
                <w:bCs/>
                <w:sz w:val="24"/>
                <w:szCs w:val="24"/>
              </w:rPr>
              <w:t xml:space="preserve">IX. LEGEA NR. 71/2007 CU PRIVIRE LA REGISTRE </w:t>
            </w:r>
          </w:p>
          <w:p w14:paraId="716094F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Impactul este pozitiv, cu condiția implementării garanțiilor prevăzute. Divulgarea selectivă permite prezentarea numai a atributelor necesare, în locul unui document care conține date suplimentare. Emiterea se va efectua la cererea și cu acordul titularului, iar verificarea nu va necesita accesarea directă a registrului. Datele privind prezentarea și verificarea nu vor putea fi utilizate pentru identificarea, profilarea sau urmărirea titularului ori pentru corelarea activităților acestuia cu destinatarii, cu excepția cazurilor expres prevăzute de lege. Sistemul trebuie să aplice protecția datelor începând cu momentul conceperii, minimizarea datelor, limitarea păstrării, securitatea și jurnalizarea accesului fără crearea unui istoric centralizat al utilizării identității. </w:t>
            </w:r>
          </w:p>
          <w:p w14:paraId="36285DE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CODUL ADMINISTRATIV AL REPUBLICII MOLDOVA NR. 116/2018</w:t>
            </w:r>
          </w:p>
          <w:p w14:paraId="45A6DBA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Sistemele vor prelucra date de identificare și autentificare, conținutul petiției, data și ora depunerii și informațiile necesare dovedirii transmiterii. Aceste date trebuie utilizate exclusiv pentru înregistrarea, examinarea și probarea depunerii petiției, cu stabilirea unor termene clare de păstrare, limitarea accesului și aplicarea măsurilor de securitate. Jurnalele tehnice nu trebuie să conțină date excesive și nu pot fi reutilizate pentru profilarea sau urmărirea activității petiționarului. </w:t>
            </w:r>
          </w:p>
          <w:p w14:paraId="02A7A0B2" w14:textId="77777777" w:rsidR="00140DD2" w:rsidRDefault="00000000">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 LEGEA NR. 187/2025 PENTRU MODIFICAREA UNOR ACTE NORMATIVE</w:t>
            </w:r>
          </w:p>
          <w:p w14:paraId="73CC6DDB" w14:textId="77777777" w:rsidR="00140DD2" w:rsidRDefault="00000000">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Cabinetul EVO va prelucra date despre destinatari, reprezentanți, documente, notificări și momentele remiterii și accesării. Aceste date trebuie limitate la scopul comunicării oficiale, protejate prin autentificare și control diferențiat al accesului și păstrate potrivit unor termene clare. Pentru persoanele juridice trebuie asigurată gestionarea sigură a reprezentanților și retragerea promptă a drepturilor de acces, iar jurnalele tehnice nu trebuie reutilizate în alte scopuri incompatibile. </w:t>
            </w:r>
          </w:p>
          <w:p w14:paraId="049F5650" w14:textId="77777777" w:rsidR="00140DD2" w:rsidRDefault="00140DD2">
            <w:pPr>
              <w:ind w:firstLine="705"/>
              <w:rPr>
                <w:rFonts w:ascii="Times New Roman" w:eastAsia="Times New Roman" w:hAnsi="Times New Roman" w:cs="Times New Roman"/>
                <w:sz w:val="24"/>
                <w:szCs w:val="24"/>
              </w:rPr>
            </w:pPr>
          </w:p>
        </w:tc>
      </w:tr>
      <w:tr w:rsidR="00140DD2" w14:paraId="43C18861"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09ACC30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4.4.2. Impactul asupra echității și egalității de gen</w:t>
            </w:r>
          </w:p>
        </w:tc>
      </w:tr>
      <w:tr w:rsidR="00140DD2" w14:paraId="5B597A61"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99BF9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Impactul direct al modificărilor asupra egalității de gen este neutru din punct de vedere normativ (reglementările sunt neutre la gen), însă, la nivel practic, acestea au un potențial pozitiv de reducere a barierelor de acces la documente și servicii pentru femei și alte grupuri defavorizate. Prin posibilitatea de acces la distanță, rapid și securizat la documente necesare pentru activități economice (înregistrare de afaceri, acces la finanțare, contracte), pentru exercitarea drepturilor sociale (pensii, indemnizații, servicii sociale) sau pentru clarificarea situației juridice (drepturi de proprietate, acte de stare civilă), arhivarea electronică poate contribui la reducerea barierelor practice care afectează în mod disproporționat femeile și grupurile defavorizate, în special pe cele din mediul rural, cu mobilitate redusă sau cu responsabilități familiale extinse.</w:t>
            </w:r>
          </w:p>
          <w:p w14:paraId="0F58C3BA" w14:textId="77777777" w:rsidR="00140DD2" w:rsidRDefault="00140DD2">
            <w:pPr>
              <w:ind w:firstLine="705"/>
              <w:rPr>
                <w:rFonts w:ascii="Times New Roman" w:eastAsia="Times New Roman" w:hAnsi="Times New Roman" w:cs="Times New Roman"/>
                <w:b/>
                <w:bCs/>
                <w:sz w:val="24"/>
                <w:szCs w:val="24"/>
              </w:rPr>
            </w:pPr>
          </w:p>
        </w:tc>
      </w:tr>
      <w:tr w:rsidR="00140DD2" w14:paraId="553DD876"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2B8C3D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4.5. Impactul asupra mediului</w:t>
            </w:r>
          </w:p>
        </w:tc>
      </w:tr>
      <w:tr w:rsidR="00140DD2" w14:paraId="359FC517"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A5FA0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Proiectul are un impact de mediu preponderent pozitiv, în special prin reducerea consumului de hârtie și a necesarului de spații fizice de depozitare. Totuși, implementarea proiectului presupune condiția implementării atente a măsurilor tehnice și organizaționale menite să optimizeze consumul energetic și gestionarea echipamentelor IT.</w:t>
            </w:r>
          </w:p>
          <w:p w14:paraId="3A761CF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În rest, proiectul de lege nu vizează domenii cu relevanță ecologică directă, astfel încât impactul său asupra mediului este neutru. </w:t>
            </w:r>
          </w:p>
          <w:p w14:paraId="6040EBB7" w14:textId="77777777" w:rsidR="00140DD2" w:rsidRDefault="00140DD2">
            <w:pPr>
              <w:ind w:firstLine="705"/>
              <w:rPr>
                <w:rFonts w:ascii="Times New Roman" w:eastAsia="Times New Roman" w:hAnsi="Times New Roman" w:cs="Times New Roman"/>
                <w:sz w:val="24"/>
                <w:szCs w:val="24"/>
              </w:rPr>
            </w:pPr>
          </w:p>
        </w:tc>
      </w:tr>
      <w:tr w:rsidR="00140DD2" w14:paraId="640845E5"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D58D5A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4.6. Alte impacturi și informații relevante</w:t>
            </w:r>
          </w:p>
        </w:tc>
      </w:tr>
      <w:tr w:rsidR="00140DD2" w14:paraId="34B50EBF"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6E5C2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Digitalizarea ciclului de viață al documentelor, recunoașterea arhivei electronice securizate și simplificarea procedurilor administrative contribuie la reducerea costurilor de conformare ale mediului de afaceri și la consolidarea încrederii în instrumentele digitale.</w:t>
            </w:r>
          </w:p>
          <w:p w14:paraId="20D2F91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măsurile se înscriu în tendințele de digitalizare a economiei și de adaptare a cadrului normativ la noile modele de business bazate pe platforme și piețe online, fără a introduce bariere disproporționate pentru inițiativele antreprenoriale de mici dimensiuni.</w:t>
            </w:r>
          </w:p>
          <w:p w14:paraId="58AB0A40" w14:textId="77777777" w:rsidR="00140DD2" w:rsidRDefault="00140DD2">
            <w:pPr>
              <w:ind w:firstLine="705"/>
              <w:rPr>
                <w:rFonts w:ascii="Times New Roman" w:eastAsia="Times New Roman" w:hAnsi="Times New Roman" w:cs="Times New Roman"/>
                <w:sz w:val="24"/>
                <w:szCs w:val="24"/>
              </w:rPr>
            </w:pPr>
          </w:p>
        </w:tc>
      </w:tr>
      <w:tr w:rsidR="00140DD2" w14:paraId="1C4D8747"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1037288"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Compatibilitatea proiectului actului normativ cu legislația UE </w:t>
            </w:r>
          </w:p>
        </w:tc>
      </w:tr>
      <w:tr w:rsidR="00140DD2" w14:paraId="18C65A13"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654B674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5.1. Măsuri normative necesare pentru transpunerea actelor juridice ale UE în legislația națională</w:t>
            </w:r>
          </w:p>
        </w:tc>
      </w:tr>
      <w:tr w:rsidR="00140DD2" w14:paraId="257DDE95"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C7A5CB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nu face parte din categoria actelor care urmează a fi elaborate și aprobate în scopul armonizării legislației naționale cu legislația UE incluse în PNA 2025-2029, însă intervențiile normative urmăresc alinierea cadrului național la bunele practici europene în materie de document electronic, arhivare electronică, digitalizare a dreptului societăților comerciale și protecție a consumatorilor.</w:t>
            </w:r>
          </w:p>
          <w:p w14:paraId="4D440C8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reglementarea propusă este în acord cu direcția promovată la nivel european privind încurajarea mecanismelor eficiente, rapide și accesibile de soluționare a litigiilor în mediul online.</w:t>
            </w:r>
          </w:p>
          <w:p w14:paraId="46A1A9C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consacrarea posibilității platformelor de intermediere online de a institui sisteme interne de soluționare a reclamațiilor, proiectul contribuie la crearea unui cadru juridic intern compatibil cu soluțiile întâlnite în statele membre ale UE, unde marile marketplace‑uri integrează deja mecanisme de gestionare a reclamațiilor și dispute‑lor în relația consumator–vânzător. Normele propuse delimitează clar rolul acestor mecanisme interne față de entitățile SAL și față de autoritățile publice, evitând suprapuneri instituționale și păstrând accesul neîngrădit al consumatorilor la căile de atac prevăzute de dreptul UE și de legislația națională</w:t>
            </w:r>
          </w:p>
          <w:p w14:paraId="42FA1D9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intervenția legislativă răspunde angajamentelor asumate de Republica Moldova în procesul de negociere pentru aderarea la Uniunea Europeană. </w:t>
            </w:r>
          </w:p>
          <w:p w14:paraId="104EFB5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Astfel, în materie de arhivare electronică, soluțiile propuse sunt compatibile cu Regulamentul (UE) nr. 910/2014, astfel cum a fost modificat prin Regulamentul (UE) 2024/1183, care a introdus serviciul calificat de arhivare electronică în categoria serviciilor de încredere, cerințele specifice fiind stabilite la art. 45j. Terminologia a fost corelată cu Legea nr. 124/2022, prin utilizarea noțiunii de prestator de servicii de încredere „calificat”, fără trimitere la o procedură de acreditare.</w:t>
            </w:r>
          </w:p>
          <w:p w14:paraId="410CC9E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materia înregistrării de stat, verificarea preliminară online a denumirii se înscrie în obiectivele Directivei (UE) 2017/1132, astfel cum a fost modificată prin Directiva (UE) 2019/1151, privind utilizarea instrumentelor și a proceselor digitale în dreptul societăților comerciale.</w:t>
            </w:r>
          </w:p>
          <w:p w14:paraId="22AAEE4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materia protecției consumatorilor, completările aduse art. 25 din Legea nr. 105/2003 sunt compatibile cu Directiva (UE) 2019/771, în special cu art. 11, care instituie prezumția de neconformitate în favoarea consumatorului. Se precizează că sistemul intern de soluționare a reclamațiilor prevăzut la art. 28¹ are caracter voluntar și este distinct de sistemul intern reglementat de art. 11 din Regulamentul (UE) 2019/1150, care vizează reclamațiile </w:t>
            </w:r>
            <w:r>
              <w:rPr>
                <w:rFonts w:ascii="Times New Roman" w:eastAsia="Times New Roman" w:hAnsi="Times New Roman" w:cs="Times New Roman"/>
                <w:sz w:val="24"/>
                <w:szCs w:val="24"/>
              </w:rPr>
              <w:lastRenderedPageBreak/>
              <w:t>întreprinderilor utilizatoare împotriva furnizorului platformei. Sistemul propus nu constituie procedură de soluționare alternativă a litigiilor în sensul Directivei 2013/11/UE și nu limitează drepturile consumatorului.</w:t>
            </w:r>
          </w:p>
          <w:p w14:paraId="1283CC3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proiectul este compatibil și cu Regulamentul (UE) 2019/452 al Parlamentului European și al Consiliului din 19 martie 2019 de stabilire a unui cadru pentru examinarea investițiilor străine directe în Uniune și cu Recomandarea Comisiei Europene C(2023) 6689 din 3 octombrie 2023 privind ariile de tehnologie critică pentru securitatea economică a Uniunii.</w:t>
            </w:r>
          </w:p>
          <w:p w14:paraId="653E638C" w14:textId="77777777" w:rsidR="00140DD2" w:rsidRDefault="00140DD2">
            <w:pPr>
              <w:ind w:firstLine="705"/>
              <w:rPr>
                <w:rFonts w:ascii="Times New Roman" w:eastAsia="Times New Roman" w:hAnsi="Times New Roman" w:cs="Times New Roman"/>
                <w:sz w:val="24"/>
                <w:szCs w:val="24"/>
              </w:rPr>
            </w:pPr>
          </w:p>
        </w:tc>
      </w:tr>
      <w:tr w:rsidR="00140DD2" w14:paraId="2BD9DFDE"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68D0C31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5.2. Măsuri normative care urmăresc crearea cadrului juridic intern necesar pentru implementarea legislației UE</w:t>
            </w:r>
          </w:p>
        </w:tc>
      </w:tr>
      <w:tr w:rsidR="00140DD2" w14:paraId="2202261F"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6E0131"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de lege propune o serie de măsuri normative menite să creeze cadrul juridic intern necesar pentru alinierea Republicii Moldova la standardele și bunele practici ale Uniunii Europene, chiar dacă acesta nu face parte oficial din actele de armonizare obligatorie din PNA 2025-2029.</w:t>
            </w:r>
          </w:p>
          <w:p w14:paraId="7730A1D2"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Principalele măsuri identificate sunt:</w:t>
            </w:r>
          </w:p>
          <w:p w14:paraId="2B0983C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MODIFICAREA LEGII CU PRIVIRE LA PREVENIREA ȘI COMBATEREA SPĂLĂRII BANILOR ȘI FINANȚĂRII TERORISMULUI</w:t>
            </w:r>
          </w:p>
          <w:p w14:paraId="2712187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nu instituie un nou cadru primar de implementare a legislației UE în domeniul prevenirii și combaterii spălării banilor. Intervențiile menținute vizează exclusiv eliminarea unor cerințe naționale care depășesc standardul european minim, transpunerea sistemică a Regulamentului (UE) 2024/1624 și a Directivei (UE) 2024/1640 urmând a fi realizată prin proiectul distinct elaborat de Serviciul Prevenirea și Combaterea Spălării Banilor.</w:t>
            </w:r>
          </w:p>
          <w:p w14:paraId="6263FB4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MODIFICAREA LEGII NR. 174/2021 PRIVIND MECANISMUL DE EXAMINARE A INVESTIȚIILOR DE IMPORTANȚĂ PENTRU SECURITATEA STATULUI</w:t>
            </w:r>
          </w:p>
          <w:p w14:paraId="30AC0C8B"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creează cadrul juridic intern necesar pentru aplicarea coerentă a standardelor europene privind examinarea investițiilor în raport cu tehnologii critice și produse cu dublă utilizare. În acest sens, el facilitează utilizarea unor criterii compatibile cu cele din art. 4 din Regulamentul (UE) 2019/452.</w:t>
            </w:r>
          </w:p>
          <w:p w14:paraId="5369EEFC" w14:textId="77777777" w:rsidR="00140DD2" w:rsidRDefault="00140DD2">
            <w:pPr>
              <w:ind w:firstLine="705"/>
              <w:rPr>
                <w:rFonts w:ascii="Times New Roman" w:eastAsia="Times New Roman" w:hAnsi="Times New Roman" w:cs="Times New Roman"/>
                <w:sz w:val="24"/>
                <w:szCs w:val="24"/>
              </w:rPr>
            </w:pPr>
          </w:p>
        </w:tc>
      </w:tr>
      <w:tr w:rsidR="00140DD2" w14:paraId="28664546"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77D2E4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Avizarea și consultarea publică a proiectului actului normativ</w:t>
            </w:r>
          </w:p>
        </w:tc>
      </w:tr>
      <w:tr w:rsidR="00140DD2" w14:paraId="102C9A32"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67C473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conformitate cu prevederile art. 9 din Legea nr. 239/2008 privind transparența în procesul decizional și art. 20 alin. (1) lit. a) din Legea nr. 100/2017 cu privire la actele normative, anunțul cu privire la inițierea elaborării </w:t>
            </w:r>
            <w:r>
              <w:rPr>
                <w:rFonts w:ascii="Times New Roman" w:eastAsia="Times New Roman" w:hAnsi="Times New Roman" w:cs="Times New Roman"/>
                <w:sz w:val="24"/>
                <w:szCs w:val="24"/>
                <w:highlight w:val="white"/>
              </w:rPr>
              <w:t>PL pentru modificarea unor acte normative pentru promovarea economiei digitale și a comerțului electronic</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rPr>
              <w:t xml:space="preserve">link: </w:t>
            </w:r>
            <w:hyperlink r:id="rId8">
              <w:r w:rsidR="00140DD2">
                <w:rPr>
                  <w:rFonts w:ascii="Times New Roman" w:eastAsia="Times New Roman" w:hAnsi="Times New Roman" w:cs="Times New Roman"/>
                  <w:sz w:val="24"/>
                  <w:szCs w:val="24"/>
                  <w:u w:val="single"/>
                </w:rPr>
                <w:t>https://particip.gov.md/ro/document/stages/*/16389</w:t>
              </w:r>
            </w:hyperlink>
            <w:r>
              <w:rPr>
                <w:rFonts w:ascii="Times New Roman" w:eastAsia="Times New Roman" w:hAnsi="Times New Roman" w:cs="Times New Roman"/>
                <w:sz w:val="24"/>
                <w:szCs w:val="24"/>
              </w:rPr>
              <w:t xml:space="preserve"> </w:t>
            </w:r>
          </w:p>
          <w:p w14:paraId="18C549C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în conformitate cu prevederile art. 32 din Legea nr. 100/2017 cu privire la actele normative și art. 11 din Legea nr. 239/2008 privind transparența în procesul decizional, proiectul va fi supus consultărilor publice și remis spre avizare părților interesate:  Ministerului Finanțelor,  Serviciului Fiscal de Stat, Băncii Naționale a Moldovei, Serviciul Informații și Securitate de Stat, Serviciul Prevenirea și Combaterea Spălării Banilor, STISC,  Ministerului Justiției, Agenției Servicii Publice, a autorităților de protecție a consumatorilor, a autorităților administrației publice locale, precum și a reprezentanților mediului de afaceri.</w:t>
            </w:r>
          </w:p>
          <w:p w14:paraId="63ABF25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procesul de consultare, se vor colecta opiniile și propunerile operatorilor care utilizează platforme sociale pentru comercializarea mărfurilor, ale asociațiilor de business și ale societății civile, în vederea calibrării finale a soluțiilor propuse și a evaluării practice a impactului acestora.</w:t>
            </w:r>
          </w:p>
          <w:p w14:paraId="567CE366" w14:textId="77777777" w:rsidR="00140DD2" w:rsidRDefault="00140DD2">
            <w:pPr>
              <w:ind w:firstLine="705"/>
              <w:rPr>
                <w:rFonts w:ascii="Times New Roman" w:eastAsia="Times New Roman" w:hAnsi="Times New Roman" w:cs="Times New Roman"/>
                <w:sz w:val="24"/>
                <w:szCs w:val="24"/>
              </w:rPr>
            </w:pPr>
          </w:p>
        </w:tc>
      </w:tr>
      <w:tr w:rsidR="00140DD2" w14:paraId="7A6C1A3C"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1A24375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Concluziile expertizelor</w:t>
            </w:r>
          </w:p>
        </w:tc>
      </w:tr>
      <w:tr w:rsidR="00140DD2" w14:paraId="77E9A5A2" w14:textId="77777777">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03765E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Proiectul urmează a fi supus expertizelor anticorupție și expertizei juridice, conform art. 34 alin. (3) din Legea nr. 100/2017 cu privire la actele normative.</w:t>
            </w:r>
          </w:p>
          <w:p w14:paraId="084C7322" w14:textId="77777777" w:rsidR="00140DD2" w:rsidRDefault="00140DD2">
            <w:pPr>
              <w:ind w:firstLine="705"/>
              <w:rPr>
                <w:rFonts w:ascii="Times New Roman" w:eastAsia="Times New Roman" w:hAnsi="Times New Roman" w:cs="Times New Roman"/>
                <w:sz w:val="24"/>
                <w:szCs w:val="24"/>
              </w:rPr>
            </w:pPr>
          </w:p>
        </w:tc>
      </w:tr>
      <w:tr w:rsidR="00140DD2" w14:paraId="3CD52BF5"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984203A"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Modul de încorporare a actului în cadrul normativ existent</w:t>
            </w:r>
          </w:p>
        </w:tc>
      </w:tr>
      <w:tr w:rsidR="00140DD2" w14:paraId="1A73EA83"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9043C81"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O parte din modificările propuse sunt corelate cu prevederile actelor normative în vigoare, care se află în conexiune, iar pentru adoptarea altor modificări propuse se va impune adoptarea/modificarea altor acte normative secundare. </w:t>
            </w:r>
          </w:p>
          <w:p w14:paraId="08147CFE"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150BDD17"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pentru modificarea Legii nr. 880/1992 este conceput ca lege de modificare și completare a unor acte normative, integrată direct în arhitectura legislativă existentă, fără a crea un nou act‑cadru distinct în domeniul arhivării electronice.</w:t>
            </w:r>
          </w:p>
          <w:p w14:paraId="032D7368"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Urmare a adoptarii proiectului de lege Guvernul prin intermediul  autorităților competente (Ministerul Justiției, Agenția Națională a Arhivelor, STISC, organul de supraveghere a serviciilor de încredere)  vor aduce actele normative în corespundere cu prezenta lege și vor fi obligate de a elabora și actualiza regulamente și standarde tehnice (digitizare conformă, procedura de expertiză și distrugere, autorizarea prestatorilor de arhivă electronică securizată, interoperabilitate cu SI „e‑Arhiva”), care se vor integra în ansamblul hotărârilor de Guvern și al actelor secundare relevante (inclusiv Conceptul și Regulamentul SI „e‑Arhiva”). </w:t>
            </w:r>
          </w:p>
          <w:p w14:paraId="00060E73"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0365012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operează o intervenție punctuală asupra art. 9 alin. (7) din Legea nr. 220/2007 privind înregistrarea de stat a persoanelor juridice și a întreprinzătorilor individuali, prin reformularea acestuia în vederea instituirii posibilității de verificare gratuită, în regim online, a denumirii propuse și a condiționării perceperii taxei de rezervarea efectivă. Adoptarea modificării nu impune abrogarea altor acte normative, ci va necesita, după caz, armonizarea actelor subordonate Guvernului și ajustarea actelor interne ale Agenției Servicii Publice pentru a reflecta noul mecanism de verificare și rezervare a denumirilor.</w:t>
            </w:r>
          </w:p>
          <w:p w14:paraId="0D8090F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105/2003 PRIVIND PROTECȚIA CONSUMATORILOR</w:t>
            </w:r>
          </w:p>
          <w:p w14:paraId="1845FE25"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Adoptarea proiectului nu impune abrogarea sau modificarea altor acte normative conexe, întrucât aspectele privind expertiza tehnică și suportarea costurilor acesteia sunt reglementate la nivelul Legii nr. 105/2003.</w:t>
            </w:r>
          </w:p>
          <w:p w14:paraId="50337D9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intervențiile nu impun abrogarea sau modificarea altor acte normative decât eventualele ajustări de trimitere din Legea nr. 105/2003 (de exemplu, corelări cu art. 25 în ceea ce privește transmiterea reclamațiilor prin intermediul platformelor).</w:t>
            </w:r>
          </w:p>
          <w:p w14:paraId="62C9DF1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133/2016 PRIVIND DECLARAREA AVERII ȘI A INTERESELOR PERSONALE</w:t>
            </w:r>
          </w:p>
          <w:p w14:paraId="7580B85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se încorporează în cadrul normativ existent prin modificarea Legii nr. 133/2016 privind declararea averii și a intereselor personale, fără a altera concepția de ansamblu a acesteia și fără a modifica alte acte legislative de nivel primar. Actul normativ propus clarifică și dezvoltă exclusiv dispozițiile referitoare la depunerea declarațiilor în format electronic și la utilizarea semnăturii electronice calificate, menținând neschimbate principiile, sfera de aplicare și mecanismele de bază privind declararea și controlul averii și intereselor personale.</w:t>
            </w:r>
          </w:p>
          <w:p w14:paraId="662BED64"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 perspectiva corelării cu legislația conexă, proiectul asigură compatibilitatea cu cadrul normativ din domeniu și cerințele legale, prin trimiterea la semnătura electronică calificată recunoscută de dreptul național, indiferent de prestator, și nu instituie reguli paralele sau contradictorii în raport cu regimul general al serviciilor de încredere. În același timp, în dispozițiile finale ale proiectului se instituie obligația Guvernului de a aduce în concordanță </w:t>
            </w:r>
            <w:r>
              <w:rPr>
                <w:rFonts w:ascii="Times New Roman" w:eastAsia="Times New Roman" w:hAnsi="Times New Roman" w:cs="Times New Roman"/>
                <w:sz w:val="24"/>
                <w:szCs w:val="24"/>
              </w:rPr>
              <w:lastRenderedPageBreak/>
              <w:t xml:space="preserve">actele subordonate, inclusiv Hotărârea Guvernului nr. 1141/2017, într-un termen determinat, pentru a adapta regulamentele și arhitectura tehnică la noile prevederi legale. </w:t>
            </w:r>
          </w:p>
          <w:p w14:paraId="110243EF"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308/2017 CU PRIVIRE LA PREVENIREA ȘI COMBATEREA SPĂLĂRII BANILOR ȘI FINANȚĂRII TERORISMULUI</w:t>
            </w:r>
          </w:p>
          <w:p w14:paraId="1EF4D11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intervine punctual asupra Legii nr. 308/2017, fără a modifica structura, principiile sau arhitectura instituțională a regimului național AML/CFT. Intervențiile menținute se integrează în textul art. 5² și al art. 14 și nu impun modificarea altor acte normative, cu excepția corelărilor de ordin tehnic din actele Agenției Servicii Publice și ale Serviciului Fiscal de Stat privind evidența beneficiarilor efectivi.</w:t>
            </w:r>
          </w:p>
          <w:p w14:paraId="3106FC3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proiect se modifică Legea nr. 308/2017 și Codul contravențional. Va fi necesară revizuirea actelor administrative adoptate în aplicarea Legii nr. 308/2017. În vederea asigurării principiilor accesibilității, previzibilității și securității juridice, actele cu caracter public, general, obligatoriu și impersonal emise de Agenția Servicii Publice, Serviciul Prevenirea și Combaterea Spălării Banilor și alte autorități competente în aplicarea Legii nr. 308/2017 urmează să fie adoptate și publicate în condițiile Legii nr. 100/2017. Ordinele ASP și SPCSB care stabilesc cerințe privind identificarea, declararea și actualizarea informațiilor despre beneficiarii efectivi, inclusiv formularele și instrucțiunile utilizate în procedurile administrative, urmează să fie publicate pentru a asigura opozabilitatea și accesibilitatea normelor.</w:t>
            </w:r>
          </w:p>
          <w:p w14:paraId="5836108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174/2021 PRIVIND MECANISMUL DE EXAMINARE A INVESTIȚIILOR DE IMPORTANȚĂ PENTRU SECURITATEA STATULUI</w:t>
            </w:r>
          </w:p>
          <w:p w14:paraId="2D24E96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Prin proiect se modifică Legea nr. 174/2021 privind mecanismul de examinare a investițiilor de importanță pentru securitatea statului.</w:t>
            </w:r>
          </w:p>
          <w:p w14:paraId="7C19FC0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După adoptarea proiectului, toate referințele din cuprinsul Legii nr. 174/2021 sau din alte acte normative la art. 4 urmează a fi interpretate ca referințe la art. 4 alin. (1), în partea în care se referă la domeniile de importanță pentru securitatea statului.</w:t>
            </w:r>
          </w:p>
          <w:p w14:paraId="0BE5EDC3"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Va fi necesară ajustarea actelor administrative și a procedurilor interne ale Consiliului pentru Examinarea Investițiilor de Importanță pentru Securitatea Statului, precum și a procedurilor de comunicare între organul înregistrării de stat, autoritățile emitente de acte permisive, Depozitarul central unic, societățile de registru și alte entități relevante.</w:t>
            </w:r>
          </w:p>
          <w:p w14:paraId="0EDF104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În măsura în care modificările vor impune actualizarea formularelor, instrucțiunilor sau procedurilor administrative utilizate în aplicarea Legii nr. 174/2021, acestea urmează a fi aprobate și publicate în condițiile Legii nr. 100/2017, dacă au caracter public, general, obligatoriu și impersonal.</w:t>
            </w:r>
          </w:p>
          <w:p w14:paraId="1E7F7338" w14:textId="77777777" w:rsidR="00140DD2" w:rsidRDefault="00140DD2">
            <w:pPr>
              <w:ind w:firstLine="705"/>
              <w:rPr>
                <w:rFonts w:ascii="Times New Roman" w:eastAsia="Times New Roman" w:hAnsi="Times New Roman" w:cs="Times New Roman"/>
                <w:sz w:val="24"/>
                <w:szCs w:val="24"/>
              </w:rPr>
            </w:pPr>
          </w:p>
        </w:tc>
      </w:tr>
      <w:tr w:rsidR="00140DD2" w14:paraId="31E610B4"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BF85BC9"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9. Măsurile necesare pentru implementarea prevederilor proiectului actului normativ</w:t>
            </w:r>
          </w:p>
        </w:tc>
      </w:tr>
      <w:tr w:rsidR="00140DD2" w14:paraId="4DF342A4"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21B8568" w14:textId="77777777" w:rsidR="00140DD2" w:rsidRDefault="00000000">
            <w:pPr>
              <w:ind w:firstLine="705"/>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implementarea prevederilor acestui proiect de lege, este necesar un ansamblu de măsuri normative, tehnice și organizatorice, coordonate între mai multe autorități publice și mediul de afaceri.</w:t>
            </w:r>
          </w:p>
          <w:p w14:paraId="4396A4B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b/>
              <w:t>MODIFICAREA LEGII NR. 880/1992 PRIVIND FONDUL ARHIVISTIC AL REPUBLICII MOLDOVA</w:t>
            </w:r>
          </w:p>
          <w:p w14:paraId="0539D30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modificărilor aduse Legii nr. 880/1992 necesită un set de măsuri normative, instituționale, și tehnice, corelate cu implementarea Sistemului informațional „e‑Arhiva” și cu Strategia de transformare digitală 2023–2030.</w:t>
            </w:r>
          </w:p>
          <w:p w14:paraId="16627A0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 normativ, vor fi necesare: (i) elaborarea și aprobarea de către Guvern a regulamentului privind digitizarea conformă și păstrarea documentelor electronice, inclusiv procedura de expertiză și distrugere a documentelor pe suport de hârtie digitizate, prevăzut la art. 27¹ alin. (2) din Legea nr. 880/1992; (ii) aprobarea, prin hotărâre de Guvern, a standardelor minime privind integritatea, autenticitatea, disponibilitatea, lizibilitatea, </w:t>
            </w:r>
            <w:r>
              <w:rPr>
                <w:rFonts w:ascii="Times New Roman" w:eastAsia="Times New Roman" w:hAnsi="Times New Roman" w:cs="Times New Roman"/>
                <w:sz w:val="24"/>
                <w:szCs w:val="24"/>
              </w:rPr>
              <w:lastRenderedPageBreak/>
              <w:t>trasabilitatea și conservarea valorii probante pe termen lung a documentelor care fac parte din Fondul Arhivistic de Stat; (iii) stabilirea, prin act normativ subsecvent, a cerințelor tehnice și procedurale de integrare a arhivelor electronice securizate cu Sistemul informațional „Arhiva electronică”, prin platforma de interoperabilitate; (iv) revizuirea Indicatorului documentelor-tip și al termenelor lor de păstrare, pentru eliminarea oricăror cerințe de păstrare exclusiv pe suport de hârtie.</w:t>
            </w:r>
          </w:p>
          <w:p w14:paraId="5AEF61DC"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La nivel tehnic și operațional, autoritățile și mediul de afaceri vor trebui să: (i) elaboreze și actualizeze procedurile interne de lucru privind gestionarea documentelor electronice, digitizarea și arhivarea, în conformitate cu noile standarde; (ii) asigure formarea personalului (arhiviști, juriști, IT, funcționari) în domeniul documentului electronic, al arhivării digitale și al utilizării SI „e‑Arhiva”; (iii) adapteze sistemele informatice interne pentru a putea genera, semna și transmite documente electronice în condițiile prevăzute de lege și regulamente.</w:t>
            </w:r>
          </w:p>
          <w:p w14:paraId="4BB4EEDA"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MODIFICAREA LEGII NR. 220/2007 PRIVIND ÎNREGISTRAREA DE STAT A PERSOANELOR JURIDICE ȘI A ÎNTREPRINZĂTORILOR INDIVIDUALI</w:t>
            </w:r>
          </w:p>
          <w:p w14:paraId="773BF0FE"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prevederilor proiectului va necesita dezvoltarea unui modul informatic care să permită verificarea preliminară a disponibilității denumirii, integrat în Portalul guvernamental integrat EVO, cu respectarea Modelului unitar de design aprobat prin Hotărârea Guvernului nr. 677/2025, consumul de date din Registrul de stat al unităților de drept realizându-se prin platforma de interoperabilitate (MConnect), în condițiile Legii nr. 142/2018 cu privire la schimbul de date și interoperabilitate.</w:t>
            </w:r>
          </w:p>
          <w:p w14:paraId="7C1DDE97"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MODIFICAREA LEGII NR. 105/2003 PRIVIND PROTECȚIA CONSUMATORILOR</w:t>
            </w:r>
          </w:p>
          <w:p w14:paraId="20F12F9C"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Clarificarea aspectelor privind expertiza</w:t>
            </w:r>
          </w:p>
          <w:p w14:paraId="5FBC24C0"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prevederilor proiectului se va realiza în principal prin ajustări procedurale și acțiuni de informare, fără necesitatea instituirii unor noi structuri sau mecanisme instituționale. </w:t>
            </w:r>
          </w:p>
          <w:p w14:paraId="4FDAB29D"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Instituirea sistemului intern de soluționare a reclamațiilor pe platformă</w:t>
            </w:r>
          </w:p>
          <w:p w14:paraId="14031B36"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prevederilor articolului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din Legea nr. 105/2003 nu necesită instituirea unor structuri publice noi și nici adoptarea unor acte normative subsecvente obligatorii, realizându-se în principal prin ajustări de natură organizațională și contractuală la nivelul furnizorilor de servicii de intermediere online. </w:t>
            </w:r>
          </w:p>
          <w:p w14:paraId="5637A8D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Platformele care optează pentru instituirea sistemului intern de soluționare a reclamațiilor vor trebui să își adapteze termenii și condițiile (condițiile generale de utilizare), să configureze interfețe electronice dedicate pentru depunerea și urmărirea reclamațiilor, precum și să stabilească proceduri interne pentru preluarea, transmiterea și monitorizarea acestora în raport cu vânzătorii/prestatorii.</w:t>
            </w:r>
          </w:p>
          <w:p w14:paraId="3055A2E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asigura o implementare uniformă, se pot organiza sesiuni de informare sau consultări tematice cu reprezentanții platformelor, ai mediului de afaceri și ai asociațiilor de consumatori, în vederea identificării bunelor practici privind proiectarea și funcționarea sistemelor interne (de exemplu, structurarea fluxurilor de comunicare, termene rezonabile de răspuns, modalități de documentare a soluțiilor propuse). În plus, este recomandabil ca, în perioada de după intrarea în vigoare a modificărilor, autoritatea de protecție a consumatorilor să monitorizeze aplicarea noilor prevederi, inclusiv prin colectarea de date și feedback de la părțile implicate, pentru a evalua necesitatea unor eventuale ajustări ulterioare ale cadrului normativ.</w:t>
            </w:r>
          </w:p>
          <w:p w14:paraId="2127B60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MODIFICAREA LEGII NR. 133/2016 PRIVIND DECLARAREA AVERII ȘI A INTERESELOR PERSONALE</w:t>
            </w:r>
          </w:p>
          <w:p w14:paraId="0B7E7FFD"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prevederilor proiectului de lege necesită, în principal adoptarea de către Guvern, într-un termen determinat, a modificărilor la Hotărârea Guvernului nr. 1141/2017 și la alte acte normative subordonate relevante, în vederea eliminării trimiterilor sau soluțiilor tehnice care consacră, direct sau indirect, exclusivitatea de facto a infrastructurii </w:t>
            </w:r>
            <w:r>
              <w:rPr>
                <w:rFonts w:ascii="Times New Roman" w:eastAsia="Times New Roman" w:hAnsi="Times New Roman" w:cs="Times New Roman"/>
                <w:sz w:val="24"/>
                <w:szCs w:val="24"/>
              </w:rPr>
              <w:lastRenderedPageBreak/>
              <w:t>STISC, precum și configurării procedurilor și a cerințelor tehnice astfel încât să accepte efectiv toate semnăturile electronice calificate recunoscute de legislația națională, indiferent de prestator.</w:t>
            </w:r>
          </w:p>
          <w:p w14:paraId="29E47305"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MODIFICAREA LEGII NR. 308/2017 CU PRIVIRE LA PREVENIREA ȘI COMBATEREA SPĂLĂRII BANILOR ȘI FINANȚĂRII TERORISMULUI</w:t>
            </w:r>
          </w:p>
          <w:p w14:paraId="3C1D4B3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intervențiilor menținute nu necesită adoptarea unor acte normative subsecvente obligatorii.</w:t>
            </w:r>
          </w:p>
          <w:p w14:paraId="4ADBC3B1"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va fi asigurată de ASP, SPCSB, SFS și alte autorități competente. Va fi necesară ajustarea formularului BE‑1 și a procedurilor administrative aferente.</w:t>
            </w:r>
          </w:p>
          <w:p w14:paraId="5179C4E4" w14:textId="77777777" w:rsidR="00140DD2" w:rsidRDefault="00000000">
            <w:pPr>
              <w:ind w:firstLine="7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MODIFICAREA LEGII NR. 174/2021 PRIVIND MECANISMUL DE EXAMINARE A INVESTIȚIILOR DE IMPORTANȚĂ PENTRU SECURITATEA STATULUI</w:t>
            </w:r>
          </w:p>
          <w:p w14:paraId="47833479"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proiectului va fi asigurată de Consiliul pentru Examinarea Investițiilor de Importanță pentru Securitatea Statului, organul înregistrării de stat, autoritățile emitente de acte permisive, Depozitarul central unic, societățile de registru și alte autorități publice cu atribuții în domeniile prevăzute la art. 4 alin. (1).</w:t>
            </w:r>
          </w:p>
          <w:p w14:paraId="0F80D10A"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Pentru implementare vor fi necesare: ajustarea procedurilor de examinare a solicitărilor de aprobare prealabilă; stabilirea fluxurilor de comunicare a informațiilor către Consiliu; adaptarea formularelor de solicitare; informarea autorităților și entităților obligate să furnizeze informații; instruirea personalului implicat în aplicarea legii; monitorizarea termenelor de examinare și a modului de aplicare a procedurii pentru cazurile cu risc redus.</w:t>
            </w:r>
          </w:p>
          <w:p w14:paraId="5BE02042" w14:textId="77777777" w:rsidR="00140DD2" w:rsidRDefault="00000000">
            <w:pPr>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Performanța actului normativ va putea fi evaluată prin indicatori precum numărul de solicitări examinate, durata medie de examinare, numărul de decizii de neaplicabilitate, numărul de examinări din oficiu inițiate pe baza informațiilor transmise de autorități, numărul cazurilor cu risc redus examinate în termen redus și numărul contestațiilor formulate împotriva deciziilor sau dispozițiilor Consiliului.</w:t>
            </w:r>
          </w:p>
          <w:p w14:paraId="40426396" w14:textId="77777777" w:rsidR="00140DD2" w:rsidRDefault="00140DD2">
            <w:pPr>
              <w:ind w:firstLine="705"/>
              <w:rPr>
                <w:rFonts w:ascii="Times New Roman" w:eastAsia="Times New Roman" w:hAnsi="Times New Roman" w:cs="Times New Roman"/>
                <w:sz w:val="24"/>
                <w:szCs w:val="24"/>
              </w:rPr>
            </w:pPr>
          </w:p>
        </w:tc>
      </w:tr>
    </w:tbl>
    <w:p w14:paraId="08505C8E" w14:textId="77777777" w:rsidR="00140DD2" w:rsidRDefault="00140DD2">
      <w:pPr>
        <w:ind w:firstLine="705"/>
        <w:rPr>
          <w:sz w:val="24"/>
          <w:szCs w:val="24"/>
        </w:rPr>
      </w:pPr>
    </w:p>
    <w:p w14:paraId="0DFB784C" w14:textId="77777777" w:rsidR="00140DD2" w:rsidRDefault="00140DD2">
      <w:pPr>
        <w:ind w:firstLine="705"/>
        <w:rPr>
          <w:sz w:val="24"/>
          <w:szCs w:val="24"/>
        </w:rPr>
      </w:pPr>
    </w:p>
    <w:p w14:paraId="0342C4BE" w14:textId="77777777" w:rsidR="00140DD2" w:rsidRDefault="00140DD2">
      <w:pPr>
        <w:ind w:firstLine="705"/>
        <w:rPr>
          <w:sz w:val="24"/>
          <w:szCs w:val="24"/>
        </w:rPr>
      </w:pPr>
    </w:p>
    <w:p w14:paraId="33826B4A" w14:textId="77777777" w:rsidR="00140DD2" w:rsidRDefault="00000000">
      <w:pPr>
        <w:ind w:firstLine="705"/>
        <w:rPr>
          <w:b/>
          <w:bCs/>
          <w:sz w:val="24"/>
          <w:szCs w:val="24"/>
        </w:rPr>
      </w:pPr>
      <w:r>
        <w:rPr>
          <w:b/>
          <w:bCs/>
          <w:sz w:val="24"/>
          <w:szCs w:val="24"/>
        </w:rPr>
        <w:t xml:space="preserve">Secretar de stat              </w:t>
      </w:r>
      <w:r>
        <w:rPr>
          <w:b/>
          <w:bCs/>
          <w:sz w:val="24"/>
          <w:szCs w:val="24"/>
        </w:rPr>
        <w:tab/>
      </w:r>
      <w:r>
        <w:rPr>
          <w:b/>
          <w:bCs/>
          <w:sz w:val="24"/>
          <w:szCs w:val="24"/>
        </w:rPr>
        <w:tab/>
      </w:r>
      <w:r>
        <w:rPr>
          <w:b/>
          <w:bCs/>
          <w:sz w:val="24"/>
          <w:szCs w:val="24"/>
        </w:rPr>
        <w:tab/>
        <w:t xml:space="preserve">                          Michelle ILIEV</w:t>
      </w:r>
    </w:p>
    <w:sectPr w:rsidR="00140DD2">
      <w:headerReference w:type="default" r:id="rId9"/>
      <w:footerReference w:type="default" r:id="rId10"/>
      <w:headerReference w:type="first" r:id="rId11"/>
      <w:pgSz w:w="11907" w:h="16840"/>
      <w:pgMar w:top="709" w:right="992" w:bottom="1418" w:left="1560"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4FFA" w14:textId="77777777" w:rsidR="001E07C0" w:rsidRDefault="001E07C0">
      <w:r>
        <w:separator/>
      </w:r>
    </w:p>
  </w:endnote>
  <w:endnote w:type="continuationSeparator" w:id="0">
    <w:p w14:paraId="77F84595" w14:textId="77777777" w:rsidR="001E07C0" w:rsidRDefault="001E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B862EAF-8EC1-405A-AB29-19BFF2728E3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DF0ED33D-CBB8-49B3-8B44-54F477B33E93}"/>
  </w:font>
  <w:font w:name="Georgia">
    <w:panose1 w:val="02040502050405020303"/>
    <w:charset w:val="EE"/>
    <w:family w:val="roman"/>
    <w:pitch w:val="variable"/>
    <w:sig w:usb0="00000287" w:usb1="00000000" w:usb2="00000000" w:usb3="00000000" w:csb0="0000009F" w:csb1="00000000"/>
    <w:embedBold r:id="rId3" w:fontKey="{293264D6-5A36-48F9-A882-9BC8ED5240C4}"/>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embedRegular r:id="rId4" w:fontKey="{45095C61-3AA2-43D5-A12E-2CCBB7B35D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EACD" w14:textId="77777777" w:rsidR="00140DD2" w:rsidRDefault="0000000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9E5C89">
      <w:rPr>
        <w:noProof/>
        <w:color w:val="000000"/>
      </w:rPr>
      <w:t>2</w:t>
    </w:r>
    <w:r>
      <w:rPr>
        <w:color w:val="000000"/>
      </w:rPr>
      <w:fldChar w:fldCharType="end"/>
    </w:r>
  </w:p>
  <w:p w14:paraId="516580D4" w14:textId="77777777" w:rsidR="00140DD2" w:rsidRDefault="00140DD2">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0AAE" w14:textId="77777777" w:rsidR="001E07C0" w:rsidRDefault="001E07C0">
      <w:r>
        <w:separator/>
      </w:r>
    </w:p>
  </w:footnote>
  <w:footnote w:type="continuationSeparator" w:id="0">
    <w:p w14:paraId="4D3689B4" w14:textId="77777777" w:rsidR="001E07C0" w:rsidRDefault="001E07C0">
      <w:r>
        <w:continuationSeparator/>
      </w:r>
    </w:p>
  </w:footnote>
  <w:footnote w:id="1">
    <w:p w14:paraId="67D50F77" w14:textId="77777777" w:rsidR="00140DD2" w:rsidRDefault="00000000">
      <w:pPr>
        <w:pBdr>
          <w:top w:val="nil"/>
          <w:left w:val="nil"/>
          <w:bottom w:val="nil"/>
          <w:right w:val="nil"/>
          <w:between w:val="nil"/>
        </w:pBdr>
        <w:spacing w:after="40"/>
        <w:rPr>
          <w:color w:val="000000"/>
          <w:sz w:val="18"/>
          <w:szCs w:val="18"/>
        </w:rPr>
      </w:pPr>
      <w:r>
        <w:rPr>
          <w:vertAlign w:val="superscript"/>
        </w:rPr>
        <w:footnoteRef/>
      </w:r>
      <w:r>
        <w:rPr>
          <w:color w:val="000000"/>
          <w:sz w:val="18"/>
          <w:szCs w:val="18"/>
        </w:rPr>
        <w:t xml:space="preserve"> Oficiul Național al Registrului Comerțului (ONRC), România. (2022). Verificare și rezervare denumire firmă. </w:t>
      </w:r>
      <w:hyperlink r:id="rId1">
        <w:r w:rsidR="00140DD2">
          <w:rPr>
            <w:color w:val="0000FF"/>
            <w:sz w:val="18"/>
            <w:szCs w:val="18"/>
            <w:u w:val="single"/>
          </w:rPr>
          <w:t>https://www.onrc.ro/index.php/ro/inmatriculari/operatiuni-prealabile/verificare-si-rezervare-firma</w:t>
        </w:r>
      </w:hyperlink>
    </w:p>
  </w:footnote>
  <w:footnote w:id="2">
    <w:p w14:paraId="73BF3BC4" w14:textId="77777777" w:rsidR="00140DD2" w:rsidRDefault="00000000">
      <w:pPr>
        <w:pBdr>
          <w:top w:val="nil"/>
          <w:left w:val="nil"/>
          <w:bottom w:val="nil"/>
          <w:right w:val="nil"/>
          <w:between w:val="nil"/>
        </w:pBdr>
        <w:spacing w:after="40"/>
        <w:rPr>
          <w:color w:val="000000"/>
          <w:sz w:val="18"/>
          <w:szCs w:val="18"/>
        </w:rPr>
      </w:pPr>
      <w:r>
        <w:rPr>
          <w:vertAlign w:val="superscript"/>
        </w:rPr>
        <w:footnoteRef/>
      </w:r>
      <w:r>
        <w:rPr>
          <w:color w:val="000000"/>
          <w:sz w:val="18"/>
          <w:szCs w:val="18"/>
        </w:rPr>
        <w:t xml:space="preserve"> [9] e-Estonia. (2024). e-Business Register – Estonia's digital company registration system. </w:t>
      </w:r>
      <w:hyperlink r:id="rId2">
        <w:r w:rsidR="00140DD2">
          <w:rPr>
            <w:color w:val="0000FF"/>
            <w:sz w:val="18"/>
            <w:szCs w:val="18"/>
            <w:u w:val="single"/>
          </w:rPr>
          <w:t>https://e-estonia.com/solutions/ease_of_doing_business/e-business-register/</w:t>
        </w:r>
      </w:hyperlink>
    </w:p>
    <w:p w14:paraId="0A64D1DB" w14:textId="77777777" w:rsidR="00140DD2" w:rsidRDefault="00140DD2">
      <w:pPr>
        <w:pBdr>
          <w:top w:val="nil"/>
          <w:left w:val="nil"/>
          <w:bottom w:val="nil"/>
          <w:right w:val="nil"/>
          <w:between w:val="nil"/>
        </w:pBdr>
        <w:spacing w:after="40"/>
        <w:rPr>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DB86" w14:textId="77777777" w:rsidR="00140DD2" w:rsidRDefault="00140DD2">
    <w:pPr>
      <w:pBdr>
        <w:top w:val="nil"/>
        <w:left w:val="nil"/>
        <w:bottom w:val="nil"/>
        <w:right w:val="nil"/>
        <w:between w:val="nil"/>
      </w:pBdr>
      <w:tabs>
        <w:tab w:val="center" w:pos="4677"/>
        <w:tab w:val="right" w:pos="9355"/>
      </w:tabs>
      <w:ind w:firstLine="0"/>
      <w:jc w:val="center"/>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841C" w14:textId="77777777" w:rsidR="00140DD2" w:rsidRDefault="00140DD2">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75FFE"/>
    <w:multiLevelType w:val="multilevel"/>
    <w:tmpl w:val="54B8A5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BF91C0B"/>
    <w:multiLevelType w:val="multilevel"/>
    <w:tmpl w:val="25E05D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B7A7CF9"/>
    <w:multiLevelType w:val="multilevel"/>
    <w:tmpl w:val="83024B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A2816DA"/>
    <w:multiLevelType w:val="multilevel"/>
    <w:tmpl w:val="D12AEB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11444864">
    <w:abstractNumId w:val="0"/>
  </w:num>
  <w:num w:numId="2" w16cid:durableId="1575164354">
    <w:abstractNumId w:val="2"/>
  </w:num>
  <w:num w:numId="3" w16cid:durableId="192353050">
    <w:abstractNumId w:val="1"/>
  </w:num>
  <w:num w:numId="4" w16cid:durableId="1261064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D2"/>
    <w:rsid w:val="00140DD2"/>
    <w:rsid w:val="001E07C0"/>
    <w:rsid w:val="00216DBA"/>
    <w:rsid w:val="003545D8"/>
    <w:rsid w:val="00887A38"/>
    <w:rsid w:val="009E5C89"/>
    <w:rsid w:val="00A02917"/>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56D9"/>
  <w15:docId w15:val="{4D4BA966-05C2-4EF0-BADE-A7FF3C65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MD" w:eastAsia="ro-RO"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Titlu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Titlu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Titlu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Titlu5">
    <w:name w:val="heading 5"/>
    <w:basedOn w:val="Normal"/>
    <w:next w:val="Normal"/>
    <w:uiPriority w:val="9"/>
    <w:semiHidden/>
    <w:unhideWhenUsed/>
    <w:qFormat/>
    <w:pPr>
      <w:keepNext/>
      <w:jc w:val="center"/>
      <w:outlineLvl w:val="4"/>
    </w:pPr>
    <w:rPr>
      <w:rFonts w:ascii="$Caslon" w:eastAsia="$Caslon" w:hAnsi="$Caslon" w:cs="$Caslon"/>
      <w:sz w:val="24"/>
      <w:szCs w:val="24"/>
    </w:rPr>
  </w:style>
  <w:style w:type="paragraph" w:styleId="Titlu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pacing w:before="300" w:after="200"/>
    </w:pPr>
    <w:rPr>
      <w:sz w:val="48"/>
      <w:szCs w:val="48"/>
    </w:rPr>
  </w:style>
  <w:style w:type="paragraph" w:styleId="Subtitlu">
    <w:name w:val="Subtitle"/>
    <w:basedOn w:val="Normal"/>
    <w:next w:val="Normal"/>
    <w:uiPriority w:val="11"/>
    <w:qFormat/>
    <w:pPr>
      <w:spacing w:before="200" w:after="200"/>
    </w:pPr>
    <w:rPr>
      <w:sz w:val="24"/>
      <w:szCs w:val="24"/>
    </w:rPr>
  </w:style>
  <w:style w:type="table" w:customStyle="1" w:styleId="a">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1638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e-estonia.com/solutions/ease_of_doing_business/e-business-register/" TargetMode="External"/><Relationship Id="rId1" Type="http://schemas.openxmlformats.org/officeDocument/2006/relationships/hyperlink" Target="https://www.onrc.ro/index.php/ro/inmatriculari/operatiuni-prealabile/verificare-si-rezervare-fi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zSNgYii0cvfSQJMRqOjmyyKaA==">CgMxLjA4AHIhMTNsRjZ2X0ptNnZfRG1yWmd2d3NKeUVjOFBsVWgtQXl1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22153</Words>
  <Characters>128492</Characters>
  <Application>Microsoft Office Word</Application>
  <DocSecurity>0</DocSecurity>
  <Lines>1070</Lines>
  <Paragraphs>300</Paragraphs>
  <ScaleCrop>false</ScaleCrop>
  <Company/>
  <LinksUpToDate>false</LinksUpToDate>
  <CharactersWithSpaces>150345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Vornic Stefan</dc:creator>
  <cp:lastModifiedBy>Direcția politici în domeniul tehnologiei informației și digitalizării</cp:lastModifiedBy>
  <cp:revision>2</cp:revision>
  <dcterms:created xsi:type="dcterms:W3CDTF">2026-08-03T04:51:00Z</dcterms:created>
  <dcterms:modified xsi:type="dcterms:W3CDTF">2026-08-03T04:51:00Z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0x01010088AFF894A3084443A76B3BF4D3A5D83F</vt:lpwstr>
  </property>
  <property fmtid="{D5CDD505-2E9C-101B-9397-08002B2CF9AE}" pid="3" name="Tipul documentului">
    <vt:lpwstr>Aviz</vt:lpwstr>
  </property>
  <property fmtid="{D5CDD505-2E9C-101B-9397-08002B2CF9AE}" pid="4" name="MediaServiceImageTags">
    <vt:lpwstr>MediaServiceImageTags</vt:lpwstr>
  </property>
  <property fmtid="{D5CDD505-2E9C-101B-9397-08002B2CF9AE}" pid="5" name="GrammarlyDocumentId">
    <vt:lpwstr>70dad8ee-dbfa-4551-94d0-fe1bbb85bc69</vt:lpwstr>
  </property>
</Properties>
</file>