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EB55D" w14:textId="77777777" w:rsidR="00F91C62" w:rsidRDefault="00F91C62" w:rsidP="00F91C62">
      <w:pPr>
        <w:spacing w:line="264" w:lineRule="auto"/>
        <w:jc w:val="both"/>
        <w:rPr>
          <w:lang w:val="ro-RO"/>
        </w:rPr>
      </w:pPr>
      <w:r>
        <w:rPr>
          <w:b/>
          <w:bCs/>
          <w:lang w:val="ro-RO"/>
        </w:rPr>
        <w:t xml:space="preserve">Anexă: </w:t>
      </w:r>
      <w:r>
        <w:rPr>
          <w:lang w:val="ro-RO"/>
        </w:rPr>
        <w:t>Propunere de solicitare a transferului cu destinație specială pentru pregătirea procesului de amalgamare voluntară a unităților administrativ-teritoriale UAT Zăicani, UAT Horodiște, UAT Pociumbăuți și UAT Pociumbeni – 2 file.</w:t>
      </w:r>
    </w:p>
    <w:p w14:paraId="08B0915F" w14:textId="77777777" w:rsidR="00F91C62" w:rsidRDefault="00F91C62" w:rsidP="00F91C62">
      <w:pPr>
        <w:spacing w:line="264" w:lineRule="auto"/>
        <w:jc w:val="both"/>
        <w:rPr>
          <w:lang w:val="ro-RO"/>
        </w:rPr>
      </w:pPr>
    </w:p>
    <w:p w14:paraId="78C5A228" w14:textId="77777777" w:rsidR="00F91C62" w:rsidRDefault="00F91C62" w:rsidP="00F91C62">
      <w:pPr>
        <w:rPr>
          <w:rFonts w:asciiTheme="majorBidi" w:hAnsiTheme="majorBidi" w:cstheme="majorBidi"/>
          <w:b/>
          <w:bCs/>
          <w:lang w:val="ro-RO"/>
        </w:rPr>
      </w:pPr>
      <w:r>
        <w:rPr>
          <w:rFonts w:asciiTheme="majorBidi" w:hAnsiTheme="majorBidi" w:cstheme="majorBidi"/>
          <w:b/>
          <w:bCs/>
          <w:lang w:val="ro-RO"/>
        </w:rPr>
        <w:t>Unitățile administrativ-teritoriale participante la procesul de amalgamare voluntară</w:t>
      </w:r>
    </w:p>
    <w:p w14:paraId="50EABEA8" w14:textId="77777777" w:rsidR="00F91C62" w:rsidRDefault="00F91C62" w:rsidP="00F91C62">
      <w:pPr>
        <w:rPr>
          <w:rFonts w:asciiTheme="majorBidi" w:hAnsiTheme="majorBidi" w:cstheme="majorBidi"/>
          <w:color w:val="000000" w:themeColor="text1"/>
          <w:lang w:val="ro-RO"/>
        </w:rPr>
      </w:pPr>
      <w:r>
        <w:rPr>
          <w:rFonts w:asciiTheme="majorBidi" w:hAnsiTheme="majorBidi" w:cstheme="majorBidi"/>
          <w:color w:val="000000" w:themeColor="text1"/>
          <w:lang w:val="ro-RO"/>
        </w:rPr>
        <w:t>Procesul de amalgamare voluntară este inițiat între următoarele unități administrativ- teritoriale :</w:t>
      </w:r>
    </w:p>
    <w:p w14:paraId="58A1230C" w14:textId="77777777" w:rsidR="00F91C62" w:rsidRDefault="00F91C62" w:rsidP="00F91C62">
      <w:pPr>
        <w:rPr>
          <w:rFonts w:asciiTheme="majorBidi" w:hAnsiTheme="majorBidi" w:cstheme="majorBidi"/>
          <w:color w:val="000000" w:themeColor="text1"/>
          <w:lang w:val="ro-RO"/>
        </w:rPr>
      </w:pPr>
      <w:r>
        <w:rPr>
          <w:rFonts w:asciiTheme="majorBidi" w:hAnsiTheme="majorBidi" w:cstheme="majorBidi"/>
          <w:color w:val="000000" w:themeColor="text1"/>
          <w:lang w:val="ro-RO"/>
        </w:rPr>
        <w:t>UAT Zăicani, Decizia nr.  03/01 din 23.04.2026 a  Consiliului Local Zăicani privind inițierea procesului de amalgamare voluntară ;</w:t>
      </w:r>
    </w:p>
    <w:p w14:paraId="38CA7267" w14:textId="77777777" w:rsidR="00F91C62" w:rsidRDefault="00F91C62" w:rsidP="00F91C62">
      <w:pPr>
        <w:rPr>
          <w:rFonts w:asciiTheme="majorBidi" w:hAnsiTheme="majorBidi" w:cstheme="majorBidi"/>
          <w:color w:val="000000" w:themeColor="text1"/>
          <w:lang w:val="ro-RO"/>
        </w:rPr>
      </w:pPr>
      <w:r>
        <w:rPr>
          <w:rFonts w:asciiTheme="majorBidi" w:hAnsiTheme="majorBidi" w:cstheme="majorBidi"/>
          <w:color w:val="000000" w:themeColor="text1"/>
          <w:lang w:val="ro-RO"/>
        </w:rPr>
        <w:t>UAT Horodiște, Decizia nr.   04/01 din 29.05.2026 a  Consiliului Local Horodiște privind inițierea procesului de amalgamare voluntară ;</w:t>
      </w:r>
    </w:p>
    <w:p w14:paraId="4993BA9A" w14:textId="77777777" w:rsidR="00F91C62" w:rsidRDefault="00F91C62" w:rsidP="00F91C62">
      <w:pPr>
        <w:rPr>
          <w:rFonts w:asciiTheme="majorBidi" w:hAnsiTheme="majorBidi" w:cstheme="majorBidi"/>
          <w:color w:val="000000" w:themeColor="text1"/>
          <w:lang w:val="ro-RO"/>
        </w:rPr>
      </w:pPr>
      <w:r>
        <w:rPr>
          <w:rFonts w:asciiTheme="majorBidi" w:hAnsiTheme="majorBidi" w:cstheme="majorBidi"/>
          <w:color w:val="000000" w:themeColor="text1"/>
          <w:lang w:val="ro-RO"/>
        </w:rPr>
        <w:t>UAT Pociumbăuți, Decizia nr. 03/01 din  08.06.2026 a  Consiliului Local Pociumbăuți privind inițierea procesului de amalgamare voluntară ;</w:t>
      </w:r>
    </w:p>
    <w:p w14:paraId="436A6FF9" w14:textId="77777777" w:rsidR="00F91C62" w:rsidRDefault="00F91C62" w:rsidP="00F91C62">
      <w:pPr>
        <w:rPr>
          <w:rFonts w:asciiTheme="majorBidi" w:hAnsiTheme="majorBidi" w:cstheme="majorBidi"/>
          <w:color w:val="000000" w:themeColor="text1"/>
          <w:lang w:val="ro-RO"/>
        </w:rPr>
      </w:pPr>
      <w:r>
        <w:rPr>
          <w:rFonts w:asciiTheme="majorBidi" w:hAnsiTheme="majorBidi" w:cstheme="majorBidi"/>
          <w:color w:val="000000" w:themeColor="text1"/>
          <w:lang w:val="ro-RO"/>
        </w:rPr>
        <w:t>UAT Pociumbeni, Decizia nr.  04/01 din   28.05.2026 a  Consiliului Local Pociumbeni privind inițierea procesului de amalgamare voluntară ;</w:t>
      </w:r>
    </w:p>
    <w:p w14:paraId="65568EFA" w14:textId="77777777" w:rsidR="00F91C62" w:rsidRDefault="00F91C62" w:rsidP="00F91C62">
      <w:pPr>
        <w:rPr>
          <w:rFonts w:asciiTheme="majorBidi" w:hAnsiTheme="majorBidi" w:cstheme="majorBidi"/>
          <w:b/>
          <w:bCs/>
          <w:lang w:val="ro-RO"/>
        </w:rPr>
      </w:pPr>
      <w:r>
        <w:rPr>
          <w:rFonts w:asciiTheme="majorBidi" w:hAnsiTheme="majorBidi" w:cstheme="majorBidi"/>
          <w:b/>
          <w:bCs/>
          <w:lang w:val="ro-RO"/>
        </w:rPr>
        <w:t xml:space="preserve">UAT selectată în calitate de centru administrativ și solicitant al transferului </w:t>
      </w:r>
    </w:p>
    <w:p w14:paraId="44B7FFC3" w14:textId="77777777" w:rsidR="00F91C62" w:rsidRDefault="00F91C62" w:rsidP="00F91C62">
      <w:pPr>
        <w:rPr>
          <w:rFonts w:asciiTheme="majorBidi" w:hAnsiTheme="majorBidi" w:cstheme="majorBidi"/>
          <w:lang w:val="ro-RO"/>
        </w:rPr>
      </w:pPr>
      <w:r>
        <w:rPr>
          <w:rFonts w:asciiTheme="majorBidi" w:hAnsiTheme="majorBidi" w:cstheme="majorBidi"/>
          <w:lang w:val="ro-RO"/>
        </w:rPr>
        <w:t>În conformitate cu decizia Grupului de Lucru Comun și criteriile prevăzute de Metodologia privind amalgamarea voluntară a unităților administrativ-teritoriale, satul ZĂICANI a fost desemnat drept Centru administrativ al viitoarei unități administrativ-teritoriale amalgamate.</w:t>
      </w:r>
    </w:p>
    <w:p w14:paraId="61DBA7BE" w14:textId="77777777" w:rsidR="00F91C62" w:rsidRDefault="00F91C62" w:rsidP="00F91C62">
      <w:pPr>
        <w:rPr>
          <w:rFonts w:asciiTheme="majorBidi" w:hAnsiTheme="majorBidi" w:cstheme="majorBidi"/>
          <w:lang w:val="ro-RO"/>
        </w:rPr>
      </w:pPr>
      <w:r>
        <w:rPr>
          <w:rFonts w:asciiTheme="majorBidi" w:hAnsiTheme="majorBidi" w:cstheme="majorBidi"/>
          <w:lang w:val="ro-RO"/>
        </w:rPr>
        <w:t>Prin urmare, UAT ZĂICANI este desemnat în calitate de solicitant al transferului cu destinație specială pentru pregătirea procesului de amalgamare voluntară.</w:t>
      </w:r>
    </w:p>
    <w:p w14:paraId="42BEFDF0" w14:textId="77777777" w:rsidR="00F91C62" w:rsidRDefault="00F91C62" w:rsidP="00F91C62">
      <w:pPr>
        <w:rPr>
          <w:rFonts w:asciiTheme="majorBidi" w:hAnsiTheme="majorBidi" w:cstheme="majorBidi"/>
          <w:b/>
          <w:bCs/>
          <w:lang w:val="ro-RO"/>
        </w:rPr>
      </w:pPr>
      <w:r>
        <w:rPr>
          <w:rFonts w:asciiTheme="majorBidi" w:hAnsiTheme="majorBidi" w:cstheme="majorBidi"/>
          <w:b/>
          <w:bCs/>
          <w:lang w:val="ro-RO"/>
        </w:rPr>
        <w:t>UAT solicitant : satul ZĂICANI, raionul Rîșcani.</w:t>
      </w:r>
    </w:p>
    <w:p w14:paraId="3420B8D4" w14:textId="77777777" w:rsidR="00F91C62" w:rsidRDefault="00F91C62" w:rsidP="00F91C62">
      <w:pPr>
        <w:jc w:val="center"/>
        <w:rPr>
          <w:rFonts w:asciiTheme="majorBidi" w:hAnsiTheme="majorBidi" w:cstheme="majorBidi"/>
          <w:b/>
          <w:bCs/>
          <w:lang w:val="ro-RO"/>
        </w:rPr>
      </w:pPr>
    </w:p>
    <w:p w14:paraId="665F7248" w14:textId="77777777" w:rsidR="00F91C62" w:rsidRDefault="00F91C62" w:rsidP="00F91C62">
      <w:pPr>
        <w:jc w:val="center"/>
        <w:rPr>
          <w:rFonts w:asciiTheme="majorBidi" w:hAnsiTheme="majorBidi" w:cstheme="majorBidi"/>
          <w:b/>
          <w:bCs/>
          <w:lang w:val="ro-RO"/>
        </w:rPr>
      </w:pPr>
      <w:r>
        <w:rPr>
          <w:rFonts w:asciiTheme="majorBidi" w:hAnsiTheme="majorBidi" w:cstheme="majorBidi"/>
          <w:b/>
          <w:bCs/>
          <w:lang w:val="ro-RO"/>
        </w:rPr>
        <w:t>Suma solicitată</w:t>
      </w:r>
    </w:p>
    <w:p w14:paraId="76B0291E" w14:textId="77777777" w:rsidR="00F91C62" w:rsidRDefault="00F91C62" w:rsidP="00F91C62">
      <w:pPr>
        <w:jc w:val="both"/>
        <w:rPr>
          <w:rFonts w:asciiTheme="majorBidi" w:hAnsiTheme="majorBidi" w:cstheme="majorBidi"/>
          <w:color w:val="000000" w:themeColor="text1"/>
          <w:lang w:val="ro-RO"/>
        </w:rPr>
      </w:pPr>
      <w:r>
        <w:rPr>
          <w:rFonts w:asciiTheme="majorBidi" w:hAnsiTheme="majorBidi" w:cstheme="majorBidi"/>
          <w:lang w:val="ro-RO"/>
        </w:rPr>
        <w:t xml:space="preserve">Se solicită transferul cu destinație specială pentru pregătirea procesului de amalgamare voluntară în </w:t>
      </w:r>
      <w:r>
        <w:rPr>
          <w:rFonts w:asciiTheme="majorBidi" w:hAnsiTheme="majorBidi" w:cstheme="majorBidi"/>
          <w:color w:val="000000" w:themeColor="text1"/>
          <w:lang w:val="ro-RO"/>
        </w:rPr>
        <w:t xml:space="preserve">valoare de :  400.000 (patru sute mii) lei. </w:t>
      </w:r>
    </w:p>
    <w:p w14:paraId="5F26527E" w14:textId="77777777" w:rsidR="00F91C62" w:rsidRDefault="00F91C62" w:rsidP="00F91C62">
      <w:pPr>
        <w:jc w:val="both"/>
        <w:rPr>
          <w:rFonts w:asciiTheme="majorBidi" w:hAnsiTheme="majorBidi" w:cstheme="majorBidi"/>
          <w:lang w:val="ro-RO"/>
        </w:rPr>
      </w:pPr>
    </w:p>
    <w:p w14:paraId="5C378982" w14:textId="77777777" w:rsidR="00F91C62" w:rsidRDefault="00F91C62" w:rsidP="00F91C62">
      <w:pPr>
        <w:jc w:val="center"/>
        <w:rPr>
          <w:rFonts w:asciiTheme="majorBidi" w:hAnsiTheme="majorBidi" w:cstheme="majorBidi"/>
          <w:b/>
          <w:bCs/>
          <w:lang w:val="ro-RO"/>
        </w:rPr>
      </w:pPr>
      <w:r>
        <w:rPr>
          <w:rFonts w:asciiTheme="majorBidi" w:hAnsiTheme="majorBidi" w:cstheme="majorBidi"/>
          <w:b/>
          <w:bCs/>
          <w:lang w:val="ro-RO"/>
        </w:rPr>
        <w:t>Bugetul sumar,  tipurile de activități și sumele estimative necesare</w:t>
      </w:r>
    </w:p>
    <w:p w14:paraId="59A322FB" w14:textId="77777777" w:rsidR="00F91C62" w:rsidRDefault="00F91C62" w:rsidP="00F91C62">
      <w:pPr>
        <w:jc w:val="both"/>
        <w:rPr>
          <w:rFonts w:asciiTheme="majorBidi" w:hAnsiTheme="majorBidi" w:cstheme="majorBidi"/>
          <w:lang w:val="ro-RO"/>
        </w:rPr>
      </w:pPr>
      <w:r>
        <w:rPr>
          <w:rFonts w:asciiTheme="majorBidi" w:hAnsiTheme="majorBidi" w:cstheme="majorBidi"/>
          <w:lang w:val="ro-RO"/>
        </w:rPr>
        <w:t xml:space="preserve">În conformitate cu rezultatele consultărilor publice desfășurate în localitățile participante, inclusiv prin aplicarea chestionarelor distribuite locuitorilor satelor Zăicani, Horodiște, Pociumbăuți și Pociumbeni, principala problemă identificată de cetățeni este </w:t>
      </w:r>
      <w:r>
        <w:rPr>
          <w:rFonts w:asciiTheme="majorBidi" w:hAnsiTheme="majorBidi" w:cstheme="majorBidi"/>
          <w:b/>
          <w:bCs/>
          <w:i/>
          <w:iCs/>
          <w:lang w:val="ro-RO"/>
        </w:rPr>
        <w:t>proximitatea serviciilor prin intermediul CUPS în fiecare localitate amalgamată, acces la servicii publice digitale de calitate.</w:t>
      </w:r>
    </w:p>
    <w:p w14:paraId="6281E075" w14:textId="77777777" w:rsidR="00F91C62" w:rsidRDefault="00F91C62" w:rsidP="00F91C62">
      <w:pPr>
        <w:jc w:val="both"/>
        <w:rPr>
          <w:rFonts w:asciiTheme="majorBidi" w:hAnsiTheme="majorBidi" w:cstheme="majorBidi"/>
          <w:lang w:val="ro-RO"/>
        </w:rPr>
      </w:pPr>
      <w:r>
        <w:rPr>
          <w:rFonts w:asciiTheme="majorBidi" w:hAnsiTheme="majorBidi" w:cstheme="majorBidi"/>
          <w:lang w:val="ro-RO"/>
        </w:rPr>
        <w:t>Rezultatele consultărilor au demonstrat că cetățenii merită o relație mai bună cu administarția publică locală, și anume acces la un set de servicii digitale  de calitate, fără a pierde timp și bani.</w:t>
      </w:r>
    </w:p>
    <w:p w14:paraId="2B8CCA36" w14:textId="77777777" w:rsidR="00F91C62" w:rsidRDefault="00F91C62" w:rsidP="00F91C62">
      <w:pPr>
        <w:jc w:val="both"/>
        <w:rPr>
          <w:rFonts w:asciiTheme="majorBidi" w:hAnsiTheme="majorBidi" w:cstheme="majorBidi"/>
          <w:lang w:val="ro-RO"/>
        </w:rPr>
      </w:pPr>
      <w:r>
        <w:rPr>
          <w:rFonts w:asciiTheme="majorBidi" w:hAnsiTheme="majorBidi" w:cstheme="majorBidi"/>
          <w:lang w:val="ro-RO"/>
        </w:rPr>
        <w:t>Acest</w:t>
      </w:r>
      <w:r>
        <w:rPr>
          <w:rFonts w:asciiTheme="majorBidi" w:hAnsiTheme="majorBidi" w:cstheme="majorBidi"/>
          <w:lang w:val="ro-MD"/>
        </w:rPr>
        <w:t>ă</w:t>
      </w:r>
      <w:r>
        <w:rPr>
          <w:rFonts w:asciiTheme="majorBidi" w:hAnsiTheme="majorBidi" w:cstheme="majorBidi"/>
          <w:lang w:val="ro-RO"/>
        </w:rPr>
        <w:t xml:space="preserve"> abordare este justificată prin faptul că preponderent populația în mediul rural nu are acces la servicii publice digitalizate, or  crearea CUPS în fiecare localitate va extinde gama se servicii prestate, la un click distanță, va menține un dialog constant cu cetățenii prin prestarea mai rapidă, mai eficientă, va reduce dependența de procedurile pe hârtie, drumuri repetate la diferite instituții, evitarea birocrației, concentrând eforturile asupra nevoilor cetățenilor. Totodată, va asigura interoperabilitatea datelor între instituții, schimb de informații între autorități fără a pune povara pe umerii cetățeanului. Așa dar, serviciile disponibile în CUPS vor oferi servicii integrate, coerente și orientate spre utilizator.</w:t>
      </w:r>
    </w:p>
    <w:p w14:paraId="53364E0F" w14:textId="77777777" w:rsidR="00F91C62" w:rsidRDefault="00F91C62" w:rsidP="00F91C62">
      <w:pPr>
        <w:spacing w:line="276" w:lineRule="auto"/>
        <w:jc w:val="both"/>
        <w:rPr>
          <w:rFonts w:asciiTheme="majorBidi" w:eastAsia="Onest" w:hAnsiTheme="majorBidi" w:cstheme="majorBidi"/>
          <w:lang w:val="ro-RO"/>
        </w:rPr>
      </w:pPr>
      <w:r>
        <w:rPr>
          <w:rFonts w:asciiTheme="majorBidi" w:eastAsia="Onest" w:hAnsiTheme="majorBidi" w:cstheme="majorBidi"/>
          <w:lang w:val="ro-RO"/>
        </w:rPr>
        <w:t xml:space="preserve">În acest context, membrii grupului de lucru comun au agreat unanim direcționarea mijloacelor din contul transferului pentru dotarea centrelor CUPS cu echipamente SOFT. Dat fiind faptul că patrimoniul imobiliar existent permite crearea unor astfel de centre unice, o parte din mobilier, tehnică deja existent, poate fi valorificat, rămîne doar de dotat cu echipamente soft, pentru a accesa și naviga platformele guvernamentale, oferind asistență umană direct prin acces </w:t>
      </w:r>
      <w:r>
        <w:rPr>
          <w:rFonts w:asciiTheme="majorBidi" w:eastAsia="Onest" w:hAnsiTheme="majorBidi" w:cstheme="majorBidi"/>
          <w:lang w:val="ro-RO"/>
        </w:rPr>
        <w:lastRenderedPageBreak/>
        <w:t>echitabil eliminând rândurile la ghișee, deplasările suplimentare consumatoare de timp și resurse financiare.</w:t>
      </w:r>
    </w:p>
    <w:p w14:paraId="655D8A7C" w14:textId="77777777" w:rsidR="00F91C62" w:rsidRDefault="00F91C62" w:rsidP="00F91C62">
      <w:pPr>
        <w:jc w:val="both"/>
        <w:rPr>
          <w:rFonts w:asciiTheme="majorBidi" w:hAnsiTheme="majorBidi" w:cstheme="majorBidi"/>
          <w:i/>
          <w:iCs/>
          <w:lang w:val="ro-RO"/>
        </w:rPr>
      </w:pPr>
      <w:r>
        <w:rPr>
          <w:rFonts w:asciiTheme="majorBidi" w:eastAsia="Onest" w:hAnsiTheme="majorBidi" w:cstheme="majorBidi"/>
          <w:lang w:val="ro-RO"/>
        </w:rPr>
        <w:t>Suma estimativă necesară pentru procurarea echipamentelor soft în cele patru unități administrative-teritoriale vizate este de 440.000 MDL. Autoritățile publice locale a satelor Zăicani, Horodiște, Pociumbăuți și a comunei Pociumbeni vor asigura cofinanțarea din contul bugetelor locale sau din alte surse externe. Astfel va fi acoperită diferența de cost dintre suma alocată din contul transferului și costul estimat al contractului pentru dotarea cu cele necesare centrului.</w:t>
      </w:r>
    </w:p>
    <w:p w14:paraId="5096AC9C" w14:textId="77777777" w:rsidR="00F91C62" w:rsidRDefault="00F91C62" w:rsidP="00F91C62">
      <w:pPr>
        <w:jc w:val="center"/>
        <w:rPr>
          <w:rFonts w:asciiTheme="majorBidi" w:hAnsiTheme="majorBidi" w:cstheme="majorBidi"/>
          <w:b/>
          <w:bCs/>
          <w:lang w:val="ro-RO"/>
        </w:rPr>
      </w:pPr>
      <w:r>
        <w:rPr>
          <w:rFonts w:asciiTheme="majorBidi" w:hAnsiTheme="majorBidi" w:cstheme="majorBidi"/>
          <w:b/>
          <w:bCs/>
          <w:lang w:val="ro-RO"/>
        </w:rPr>
        <w:t>Activitate propusă pentru finanțare</w:t>
      </w:r>
    </w:p>
    <w:tbl>
      <w:tblPr>
        <w:tblStyle w:val="ac"/>
        <w:tblW w:w="0" w:type="auto"/>
        <w:tblInd w:w="0" w:type="dxa"/>
        <w:tblLook w:val="04A0" w:firstRow="1" w:lastRow="0" w:firstColumn="1" w:lastColumn="0" w:noHBand="0" w:noVBand="1"/>
      </w:tblPr>
      <w:tblGrid>
        <w:gridCol w:w="821"/>
        <w:gridCol w:w="1932"/>
        <w:gridCol w:w="2070"/>
        <w:gridCol w:w="2137"/>
        <w:gridCol w:w="2102"/>
      </w:tblGrid>
      <w:tr w:rsidR="00F91C62" w14:paraId="36280A93" w14:textId="77777777">
        <w:tc>
          <w:tcPr>
            <w:tcW w:w="315" w:type="dxa"/>
            <w:tcBorders>
              <w:top w:val="single" w:sz="4" w:space="0" w:color="auto"/>
              <w:left w:val="single" w:sz="4" w:space="0" w:color="auto"/>
              <w:bottom w:val="single" w:sz="4" w:space="0" w:color="auto"/>
              <w:right w:val="single" w:sz="4" w:space="0" w:color="auto"/>
            </w:tcBorders>
            <w:hideMark/>
          </w:tcPr>
          <w:p w14:paraId="3F68B649" w14:textId="77777777" w:rsidR="00F91C62" w:rsidRDefault="00F91C62">
            <w:pPr>
              <w:jc w:val="center"/>
              <w:rPr>
                <w:rFonts w:asciiTheme="majorBidi" w:hAnsiTheme="majorBidi" w:cstheme="majorBidi"/>
                <w:b/>
                <w:bCs/>
                <w:lang w:val="ro-RO"/>
              </w:rPr>
            </w:pPr>
            <w:r>
              <w:rPr>
                <w:rFonts w:asciiTheme="majorBidi" w:hAnsiTheme="majorBidi" w:cstheme="majorBidi"/>
                <w:b/>
                <w:bCs/>
                <w:lang w:val="ro-RO"/>
              </w:rPr>
              <w:t>Nr.d/o</w:t>
            </w:r>
          </w:p>
        </w:tc>
        <w:tc>
          <w:tcPr>
            <w:tcW w:w="2021" w:type="dxa"/>
            <w:tcBorders>
              <w:top w:val="single" w:sz="4" w:space="0" w:color="auto"/>
              <w:left w:val="single" w:sz="4" w:space="0" w:color="auto"/>
              <w:bottom w:val="single" w:sz="4" w:space="0" w:color="auto"/>
              <w:right w:val="single" w:sz="4" w:space="0" w:color="auto"/>
            </w:tcBorders>
            <w:hideMark/>
          </w:tcPr>
          <w:p w14:paraId="2F25F1A7" w14:textId="77777777" w:rsidR="00F91C62" w:rsidRDefault="00F91C62">
            <w:pPr>
              <w:jc w:val="center"/>
              <w:rPr>
                <w:rFonts w:asciiTheme="majorBidi" w:hAnsiTheme="majorBidi" w:cstheme="majorBidi"/>
                <w:b/>
                <w:bCs/>
                <w:lang w:val="ro-RO"/>
              </w:rPr>
            </w:pPr>
            <w:r>
              <w:rPr>
                <w:rFonts w:asciiTheme="majorBidi" w:hAnsiTheme="majorBidi" w:cstheme="majorBidi"/>
                <w:b/>
                <w:bCs/>
                <w:lang w:val="ro-RO"/>
              </w:rPr>
              <w:t>Activitate</w:t>
            </w:r>
          </w:p>
        </w:tc>
        <w:tc>
          <w:tcPr>
            <w:tcW w:w="2336" w:type="dxa"/>
            <w:tcBorders>
              <w:top w:val="single" w:sz="4" w:space="0" w:color="auto"/>
              <w:left w:val="single" w:sz="4" w:space="0" w:color="auto"/>
              <w:bottom w:val="single" w:sz="4" w:space="0" w:color="auto"/>
              <w:right w:val="single" w:sz="4" w:space="0" w:color="auto"/>
            </w:tcBorders>
            <w:hideMark/>
          </w:tcPr>
          <w:p w14:paraId="5DB4530E" w14:textId="77777777" w:rsidR="00F91C62" w:rsidRDefault="00F91C62">
            <w:pPr>
              <w:jc w:val="center"/>
              <w:rPr>
                <w:rFonts w:asciiTheme="majorBidi" w:hAnsiTheme="majorBidi" w:cstheme="majorBidi"/>
                <w:b/>
                <w:bCs/>
                <w:lang w:val="ro-RO"/>
              </w:rPr>
            </w:pPr>
            <w:r>
              <w:rPr>
                <w:rFonts w:asciiTheme="majorBidi" w:hAnsiTheme="majorBidi" w:cstheme="majorBidi"/>
                <w:b/>
                <w:bCs/>
                <w:lang w:val="ro-RO"/>
              </w:rPr>
              <w:t>Cost estimativ</w:t>
            </w:r>
          </w:p>
          <w:p w14:paraId="69E3338C" w14:textId="77777777" w:rsidR="00F91C62" w:rsidRDefault="00F91C62">
            <w:pPr>
              <w:jc w:val="center"/>
              <w:rPr>
                <w:rFonts w:asciiTheme="majorBidi" w:hAnsiTheme="majorBidi" w:cstheme="majorBidi"/>
                <w:b/>
                <w:bCs/>
                <w:lang w:val="ro-RO"/>
              </w:rPr>
            </w:pPr>
            <w:r>
              <w:rPr>
                <w:rFonts w:asciiTheme="majorBidi" w:hAnsiTheme="majorBidi" w:cstheme="majorBidi"/>
                <w:b/>
                <w:bCs/>
                <w:lang w:val="ro-RO"/>
              </w:rPr>
              <w:t>(MDL)</w:t>
            </w:r>
          </w:p>
        </w:tc>
        <w:tc>
          <w:tcPr>
            <w:tcW w:w="2336" w:type="dxa"/>
            <w:tcBorders>
              <w:top w:val="single" w:sz="4" w:space="0" w:color="auto"/>
              <w:left w:val="single" w:sz="4" w:space="0" w:color="auto"/>
              <w:bottom w:val="single" w:sz="4" w:space="0" w:color="auto"/>
              <w:right w:val="single" w:sz="4" w:space="0" w:color="auto"/>
            </w:tcBorders>
            <w:hideMark/>
          </w:tcPr>
          <w:p w14:paraId="4C3D7E8A" w14:textId="77777777" w:rsidR="00F91C62" w:rsidRDefault="00F91C62">
            <w:pPr>
              <w:jc w:val="center"/>
              <w:rPr>
                <w:rFonts w:asciiTheme="majorBidi" w:hAnsiTheme="majorBidi" w:cstheme="majorBidi"/>
                <w:b/>
                <w:bCs/>
                <w:lang w:val="ro-RO"/>
              </w:rPr>
            </w:pPr>
            <w:r>
              <w:rPr>
                <w:rFonts w:asciiTheme="majorBidi" w:hAnsiTheme="majorBidi" w:cstheme="majorBidi"/>
                <w:b/>
                <w:bCs/>
                <w:lang w:val="ro-RO"/>
              </w:rPr>
              <w:t>TDS pentru pregătirea procesului de amalgamare voluntară</w:t>
            </w:r>
          </w:p>
        </w:tc>
        <w:tc>
          <w:tcPr>
            <w:tcW w:w="2337" w:type="dxa"/>
            <w:tcBorders>
              <w:top w:val="single" w:sz="4" w:space="0" w:color="auto"/>
              <w:left w:val="single" w:sz="4" w:space="0" w:color="auto"/>
              <w:bottom w:val="single" w:sz="4" w:space="0" w:color="auto"/>
              <w:right w:val="single" w:sz="4" w:space="0" w:color="auto"/>
            </w:tcBorders>
            <w:hideMark/>
          </w:tcPr>
          <w:p w14:paraId="6E2C578F" w14:textId="77777777" w:rsidR="00F91C62" w:rsidRDefault="00F91C62">
            <w:pPr>
              <w:jc w:val="center"/>
              <w:rPr>
                <w:rFonts w:asciiTheme="majorBidi" w:hAnsiTheme="majorBidi" w:cstheme="majorBidi"/>
                <w:b/>
                <w:bCs/>
                <w:lang w:val="ro-RO"/>
              </w:rPr>
            </w:pPr>
            <w:r>
              <w:rPr>
                <w:rFonts w:asciiTheme="majorBidi" w:hAnsiTheme="majorBidi" w:cstheme="majorBidi"/>
                <w:b/>
                <w:bCs/>
                <w:lang w:val="ro-RO"/>
              </w:rPr>
              <w:t>Contibuție UAT</w:t>
            </w:r>
          </w:p>
        </w:tc>
      </w:tr>
      <w:tr w:rsidR="00F91C62" w14:paraId="05C565CE" w14:textId="77777777">
        <w:tc>
          <w:tcPr>
            <w:tcW w:w="315" w:type="dxa"/>
            <w:tcBorders>
              <w:top w:val="single" w:sz="4" w:space="0" w:color="auto"/>
              <w:left w:val="single" w:sz="4" w:space="0" w:color="auto"/>
              <w:bottom w:val="single" w:sz="4" w:space="0" w:color="auto"/>
              <w:right w:val="single" w:sz="4" w:space="0" w:color="auto"/>
            </w:tcBorders>
            <w:hideMark/>
          </w:tcPr>
          <w:p w14:paraId="392A8C89"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1.</w:t>
            </w:r>
          </w:p>
        </w:tc>
        <w:tc>
          <w:tcPr>
            <w:tcW w:w="2021" w:type="dxa"/>
            <w:tcBorders>
              <w:top w:val="single" w:sz="4" w:space="0" w:color="auto"/>
              <w:left w:val="single" w:sz="4" w:space="0" w:color="auto"/>
              <w:bottom w:val="single" w:sz="4" w:space="0" w:color="auto"/>
              <w:right w:val="single" w:sz="4" w:space="0" w:color="auto"/>
            </w:tcBorders>
            <w:hideMark/>
          </w:tcPr>
          <w:p w14:paraId="305E2329"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Achiziționarea echipamente soft și a serviciilor</w:t>
            </w:r>
          </w:p>
        </w:tc>
        <w:tc>
          <w:tcPr>
            <w:tcW w:w="2336" w:type="dxa"/>
            <w:tcBorders>
              <w:top w:val="single" w:sz="4" w:space="0" w:color="auto"/>
              <w:left w:val="single" w:sz="4" w:space="0" w:color="auto"/>
              <w:bottom w:val="single" w:sz="4" w:space="0" w:color="auto"/>
              <w:right w:val="single" w:sz="4" w:space="0" w:color="auto"/>
            </w:tcBorders>
            <w:hideMark/>
          </w:tcPr>
          <w:p w14:paraId="2677A8FF"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400 000,00</w:t>
            </w:r>
          </w:p>
        </w:tc>
        <w:tc>
          <w:tcPr>
            <w:tcW w:w="2336" w:type="dxa"/>
            <w:tcBorders>
              <w:top w:val="single" w:sz="4" w:space="0" w:color="auto"/>
              <w:left w:val="single" w:sz="4" w:space="0" w:color="auto"/>
              <w:bottom w:val="single" w:sz="4" w:space="0" w:color="auto"/>
              <w:right w:val="single" w:sz="4" w:space="0" w:color="auto"/>
            </w:tcBorders>
            <w:hideMark/>
          </w:tcPr>
          <w:p w14:paraId="579B14F4"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400 000,00</w:t>
            </w:r>
          </w:p>
        </w:tc>
        <w:tc>
          <w:tcPr>
            <w:tcW w:w="2337" w:type="dxa"/>
            <w:tcBorders>
              <w:top w:val="single" w:sz="4" w:space="0" w:color="auto"/>
              <w:left w:val="single" w:sz="4" w:space="0" w:color="auto"/>
              <w:bottom w:val="single" w:sz="4" w:space="0" w:color="auto"/>
              <w:right w:val="single" w:sz="4" w:space="0" w:color="auto"/>
            </w:tcBorders>
            <w:hideMark/>
          </w:tcPr>
          <w:p w14:paraId="737FB811"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40 000,00</w:t>
            </w:r>
          </w:p>
        </w:tc>
      </w:tr>
      <w:tr w:rsidR="00F91C62" w14:paraId="629CECAE" w14:textId="77777777">
        <w:tc>
          <w:tcPr>
            <w:tcW w:w="315" w:type="dxa"/>
            <w:tcBorders>
              <w:top w:val="single" w:sz="4" w:space="0" w:color="auto"/>
              <w:left w:val="single" w:sz="4" w:space="0" w:color="auto"/>
              <w:bottom w:val="single" w:sz="4" w:space="0" w:color="auto"/>
              <w:right w:val="single" w:sz="4" w:space="0" w:color="auto"/>
            </w:tcBorders>
            <w:hideMark/>
          </w:tcPr>
          <w:p w14:paraId="00DF4C9B"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 xml:space="preserve">2. </w:t>
            </w:r>
          </w:p>
        </w:tc>
        <w:tc>
          <w:tcPr>
            <w:tcW w:w="2021" w:type="dxa"/>
            <w:tcBorders>
              <w:top w:val="single" w:sz="4" w:space="0" w:color="auto"/>
              <w:left w:val="single" w:sz="4" w:space="0" w:color="auto"/>
              <w:bottom w:val="single" w:sz="4" w:space="0" w:color="auto"/>
              <w:right w:val="single" w:sz="4" w:space="0" w:color="auto"/>
            </w:tcBorders>
            <w:hideMark/>
          </w:tcPr>
          <w:p w14:paraId="118A95B3"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Costuri aferente (instalare, testare)</w:t>
            </w:r>
          </w:p>
        </w:tc>
        <w:tc>
          <w:tcPr>
            <w:tcW w:w="2336" w:type="dxa"/>
            <w:tcBorders>
              <w:top w:val="single" w:sz="4" w:space="0" w:color="auto"/>
              <w:left w:val="single" w:sz="4" w:space="0" w:color="auto"/>
              <w:bottom w:val="single" w:sz="4" w:space="0" w:color="auto"/>
              <w:right w:val="single" w:sz="4" w:space="0" w:color="auto"/>
            </w:tcBorders>
            <w:hideMark/>
          </w:tcPr>
          <w:p w14:paraId="0C9DC122"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40 000, 00</w:t>
            </w:r>
          </w:p>
        </w:tc>
        <w:tc>
          <w:tcPr>
            <w:tcW w:w="2336" w:type="dxa"/>
            <w:tcBorders>
              <w:top w:val="single" w:sz="4" w:space="0" w:color="auto"/>
              <w:left w:val="single" w:sz="4" w:space="0" w:color="auto"/>
              <w:bottom w:val="single" w:sz="4" w:space="0" w:color="auto"/>
              <w:right w:val="single" w:sz="4" w:space="0" w:color="auto"/>
            </w:tcBorders>
            <w:hideMark/>
          </w:tcPr>
          <w:p w14:paraId="1B06F0CF"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0</w:t>
            </w:r>
          </w:p>
        </w:tc>
        <w:tc>
          <w:tcPr>
            <w:tcW w:w="2337" w:type="dxa"/>
            <w:tcBorders>
              <w:top w:val="single" w:sz="4" w:space="0" w:color="auto"/>
              <w:left w:val="single" w:sz="4" w:space="0" w:color="auto"/>
              <w:bottom w:val="single" w:sz="4" w:space="0" w:color="auto"/>
              <w:right w:val="single" w:sz="4" w:space="0" w:color="auto"/>
            </w:tcBorders>
            <w:hideMark/>
          </w:tcPr>
          <w:p w14:paraId="745100E9"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40 000,00</w:t>
            </w:r>
          </w:p>
        </w:tc>
      </w:tr>
      <w:tr w:rsidR="00F91C62" w14:paraId="2662CCAD" w14:textId="77777777">
        <w:tc>
          <w:tcPr>
            <w:tcW w:w="315" w:type="dxa"/>
            <w:tcBorders>
              <w:top w:val="single" w:sz="4" w:space="0" w:color="auto"/>
              <w:left w:val="single" w:sz="4" w:space="0" w:color="auto"/>
              <w:bottom w:val="single" w:sz="4" w:space="0" w:color="auto"/>
              <w:right w:val="single" w:sz="4" w:space="0" w:color="auto"/>
            </w:tcBorders>
            <w:hideMark/>
          </w:tcPr>
          <w:p w14:paraId="3930C560"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3</w:t>
            </w:r>
          </w:p>
        </w:tc>
        <w:tc>
          <w:tcPr>
            <w:tcW w:w="2021" w:type="dxa"/>
            <w:tcBorders>
              <w:top w:val="single" w:sz="4" w:space="0" w:color="auto"/>
              <w:left w:val="single" w:sz="4" w:space="0" w:color="auto"/>
              <w:bottom w:val="single" w:sz="4" w:space="0" w:color="auto"/>
              <w:right w:val="single" w:sz="4" w:space="0" w:color="auto"/>
            </w:tcBorders>
            <w:hideMark/>
          </w:tcPr>
          <w:p w14:paraId="1F10B883"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TOTAL</w:t>
            </w:r>
          </w:p>
        </w:tc>
        <w:tc>
          <w:tcPr>
            <w:tcW w:w="2336" w:type="dxa"/>
            <w:tcBorders>
              <w:top w:val="single" w:sz="4" w:space="0" w:color="auto"/>
              <w:left w:val="single" w:sz="4" w:space="0" w:color="auto"/>
              <w:bottom w:val="single" w:sz="4" w:space="0" w:color="auto"/>
              <w:right w:val="single" w:sz="4" w:space="0" w:color="auto"/>
            </w:tcBorders>
            <w:hideMark/>
          </w:tcPr>
          <w:p w14:paraId="5F833BC0"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440 000,00</w:t>
            </w:r>
          </w:p>
        </w:tc>
        <w:tc>
          <w:tcPr>
            <w:tcW w:w="2336" w:type="dxa"/>
            <w:tcBorders>
              <w:top w:val="single" w:sz="4" w:space="0" w:color="auto"/>
              <w:left w:val="single" w:sz="4" w:space="0" w:color="auto"/>
              <w:bottom w:val="single" w:sz="4" w:space="0" w:color="auto"/>
              <w:right w:val="single" w:sz="4" w:space="0" w:color="auto"/>
            </w:tcBorders>
            <w:hideMark/>
          </w:tcPr>
          <w:p w14:paraId="48981D80"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400 000,00</w:t>
            </w:r>
          </w:p>
        </w:tc>
        <w:tc>
          <w:tcPr>
            <w:tcW w:w="2337" w:type="dxa"/>
            <w:tcBorders>
              <w:top w:val="single" w:sz="4" w:space="0" w:color="auto"/>
              <w:left w:val="single" w:sz="4" w:space="0" w:color="auto"/>
              <w:bottom w:val="single" w:sz="4" w:space="0" w:color="auto"/>
              <w:right w:val="single" w:sz="4" w:space="0" w:color="auto"/>
            </w:tcBorders>
            <w:hideMark/>
          </w:tcPr>
          <w:p w14:paraId="0EB08ECB" w14:textId="77777777" w:rsidR="00F91C62" w:rsidRDefault="00F91C62">
            <w:pPr>
              <w:jc w:val="both"/>
              <w:rPr>
                <w:rFonts w:asciiTheme="majorBidi" w:hAnsiTheme="majorBidi" w:cstheme="majorBidi"/>
                <w:b/>
                <w:bCs/>
                <w:lang w:val="ro-RO"/>
              </w:rPr>
            </w:pPr>
            <w:r>
              <w:rPr>
                <w:rFonts w:asciiTheme="majorBidi" w:hAnsiTheme="majorBidi" w:cstheme="majorBidi"/>
                <w:b/>
                <w:bCs/>
                <w:lang w:val="ro-RO"/>
              </w:rPr>
              <w:t>40 000,00</w:t>
            </w:r>
          </w:p>
        </w:tc>
      </w:tr>
    </w:tbl>
    <w:p w14:paraId="3752D4E7" w14:textId="77777777" w:rsidR="00F91C62" w:rsidRDefault="00F91C62" w:rsidP="00F91C62">
      <w:pPr>
        <w:jc w:val="both"/>
        <w:rPr>
          <w:rFonts w:asciiTheme="majorBidi" w:hAnsiTheme="majorBidi" w:cstheme="majorBidi"/>
          <w:b/>
          <w:bCs/>
          <w:lang w:val="ro-RO"/>
        </w:rPr>
      </w:pPr>
    </w:p>
    <w:p w14:paraId="7FBE6367" w14:textId="77777777" w:rsidR="00F91C62" w:rsidRDefault="00F91C62" w:rsidP="00F91C62">
      <w:pPr>
        <w:jc w:val="both"/>
        <w:rPr>
          <w:rFonts w:asciiTheme="majorBidi" w:hAnsiTheme="majorBidi" w:cstheme="majorBidi"/>
          <w:lang w:val="ro-RO"/>
        </w:rPr>
      </w:pPr>
      <w:r>
        <w:rPr>
          <w:rFonts w:asciiTheme="majorBidi" w:hAnsiTheme="majorBidi" w:cstheme="majorBidi"/>
          <w:lang w:val="ro-RO"/>
        </w:rPr>
        <w:t>Diferența dintre suma solicitată din contul transferului cu destinație specială și costul total al serviciilor va fi asigurat prin contribuția autorităților publice locale participante, din bugetele locale și/sau din alte surse legal constituite.</w:t>
      </w:r>
    </w:p>
    <w:p w14:paraId="45F85D2E" w14:textId="77777777" w:rsidR="00F91C62" w:rsidRDefault="00F91C62" w:rsidP="00F91C62">
      <w:pPr>
        <w:jc w:val="both"/>
        <w:rPr>
          <w:rFonts w:asciiTheme="majorBidi" w:hAnsiTheme="majorBidi" w:cstheme="majorBidi"/>
          <w:b/>
          <w:bCs/>
          <w:lang w:val="ro-RO"/>
        </w:rPr>
      </w:pPr>
    </w:p>
    <w:p w14:paraId="641B83CD" w14:textId="77777777" w:rsidR="00F91C62" w:rsidRDefault="00F91C62" w:rsidP="00F91C62">
      <w:pPr>
        <w:jc w:val="center"/>
        <w:rPr>
          <w:rFonts w:asciiTheme="majorBidi" w:hAnsiTheme="majorBidi" w:cstheme="majorBidi"/>
          <w:b/>
          <w:bCs/>
          <w:lang w:val="ro-RO"/>
        </w:rPr>
      </w:pPr>
      <w:r>
        <w:rPr>
          <w:rFonts w:asciiTheme="majorBidi" w:hAnsiTheme="majorBidi" w:cstheme="majorBidi"/>
          <w:b/>
          <w:bCs/>
          <w:lang w:val="ro-RO"/>
        </w:rPr>
        <w:t>Graficul de implementare</w:t>
      </w:r>
    </w:p>
    <w:p w14:paraId="0E9C445D" w14:textId="77777777" w:rsidR="00F91C62" w:rsidRDefault="00F91C62" w:rsidP="00F91C62">
      <w:pPr>
        <w:jc w:val="both"/>
        <w:rPr>
          <w:rFonts w:asciiTheme="majorBidi" w:hAnsiTheme="majorBidi" w:cstheme="majorBidi"/>
          <w:lang w:val="ro-RO"/>
        </w:rPr>
      </w:pPr>
      <w:r>
        <w:rPr>
          <w:rFonts w:asciiTheme="majorBidi" w:hAnsiTheme="majorBidi" w:cstheme="majorBidi"/>
          <w:lang w:val="ro-RO"/>
        </w:rPr>
        <w:t>Termenul total de implementare nu va depăși 12 luni de la transferarea mijloacelor financiare în bugetul UAT solicitante.</w:t>
      </w:r>
    </w:p>
    <w:p w14:paraId="1BF7650D" w14:textId="77777777" w:rsidR="00F91C62" w:rsidRDefault="00F91C62" w:rsidP="00F91C62">
      <w:pPr>
        <w:jc w:val="both"/>
        <w:rPr>
          <w:rFonts w:asciiTheme="majorBidi" w:hAnsiTheme="majorBidi" w:cstheme="majorBidi"/>
          <w:b/>
          <w:bCs/>
          <w:color w:val="000000" w:themeColor="text1"/>
          <w:lang w:val="ro-RO"/>
        </w:rPr>
      </w:pPr>
    </w:p>
    <w:tbl>
      <w:tblPr>
        <w:tblStyle w:val="ac"/>
        <w:tblW w:w="0" w:type="auto"/>
        <w:tblInd w:w="0" w:type="dxa"/>
        <w:tblLook w:val="04A0" w:firstRow="1" w:lastRow="0" w:firstColumn="1" w:lastColumn="0" w:noHBand="0" w:noVBand="1"/>
      </w:tblPr>
      <w:tblGrid>
        <w:gridCol w:w="966"/>
        <w:gridCol w:w="5072"/>
        <w:gridCol w:w="3024"/>
      </w:tblGrid>
      <w:tr w:rsidR="00F91C62" w14:paraId="0EDC2D2B" w14:textId="77777777">
        <w:tc>
          <w:tcPr>
            <w:tcW w:w="988" w:type="dxa"/>
            <w:tcBorders>
              <w:top w:val="single" w:sz="4" w:space="0" w:color="auto"/>
              <w:left w:val="single" w:sz="4" w:space="0" w:color="auto"/>
              <w:bottom w:val="single" w:sz="4" w:space="0" w:color="auto"/>
              <w:right w:val="single" w:sz="4" w:space="0" w:color="auto"/>
            </w:tcBorders>
            <w:hideMark/>
          </w:tcPr>
          <w:p w14:paraId="7CEC5F36" w14:textId="77777777" w:rsidR="00F91C62" w:rsidRDefault="00F91C62">
            <w:pPr>
              <w:jc w:val="center"/>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Nr. d/o</w:t>
            </w:r>
          </w:p>
        </w:tc>
        <w:tc>
          <w:tcPr>
            <w:tcW w:w="5242" w:type="dxa"/>
            <w:tcBorders>
              <w:top w:val="single" w:sz="4" w:space="0" w:color="auto"/>
              <w:left w:val="single" w:sz="4" w:space="0" w:color="auto"/>
              <w:bottom w:val="single" w:sz="4" w:space="0" w:color="auto"/>
              <w:right w:val="single" w:sz="4" w:space="0" w:color="auto"/>
            </w:tcBorders>
            <w:hideMark/>
          </w:tcPr>
          <w:p w14:paraId="130DA35D" w14:textId="77777777" w:rsidR="00F91C62" w:rsidRDefault="00F91C62">
            <w:pPr>
              <w:jc w:val="center"/>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Activitate</w:t>
            </w:r>
          </w:p>
        </w:tc>
        <w:tc>
          <w:tcPr>
            <w:tcW w:w="3115" w:type="dxa"/>
            <w:tcBorders>
              <w:top w:val="single" w:sz="4" w:space="0" w:color="auto"/>
              <w:left w:val="single" w:sz="4" w:space="0" w:color="auto"/>
              <w:bottom w:val="single" w:sz="4" w:space="0" w:color="auto"/>
              <w:right w:val="single" w:sz="4" w:space="0" w:color="auto"/>
            </w:tcBorders>
            <w:hideMark/>
          </w:tcPr>
          <w:p w14:paraId="0D40ED4C" w14:textId="77777777" w:rsidR="00F91C62" w:rsidRDefault="00F91C62">
            <w:pPr>
              <w:jc w:val="center"/>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Durata estimativă</w:t>
            </w:r>
          </w:p>
        </w:tc>
      </w:tr>
      <w:tr w:rsidR="00F91C62" w14:paraId="74AF9B44" w14:textId="77777777">
        <w:tc>
          <w:tcPr>
            <w:tcW w:w="988" w:type="dxa"/>
            <w:tcBorders>
              <w:top w:val="single" w:sz="4" w:space="0" w:color="auto"/>
              <w:left w:val="single" w:sz="4" w:space="0" w:color="auto"/>
              <w:bottom w:val="single" w:sz="4" w:space="0" w:color="auto"/>
              <w:right w:val="single" w:sz="4" w:space="0" w:color="auto"/>
            </w:tcBorders>
            <w:hideMark/>
          </w:tcPr>
          <w:p w14:paraId="2FBD72B6" w14:textId="77777777" w:rsidR="00F91C62" w:rsidRDefault="00F91C62">
            <w:pPr>
              <w:jc w:val="both"/>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1.</w:t>
            </w:r>
          </w:p>
        </w:tc>
        <w:tc>
          <w:tcPr>
            <w:tcW w:w="5242" w:type="dxa"/>
            <w:tcBorders>
              <w:top w:val="single" w:sz="4" w:space="0" w:color="auto"/>
              <w:left w:val="single" w:sz="4" w:space="0" w:color="auto"/>
              <w:bottom w:val="single" w:sz="4" w:space="0" w:color="auto"/>
              <w:right w:val="single" w:sz="4" w:space="0" w:color="auto"/>
            </w:tcBorders>
            <w:hideMark/>
          </w:tcPr>
          <w:p w14:paraId="11E66A6A" w14:textId="77777777" w:rsidR="00F91C62" w:rsidRDefault="00F91C62">
            <w:pPr>
              <w:jc w:val="both"/>
              <w:rPr>
                <w:rFonts w:asciiTheme="majorBidi" w:hAnsiTheme="majorBidi" w:cstheme="majorBidi"/>
                <w:color w:val="000000" w:themeColor="text1"/>
                <w:lang w:val="ro-RO"/>
              </w:rPr>
            </w:pPr>
            <w:r>
              <w:rPr>
                <w:rFonts w:asciiTheme="majorBidi" w:eastAsia="Onest" w:hAnsiTheme="majorBidi" w:cstheme="majorBidi"/>
                <w:color w:val="000000" w:themeColor="text1"/>
                <w:lang w:val="ro-RO"/>
              </w:rPr>
              <w:t>Analiza și pregătirea ofertelor de preț pentru selectarea serviciilor  (</w:t>
            </w:r>
            <w:r>
              <w:rPr>
                <w:rFonts w:asciiTheme="majorBidi" w:hAnsiTheme="majorBidi" w:cstheme="majorBidi"/>
                <w:color w:val="000000" w:themeColor="text1"/>
                <w:lang w:val="ro-RO"/>
              </w:rPr>
              <w:t>echipamentelor soft)</w:t>
            </w:r>
          </w:p>
        </w:tc>
        <w:tc>
          <w:tcPr>
            <w:tcW w:w="3115" w:type="dxa"/>
            <w:tcBorders>
              <w:top w:val="single" w:sz="4" w:space="0" w:color="auto"/>
              <w:left w:val="single" w:sz="4" w:space="0" w:color="auto"/>
              <w:bottom w:val="single" w:sz="4" w:space="0" w:color="auto"/>
              <w:right w:val="single" w:sz="4" w:space="0" w:color="auto"/>
            </w:tcBorders>
            <w:hideMark/>
          </w:tcPr>
          <w:p w14:paraId="4F8D241F" w14:textId="77777777" w:rsidR="00F91C62" w:rsidRDefault="00F91C62">
            <w:pPr>
              <w:jc w:val="both"/>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1 lună</w:t>
            </w:r>
          </w:p>
        </w:tc>
      </w:tr>
      <w:tr w:rsidR="00F91C62" w14:paraId="28DCFA0A" w14:textId="77777777">
        <w:tc>
          <w:tcPr>
            <w:tcW w:w="988" w:type="dxa"/>
            <w:tcBorders>
              <w:top w:val="single" w:sz="4" w:space="0" w:color="auto"/>
              <w:left w:val="single" w:sz="4" w:space="0" w:color="auto"/>
              <w:bottom w:val="single" w:sz="4" w:space="0" w:color="auto"/>
              <w:right w:val="single" w:sz="4" w:space="0" w:color="auto"/>
            </w:tcBorders>
            <w:hideMark/>
          </w:tcPr>
          <w:p w14:paraId="0FE47006" w14:textId="77777777" w:rsidR="00F91C62" w:rsidRDefault="00F91C62">
            <w:pPr>
              <w:jc w:val="both"/>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 xml:space="preserve">2. </w:t>
            </w:r>
          </w:p>
        </w:tc>
        <w:tc>
          <w:tcPr>
            <w:tcW w:w="5242" w:type="dxa"/>
            <w:tcBorders>
              <w:top w:val="single" w:sz="4" w:space="0" w:color="auto"/>
              <w:left w:val="single" w:sz="4" w:space="0" w:color="auto"/>
              <w:bottom w:val="single" w:sz="4" w:space="0" w:color="auto"/>
              <w:right w:val="single" w:sz="4" w:space="0" w:color="auto"/>
            </w:tcBorders>
            <w:hideMark/>
          </w:tcPr>
          <w:p w14:paraId="49AA5472" w14:textId="77777777" w:rsidR="00F91C62" w:rsidRDefault="00F91C62">
            <w:pPr>
              <w:jc w:val="both"/>
              <w:rPr>
                <w:rFonts w:asciiTheme="majorBidi" w:hAnsiTheme="majorBidi" w:cstheme="majorBidi"/>
                <w:color w:val="000000" w:themeColor="text1"/>
                <w:lang w:val="ro-RO"/>
              </w:rPr>
            </w:pPr>
            <w:r>
              <w:rPr>
                <w:rFonts w:asciiTheme="majorBidi" w:hAnsiTheme="majorBidi" w:cstheme="majorBidi"/>
                <w:color w:val="000000" w:themeColor="text1"/>
                <w:lang w:val="ro-RO"/>
              </w:rPr>
              <w:t>Semnarea contractului de cumpărare a  serviciilor (echipamentelor soft)</w:t>
            </w:r>
          </w:p>
        </w:tc>
        <w:tc>
          <w:tcPr>
            <w:tcW w:w="3115" w:type="dxa"/>
            <w:tcBorders>
              <w:top w:val="single" w:sz="4" w:space="0" w:color="auto"/>
              <w:left w:val="single" w:sz="4" w:space="0" w:color="auto"/>
              <w:bottom w:val="single" w:sz="4" w:space="0" w:color="auto"/>
              <w:right w:val="single" w:sz="4" w:space="0" w:color="auto"/>
            </w:tcBorders>
            <w:hideMark/>
          </w:tcPr>
          <w:p w14:paraId="26767115" w14:textId="77777777" w:rsidR="00F91C62" w:rsidRDefault="00F91C62">
            <w:pPr>
              <w:jc w:val="both"/>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2 luni</w:t>
            </w:r>
          </w:p>
        </w:tc>
      </w:tr>
      <w:tr w:rsidR="00F91C62" w14:paraId="1940CFE5" w14:textId="77777777">
        <w:tc>
          <w:tcPr>
            <w:tcW w:w="988" w:type="dxa"/>
            <w:tcBorders>
              <w:top w:val="single" w:sz="4" w:space="0" w:color="auto"/>
              <w:left w:val="single" w:sz="4" w:space="0" w:color="auto"/>
              <w:bottom w:val="single" w:sz="4" w:space="0" w:color="auto"/>
              <w:right w:val="single" w:sz="4" w:space="0" w:color="auto"/>
            </w:tcBorders>
            <w:hideMark/>
          </w:tcPr>
          <w:p w14:paraId="40710914" w14:textId="77777777" w:rsidR="00F91C62" w:rsidRDefault="00F91C62">
            <w:pPr>
              <w:jc w:val="both"/>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3</w:t>
            </w:r>
          </w:p>
        </w:tc>
        <w:tc>
          <w:tcPr>
            <w:tcW w:w="5242" w:type="dxa"/>
            <w:tcBorders>
              <w:top w:val="single" w:sz="4" w:space="0" w:color="auto"/>
              <w:left w:val="single" w:sz="4" w:space="0" w:color="auto"/>
              <w:bottom w:val="single" w:sz="4" w:space="0" w:color="auto"/>
              <w:right w:val="single" w:sz="4" w:space="0" w:color="auto"/>
            </w:tcBorders>
            <w:hideMark/>
          </w:tcPr>
          <w:p w14:paraId="4B762DFD" w14:textId="77777777" w:rsidR="00F91C62" w:rsidRDefault="00F91C62">
            <w:pPr>
              <w:jc w:val="both"/>
              <w:rPr>
                <w:rFonts w:asciiTheme="majorBidi" w:hAnsiTheme="majorBidi" w:cstheme="majorBidi"/>
                <w:color w:val="000000" w:themeColor="text1"/>
                <w:lang w:val="ro-RO"/>
              </w:rPr>
            </w:pPr>
            <w:r>
              <w:rPr>
                <w:rFonts w:asciiTheme="majorBidi" w:hAnsiTheme="majorBidi" w:cstheme="majorBidi"/>
                <w:color w:val="000000" w:themeColor="text1"/>
                <w:lang w:val="ro-RO"/>
              </w:rPr>
              <w:t>Instalarea și testarea echipamentelor soft</w:t>
            </w:r>
          </w:p>
        </w:tc>
        <w:tc>
          <w:tcPr>
            <w:tcW w:w="3115" w:type="dxa"/>
            <w:tcBorders>
              <w:top w:val="single" w:sz="4" w:space="0" w:color="auto"/>
              <w:left w:val="single" w:sz="4" w:space="0" w:color="auto"/>
              <w:bottom w:val="single" w:sz="4" w:space="0" w:color="auto"/>
              <w:right w:val="single" w:sz="4" w:space="0" w:color="auto"/>
            </w:tcBorders>
            <w:hideMark/>
          </w:tcPr>
          <w:p w14:paraId="0FCF2811" w14:textId="77777777" w:rsidR="00F91C62" w:rsidRDefault="00F91C62">
            <w:pPr>
              <w:jc w:val="both"/>
              <w:rPr>
                <w:rFonts w:asciiTheme="majorBidi" w:hAnsiTheme="majorBidi" w:cstheme="majorBidi"/>
                <w:b/>
                <w:bCs/>
                <w:color w:val="000000" w:themeColor="text1"/>
                <w:lang w:val="ro-RO"/>
              </w:rPr>
            </w:pPr>
            <w:r>
              <w:rPr>
                <w:rFonts w:asciiTheme="majorBidi" w:hAnsiTheme="majorBidi" w:cstheme="majorBidi"/>
                <w:b/>
                <w:bCs/>
                <w:color w:val="000000" w:themeColor="text1"/>
                <w:lang w:val="ro-RO"/>
              </w:rPr>
              <w:t>1 lună</w:t>
            </w:r>
          </w:p>
        </w:tc>
      </w:tr>
    </w:tbl>
    <w:p w14:paraId="6674551D" w14:textId="77777777" w:rsidR="00F91C62" w:rsidRDefault="00F91C62" w:rsidP="00F91C62">
      <w:pPr>
        <w:jc w:val="both"/>
        <w:rPr>
          <w:rFonts w:asciiTheme="majorBidi" w:hAnsiTheme="majorBidi" w:cstheme="majorBidi"/>
          <w:color w:val="000000" w:themeColor="text1"/>
          <w:lang w:val="ro-RO"/>
        </w:rPr>
      </w:pPr>
    </w:p>
    <w:p w14:paraId="17F219F8" w14:textId="77777777" w:rsidR="00F91C62" w:rsidRDefault="00F91C62" w:rsidP="00F91C62">
      <w:pPr>
        <w:jc w:val="both"/>
        <w:rPr>
          <w:rFonts w:asciiTheme="majorBidi" w:hAnsiTheme="majorBidi" w:cstheme="majorBidi"/>
          <w:color w:val="000000" w:themeColor="text1"/>
          <w:lang w:val="ro-RO"/>
        </w:rPr>
      </w:pPr>
      <w:r>
        <w:rPr>
          <w:rFonts w:asciiTheme="majorBidi" w:hAnsiTheme="majorBidi" w:cstheme="majorBidi"/>
          <w:color w:val="000000" w:themeColor="text1"/>
          <w:lang w:val="ro-RO"/>
        </w:rPr>
        <w:t xml:space="preserve">Prin realizarea acestei activități, comunitățile participante vor asigura accesul echitabil </w:t>
      </w:r>
      <w:r>
        <w:rPr>
          <w:rFonts w:asciiTheme="majorBidi" w:eastAsia="Onest" w:hAnsiTheme="majorBidi" w:cstheme="majorBidi"/>
          <w:color w:val="000000" w:themeColor="text1"/>
          <w:lang w:val="ro-RO"/>
        </w:rPr>
        <w:t xml:space="preserve">la servicii digitale de calitate, </w:t>
      </w:r>
      <w:r>
        <w:rPr>
          <w:rFonts w:asciiTheme="majorBidi" w:hAnsiTheme="majorBidi" w:cstheme="majorBidi"/>
          <w:color w:val="000000" w:themeColor="text1"/>
          <w:lang w:val="ro-RO"/>
        </w:rPr>
        <w:t xml:space="preserve">la o </w:t>
      </w:r>
      <w:r>
        <w:rPr>
          <w:rFonts w:asciiTheme="majorBidi" w:eastAsia="Onest" w:hAnsiTheme="majorBidi" w:cstheme="majorBidi"/>
          <w:color w:val="000000" w:themeColor="text1"/>
          <w:lang w:val="ro-RO"/>
        </w:rPr>
        <w:t xml:space="preserve">asistență umană directă eliminând rândurile la ghișee, deplasările suplimentare consumatoare de timp și resurse financiare, </w:t>
      </w:r>
      <w:r>
        <w:rPr>
          <w:rFonts w:asciiTheme="majorBidi" w:hAnsiTheme="majorBidi" w:cstheme="majorBidi"/>
          <w:color w:val="000000" w:themeColor="text1"/>
          <w:lang w:val="ro-RO"/>
        </w:rPr>
        <w:t>la o locație familiară, în satul lor. Totodată, reorganizarea administrativă  nu se va resimți ca o îndepărtare a autorității, însă ca o modernizare, contribuind la educarea și alfabetizarea digitală a populației.</w:t>
      </w:r>
    </w:p>
    <w:p w14:paraId="6D4091E1" w14:textId="77777777" w:rsidR="00F91C62" w:rsidRPr="00F91C62" w:rsidRDefault="00F91C62">
      <w:pPr>
        <w:rPr>
          <w:lang w:val="ro-RO"/>
        </w:rPr>
      </w:pPr>
    </w:p>
    <w:sectPr w:rsidR="00F91C62" w:rsidRPr="00F91C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nest">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C62"/>
    <w:rsid w:val="00881C38"/>
    <w:rsid w:val="00B6789A"/>
    <w:rsid w:val="00F91C62"/>
    <w:rsid w:val="00FC37B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579A"/>
  <w15:chartTrackingRefBased/>
  <w15:docId w15:val="{5086DE76-95F8-4D36-B064-B09FE1A7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C62"/>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F91C6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ro-RO" w:eastAsia="en-US"/>
      <w14:ligatures w14:val="standardContextual"/>
    </w:rPr>
  </w:style>
  <w:style w:type="paragraph" w:styleId="2">
    <w:name w:val="heading 2"/>
    <w:basedOn w:val="a"/>
    <w:next w:val="a"/>
    <w:link w:val="20"/>
    <w:uiPriority w:val="9"/>
    <w:semiHidden/>
    <w:unhideWhenUsed/>
    <w:qFormat/>
    <w:rsid w:val="00F91C6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ro-RO" w:eastAsia="en-US"/>
      <w14:ligatures w14:val="standardContextual"/>
    </w:rPr>
  </w:style>
  <w:style w:type="paragraph" w:styleId="3">
    <w:name w:val="heading 3"/>
    <w:basedOn w:val="a"/>
    <w:next w:val="a"/>
    <w:link w:val="30"/>
    <w:uiPriority w:val="9"/>
    <w:semiHidden/>
    <w:unhideWhenUsed/>
    <w:qFormat/>
    <w:rsid w:val="00F91C6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ro-RO" w:eastAsia="en-US"/>
      <w14:ligatures w14:val="standardContextual"/>
    </w:rPr>
  </w:style>
  <w:style w:type="paragraph" w:styleId="4">
    <w:name w:val="heading 4"/>
    <w:basedOn w:val="a"/>
    <w:next w:val="a"/>
    <w:link w:val="40"/>
    <w:uiPriority w:val="9"/>
    <w:semiHidden/>
    <w:unhideWhenUsed/>
    <w:qFormat/>
    <w:rsid w:val="00F91C62"/>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ro-RO" w:eastAsia="en-US"/>
      <w14:ligatures w14:val="standardContextual"/>
    </w:rPr>
  </w:style>
  <w:style w:type="paragraph" w:styleId="5">
    <w:name w:val="heading 5"/>
    <w:basedOn w:val="a"/>
    <w:next w:val="a"/>
    <w:link w:val="50"/>
    <w:uiPriority w:val="9"/>
    <w:semiHidden/>
    <w:unhideWhenUsed/>
    <w:qFormat/>
    <w:rsid w:val="00F91C62"/>
    <w:pPr>
      <w:keepNext/>
      <w:keepLines/>
      <w:spacing w:before="80" w:after="40" w:line="278" w:lineRule="auto"/>
      <w:outlineLvl w:val="4"/>
    </w:pPr>
    <w:rPr>
      <w:rFonts w:asciiTheme="minorHAnsi" w:eastAsiaTheme="majorEastAsia" w:hAnsiTheme="minorHAnsi" w:cstheme="majorBidi"/>
      <w:color w:val="2F5496" w:themeColor="accent1" w:themeShade="BF"/>
      <w:kern w:val="2"/>
      <w:lang w:val="ro-RO" w:eastAsia="en-US"/>
      <w14:ligatures w14:val="standardContextual"/>
    </w:rPr>
  </w:style>
  <w:style w:type="paragraph" w:styleId="6">
    <w:name w:val="heading 6"/>
    <w:basedOn w:val="a"/>
    <w:next w:val="a"/>
    <w:link w:val="60"/>
    <w:uiPriority w:val="9"/>
    <w:semiHidden/>
    <w:unhideWhenUsed/>
    <w:qFormat/>
    <w:rsid w:val="00F91C62"/>
    <w:pPr>
      <w:keepNext/>
      <w:keepLines/>
      <w:spacing w:before="40" w:line="278" w:lineRule="auto"/>
      <w:outlineLvl w:val="5"/>
    </w:pPr>
    <w:rPr>
      <w:rFonts w:asciiTheme="minorHAnsi" w:eastAsiaTheme="majorEastAsia" w:hAnsiTheme="minorHAnsi" w:cstheme="majorBidi"/>
      <w:i/>
      <w:iCs/>
      <w:color w:val="595959" w:themeColor="text1" w:themeTint="A6"/>
      <w:kern w:val="2"/>
      <w:lang w:val="ro-RO" w:eastAsia="en-US"/>
      <w14:ligatures w14:val="standardContextual"/>
    </w:rPr>
  </w:style>
  <w:style w:type="paragraph" w:styleId="7">
    <w:name w:val="heading 7"/>
    <w:basedOn w:val="a"/>
    <w:next w:val="a"/>
    <w:link w:val="70"/>
    <w:uiPriority w:val="9"/>
    <w:semiHidden/>
    <w:unhideWhenUsed/>
    <w:qFormat/>
    <w:rsid w:val="00F91C62"/>
    <w:pPr>
      <w:keepNext/>
      <w:keepLines/>
      <w:spacing w:before="40" w:line="278" w:lineRule="auto"/>
      <w:outlineLvl w:val="6"/>
    </w:pPr>
    <w:rPr>
      <w:rFonts w:asciiTheme="minorHAnsi" w:eastAsiaTheme="majorEastAsia" w:hAnsiTheme="minorHAnsi" w:cstheme="majorBidi"/>
      <w:color w:val="595959" w:themeColor="text1" w:themeTint="A6"/>
      <w:kern w:val="2"/>
      <w:lang w:val="ro-RO" w:eastAsia="en-US"/>
      <w14:ligatures w14:val="standardContextual"/>
    </w:rPr>
  </w:style>
  <w:style w:type="paragraph" w:styleId="8">
    <w:name w:val="heading 8"/>
    <w:basedOn w:val="a"/>
    <w:next w:val="a"/>
    <w:link w:val="80"/>
    <w:uiPriority w:val="9"/>
    <w:semiHidden/>
    <w:unhideWhenUsed/>
    <w:qFormat/>
    <w:rsid w:val="00F91C62"/>
    <w:pPr>
      <w:keepNext/>
      <w:keepLines/>
      <w:spacing w:line="278" w:lineRule="auto"/>
      <w:outlineLvl w:val="7"/>
    </w:pPr>
    <w:rPr>
      <w:rFonts w:asciiTheme="minorHAnsi" w:eastAsiaTheme="majorEastAsia" w:hAnsiTheme="minorHAnsi" w:cstheme="majorBidi"/>
      <w:i/>
      <w:iCs/>
      <w:color w:val="272727" w:themeColor="text1" w:themeTint="D8"/>
      <w:kern w:val="2"/>
      <w:lang w:val="ro-RO" w:eastAsia="en-US"/>
      <w14:ligatures w14:val="standardContextual"/>
    </w:rPr>
  </w:style>
  <w:style w:type="paragraph" w:styleId="9">
    <w:name w:val="heading 9"/>
    <w:basedOn w:val="a"/>
    <w:next w:val="a"/>
    <w:link w:val="90"/>
    <w:uiPriority w:val="9"/>
    <w:semiHidden/>
    <w:unhideWhenUsed/>
    <w:qFormat/>
    <w:rsid w:val="00F91C62"/>
    <w:pPr>
      <w:keepNext/>
      <w:keepLines/>
      <w:spacing w:line="278" w:lineRule="auto"/>
      <w:outlineLvl w:val="8"/>
    </w:pPr>
    <w:rPr>
      <w:rFonts w:asciiTheme="minorHAnsi" w:eastAsiaTheme="majorEastAsia" w:hAnsiTheme="minorHAnsi" w:cstheme="majorBidi"/>
      <w:color w:val="272727" w:themeColor="text1" w:themeTint="D8"/>
      <w:kern w:val="2"/>
      <w:lang w:val="ro-RO"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1C6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91C6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91C6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91C6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91C6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91C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1C62"/>
    <w:rPr>
      <w:rFonts w:eastAsiaTheme="majorEastAsia" w:cstheme="majorBidi"/>
      <w:color w:val="595959" w:themeColor="text1" w:themeTint="A6"/>
    </w:rPr>
  </w:style>
  <w:style w:type="character" w:customStyle="1" w:styleId="80">
    <w:name w:val="Заголовок 8 Знак"/>
    <w:basedOn w:val="a0"/>
    <w:link w:val="8"/>
    <w:uiPriority w:val="9"/>
    <w:semiHidden/>
    <w:rsid w:val="00F91C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1C62"/>
    <w:rPr>
      <w:rFonts w:eastAsiaTheme="majorEastAsia" w:cstheme="majorBidi"/>
      <w:color w:val="272727" w:themeColor="text1" w:themeTint="D8"/>
    </w:rPr>
  </w:style>
  <w:style w:type="paragraph" w:styleId="a3">
    <w:name w:val="Title"/>
    <w:basedOn w:val="a"/>
    <w:next w:val="a"/>
    <w:link w:val="a4"/>
    <w:uiPriority w:val="10"/>
    <w:qFormat/>
    <w:rsid w:val="00F91C62"/>
    <w:pPr>
      <w:spacing w:after="80"/>
      <w:contextualSpacing/>
    </w:pPr>
    <w:rPr>
      <w:rFonts w:asciiTheme="majorHAnsi" w:eastAsiaTheme="majorEastAsia" w:hAnsiTheme="majorHAnsi" w:cstheme="majorBidi"/>
      <w:spacing w:val="-10"/>
      <w:kern w:val="28"/>
      <w:sz w:val="56"/>
      <w:szCs w:val="56"/>
      <w:lang w:val="ro-RO" w:eastAsia="en-US"/>
      <w14:ligatures w14:val="standardContextual"/>
    </w:rPr>
  </w:style>
  <w:style w:type="character" w:customStyle="1" w:styleId="a4">
    <w:name w:val="Заголовок Знак"/>
    <w:basedOn w:val="a0"/>
    <w:link w:val="a3"/>
    <w:uiPriority w:val="10"/>
    <w:rsid w:val="00F91C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1C6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o-RO" w:eastAsia="en-US"/>
      <w14:ligatures w14:val="standardContextual"/>
    </w:rPr>
  </w:style>
  <w:style w:type="character" w:customStyle="1" w:styleId="a6">
    <w:name w:val="Подзаголовок Знак"/>
    <w:basedOn w:val="a0"/>
    <w:link w:val="a5"/>
    <w:uiPriority w:val="11"/>
    <w:rsid w:val="00F91C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1C62"/>
    <w:pPr>
      <w:spacing w:before="160" w:after="160" w:line="278" w:lineRule="auto"/>
      <w:jc w:val="center"/>
    </w:pPr>
    <w:rPr>
      <w:rFonts w:asciiTheme="minorHAnsi" w:eastAsiaTheme="minorHAnsi" w:hAnsiTheme="minorHAnsi" w:cstheme="minorBidi"/>
      <w:i/>
      <w:iCs/>
      <w:color w:val="404040" w:themeColor="text1" w:themeTint="BF"/>
      <w:kern w:val="2"/>
      <w:lang w:val="ro-RO" w:eastAsia="en-US"/>
      <w14:ligatures w14:val="standardContextual"/>
    </w:rPr>
  </w:style>
  <w:style w:type="character" w:customStyle="1" w:styleId="22">
    <w:name w:val="Цитата 2 Знак"/>
    <w:basedOn w:val="a0"/>
    <w:link w:val="21"/>
    <w:uiPriority w:val="29"/>
    <w:rsid w:val="00F91C62"/>
    <w:rPr>
      <w:i/>
      <w:iCs/>
      <w:color w:val="404040" w:themeColor="text1" w:themeTint="BF"/>
    </w:rPr>
  </w:style>
  <w:style w:type="paragraph" w:styleId="a7">
    <w:name w:val="List Paragraph"/>
    <w:basedOn w:val="a"/>
    <w:uiPriority w:val="34"/>
    <w:qFormat/>
    <w:rsid w:val="00F91C62"/>
    <w:pPr>
      <w:spacing w:after="160" w:line="278" w:lineRule="auto"/>
      <w:ind w:left="720"/>
      <w:contextualSpacing/>
    </w:pPr>
    <w:rPr>
      <w:rFonts w:asciiTheme="minorHAnsi" w:eastAsiaTheme="minorHAnsi" w:hAnsiTheme="minorHAnsi" w:cstheme="minorBidi"/>
      <w:kern w:val="2"/>
      <w:lang w:val="ro-RO" w:eastAsia="en-US"/>
      <w14:ligatures w14:val="standardContextual"/>
    </w:rPr>
  </w:style>
  <w:style w:type="character" w:styleId="a8">
    <w:name w:val="Intense Emphasis"/>
    <w:basedOn w:val="a0"/>
    <w:uiPriority w:val="21"/>
    <w:qFormat/>
    <w:rsid w:val="00F91C62"/>
    <w:rPr>
      <w:i/>
      <w:iCs/>
      <w:color w:val="2F5496" w:themeColor="accent1" w:themeShade="BF"/>
    </w:rPr>
  </w:style>
  <w:style w:type="paragraph" w:styleId="a9">
    <w:name w:val="Intense Quote"/>
    <w:basedOn w:val="a"/>
    <w:next w:val="a"/>
    <w:link w:val="aa"/>
    <w:uiPriority w:val="30"/>
    <w:qFormat/>
    <w:rsid w:val="00F91C6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ro-RO" w:eastAsia="en-US"/>
      <w14:ligatures w14:val="standardContextual"/>
    </w:rPr>
  </w:style>
  <w:style w:type="character" w:customStyle="1" w:styleId="aa">
    <w:name w:val="Выделенная цитата Знак"/>
    <w:basedOn w:val="a0"/>
    <w:link w:val="a9"/>
    <w:uiPriority w:val="30"/>
    <w:rsid w:val="00F91C62"/>
    <w:rPr>
      <w:i/>
      <w:iCs/>
      <w:color w:val="2F5496" w:themeColor="accent1" w:themeShade="BF"/>
    </w:rPr>
  </w:style>
  <w:style w:type="character" w:styleId="ab">
    <w:name w:val="Intense Reference"/>
    <w:basedOn w:val="a0"/>
    <w:uiPriority w:val="32"/>
    <w:qFormat/>
    <w:rsid w:val="00F91C62"/>
    <w:rPr>
      <w:b/>
      <w:bCs/>
      <w:smallCaps/>
      <w:color w:val="2F5496" w:themeColor="accent1" w:themeShade="BF"/>
      <w:spacing w:val="5"/>
    </w:rPr>
  </w:style>
  <w:style w:type="table" w:styleId="ac">
    <w:name w:val="Table Grid"/>
    <w:basedOn w:val="a1"/>
    <w:uiPriority w:val="39"/>
    <w:rsid w:val="00F91C62"/>
    <w:pPr>
      <w:spacing w:after="0" w:line="240" w:lineRule="auto"/>
    </w:pPr>
    <w:rPr>
      <w:kern w:val="0"/>
      <w:sz w:val="22"/>
      <w:szCs w:val="22"/>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4795</Characters>
  <Application>Microsoft Office Word</Application>
  <DocSecurity>0</DocSecurity>
  <Lines>39</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fatos44717@nike4s.com</dc:creator>
  <cp:keywords/>
  <dc:description/>
  <cp:lastModifiedBy>HP</cp:lastModifiedBy>
  <cp:revision>2</cp:revision>
  <dcterms:created xsi:type="dcterms:W3CDTF">2026-08-03T08:01:00Z</dcterms:created>
  <dcterms:modified xsi:type="dcterms:W3CDTF">2026-08-03T08:01:00Z</dcterms:modified>
</cp:coreProperties>
</file>