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0" w:type="dxa"/>
        <w:tblInd w:w="-1134" w:type="dxa"/>
        <w:tblLayout w:type="fixed"/>
        <w:tblLook w:val="04A0" w:firstRow="1" w:lastRow="0" w:firstColumn="1" w:lastColumn="0" w:noHBand="0" w:noVBand="1"/>
      </w:tblPr>
      <w:tblGrid>
        <w:gridCol w:w="1312"/>
        <w:gridCol w:w="9758"/>
      </w:tblGrid>
      <w:tr w:rsidR="007B1904" w:rsidRPr="00707E1F" w14:paraId="13EAE58F" w14:textId="77777777" w:rsidTr="00827D93">
        <w:trPr>
          <w:trHeight w:val="1701"/>
        </w:trPr>
        <w:tc>
          <w:tcPr>
            <w:tcW w:w="1311" w:type="dxa"/>
            <w:tcBorders>
              <w:top w:val="nil"/>
              <w:left w:val="nil"/>
              <w:bottom w:val="single" w:sz="18" w:space="0" w:color="auto"/>
              <w:right w:val="nil"/>
            </w:tcBorders>
            <w:hideMark/>
          </w:tcPr>
          <w:p w14:paraId="6953F96A" w14:textId="77777777" w:rsidR="007B1904" w:rsidRPr="00707E1F" w:rsidRDefault="007B1904" w:rsidP="00827D93">
            <w:pPr>
              <w:jc w:val="center"/>
              <w:rPr>
                <w:rFonts w:ascii="Times New Roman" w:hAnsi="Times New Roman" w:cs="Times New Roman"/>
                <w:b/>
                <w:lang w:val="ro-MD"/>
              </w:rPr>
            </w:pPr>
            <w:r w:rsidRPr="00707E1F">
              <w:rPr>
                <w:rFonts w:ascii="Times New Roman" w:hAnsi="Times New Roman" w:cs="Times New Roman"/>
                <w:b/>
                <w:noProof/>
                <w:lang w:val="ro-MD"/>
              </w:rPr>
              <w:drawing>
                <wp:inline distT="0" distB="0" distL="0" distR="0" wp14:anchorId="0377BAD0" wp14:editId="23467636">
                  <wp:extent cx="695325" cy="742950"/>
                  <wp:effectExtent l="0" t="0" r="9525" b="0"/>
                  <wp:docPr id="148368059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a:ln>
                            <a:noFill/>
                          </a:ln>
                        </pic:spPr>
                      </pic:pic>
                    </a:graphicData>
                  </a:graphic>
                </wp:inline>
              </w:drawing>
            </w:r>
          </w:p>
        </w:tc>
        <w:tc>
          <w:tcPr>
            <w:tcW w:w="9753" w:type="dxa"/>
            <w:tcBorders>
              <w:top w:val="nil"/>
              <w:left w:val="nil"/>
              <w:bottom w:val="single" w:sz="18" w:space="0" w:color="auto"/>
              <w:right w:val="nil"/>
            </w:tcBorders>
            <w:hideMark/>
          </w:tcPr>
          <w:p w14:paraId="55944E45" w14:textId="77777777" w:rsidR="007B1904" w:rsidRPr="00707E1F" w:rsidRDefault="007B1904" w:rsidP="00827D93">
            <w:pPr>
              <w:jc w:val="center"/>
              <w:rPr>
                <w:rFonts w:ascii="Times New Roman" w:hAnsi="Times New Roman" w:cs="Times New Roman"/>
                <w:b/>
                <w:lang w:val="ro-MD"/>
              </w:rPr>
            </w:pPr>
            <w:r w:rsidRPr="00707E1F">
              <w:rPr>
                <w:rFonts w:ascii="Times New Roman" w:hAnsi="Times New Roman" w:cs="Times New Roman"/>
                <w:b/>
                <w:lang w:val="ro-MD"/>
              </w:rPr>
              <w:t>REPUBLICA  MOLDOVA</w:t>
            </w:r>
          </w:p>
          <w:p w14:paraId="358B8316" w14:textId="77777777" w:rsidR="007B1904" w:rsidRPr="00707E1F" w:rsidRDefault="007B1904" w:rsidP="00827D93">
            <w:pPr>
              <w:jc w:val="center"/>
              <w:rPr>
                <w:rFonts w:ascii="Times New Roman" w:hAnsi="Times New Roman" w:cs="Times New Roman"/>
                <w:b/>
                <w:lang w:val="ro-MD"/>
              </w:rPr>
            </w:pPr>
            <w:r w:rsidRPr="00707E1F">
              <w:rPr>
                <w:rFonts w:ascii="Times New Roman" w:hAnsi="Times New Roman" w:cs="Times New Roman"/>
                <w:b/>
                <w:lang w:val="ro-MD"/>
              </w:rPr>
              <w:t>RAIONUL TELENEȘTI</w:t>
            </w:r>
          </w:p>
          <w:p w14:paraId="4430AA8C" w14:textId="77777777" w:rsidR="007B1904" w:rsidRPr="00707E1F" w:rsidRDefault="007B1904" w:rsidP="00827D93">
            <w:pPr>
              <w:jc w:val="center"/>
              <w:rPr>
                <w:rFonts w:ascii="Times New Roman" w:hAnsi="Times New Roman" w:cs="Times New Roman"/>
                <w:b/>
                <w:lang w:val="ro-MD"/>
              </w:rPr>
            </w:pPr>
            <w:r w:rsidRPr="00707E1F">
              <w:rPr>
                <w:rFonts w:ascii="Times New Roman" w:hAnsi="Times New Roman" w:cs="Times New Roman"/>
                <w:b/>
                <w:lang w:val="ro-MD"/>
              </w:rPr>
              <w:t>CONSILIUL COMUNAL  CHIȚCANII VECHI</w:t>
            </w:r>
          </w:p>
          <w:p w14:paraId="1A0BA89C" w14:textId="77777777" w:rsidR="007B1904" w:rsidRPr="00707E1F" w:rsidRDefault="007B1904" w:rsidP="00827D93">
            <w:pPr>
              <w:jc w:val="center"/>
              <w:rPr>
                <w:rFonts w:ascii="Times New Roman" w:hAnsi="Times New Roman" w:cs="Times New Roman"/>
                <w:b/>
                <w:lang w:val="ro-MD"/>
              </w:rPr>
            </w:pPr>
            <w:r w:rsidRPr="00707E1F">
              <w:rPr>
                <w:rFonts w:ascii="Times New Roman" w:hAnsi="Times New Roman" w:cs="Times New Roman"/>
                <w:b/>
                <w:lang w:val="ro-MD"/>
              </w:rPr>
              <w:t xml:space="preserve">MD-5816, </w:t>
            </w:r>
            <w:proofErr w:type="spellStart"/>
            <w:r w:rsidRPr="00707E1F">
              <w:rPr>
                <w:rFonts w:ascii="Times New Roman" w:hAnsi="Times New Roman" w:cs="Times New Roman"/>
                <w:b/>
                <w:lang w:val="ro-MD"/>
              </w:rPr>
              <w:t>s.Chițcanii</w:t>
            </w:r>
            <w:proofErr w:type="spellEnd"/>
            <w:r w:rsidRPr="00707E1F">
              <w:rPr>
                <w:rFonts w:ascii="Times New Roman" w:hAnsi="Times New Roman" w:cs="Times New Roman"/>
                <w:b/>
                <w:lang w:val="ro-MD"/>
              </w:rPr>
              <w:t xml:space="preserve"> Vechi, tel: (258)-76-2-38, fax: 76-2-36</w:t>
            </w:r>
          </w:p>
          <w:p w14:paraId="4C5023CA" w14:textId="77777777" w:rsidR="007B1904" w:rsidRPr="00707E1F" w:rsidRDefault="007B1904" w:rsidP="00827D93">
            <w:pPr>
              <w:jc w:val="center"/>
              <w:rPr>
                <w:rFonts w:ascii="Times New Roman" w:hAnsi="Times New Roman" w:cs="Times New Roman"/>
                <w:b/>
                <w:lang w:val="ro-MD"/>
              </w:rPr>
            </w:pPr>
            <w:r w:rsidRPr="00707E1F">
              <w:rPr>
                <w:rFonts w:ascii="Times New Roman" w:hAnsi="Times New Roman" w:cs="Times New Roman"/>
                <w:b/>
                <w:lang w:val="ro-MD"/>
              </w:rPr>
              <w:t>Cod fiscal 1007601001961</w:t>
            </w:r>
          </w:p>
          <w:p w14:paraId="3979E249" w14:textId="77777777" w:rsidR="007B1904" w:rsidRPr="00707E1F" w:rsidRDefault="007B1904" w:rsidP="00827D93">
            <w:pPr>
              <w:jc w:val="center"/>
              <w:rPr>
                <w:rFonts w:ascii="Times New Roman" w:hAnsi="Times New Roman" w:cs="Times New Roman"/>
                <w:bCs/>
                <w:lang w:val="ro-MD"/>
              </w:rPr>
            </w:pPr>
            <w:r w:rsidRPr="00707E1F">
              <w:rPr>
                <w:rFonts w:ascii="Times New Roman" w:hAnsi="Times New Roman" w:cs="Times New Roman"/>
                <w:bCs/>
                <w:color w:val="4472C4" w:themeColor="accent1"/>
                <w:u w:val="single"/>
                <w:lang w:val="ro-MD"/>
              </w:rPr>
              <w:t>poșta:primariachitcani@gmail.com, primaria.chitcanii-vechi@apl.gov.md</w:t>
            </w:r>
          </w:p>
        </w:tc>
      </w:tr>
    </w:tbl>
    <w:p w14:paraId="35756D07" w14:textId="77777777" w:rsidR="007B1904" w:rsidRPr="00707E1F" w:rsidRDefault="007B1904" w:rsidP="007B1904">
      <w:pPr>
        <w:jc w:val="center"/>
        <w:rPr>
          <w:rFonts w:ascii="Times New Roman" w:hAnsi="Times New Roman" w:cs="Times New Roman"/>
          <w:b/>
          <w:bCs/>
          <w:i/>
          <w:lang w:val="ro-MD"/>
        </w:rPr>
      </w:pPr>
    </w:p>
    <w:p w14:paraId="78C494A3" w14:textId="39FADDCF" w:rsidR="007B1904" w:rsidRPr="00C87CAC" w:rsidRDefault="007B1904" w:rsidP="007B1904">
      <w:pPr>
        <w:jc w:val="center"/>
        <w:rPr>
          <w:rFonts w:ascii="Times New Roman" w:hAnsi="Times New Roman" w:cs="Times New Roman"/>
          <w:b/>
          <w:bCs/>
          <w:lang w:val="ro-RO"/>
        </w:rPr>
      </w:pPr>
      <w:r>
        <w:rPr>
          <w:rFonts w:ascii="Times New Roman" w:hAnsi="Times New Roman" w:cs="Times New Roman"/>
          <w:b/>
          <w:bCs/>
          <w:i/>
          <w:lang w:val="ro-MD"/>
        </w:rPr>
        <w:t xml:space="preserve">PROIECT DE </w:t>
      </w:r>
      <w:r w:rsidRPr="00707E1F">
        <w:rPr>
          <w:rFonts w:ascii="Times New Roman" w:hAnsi="Times New Roman" w:cs="Times New Roman"/>
          <w:b/>
          <w:bCs/>
          <w:i/>
          <w:lang w:val="ro-MD"/>
        </w:rPr>
        <w:t>DECIZI</w:t>
      </w:r>
      <w:r>
        <w:rPr>
          <w:rFonts w:ascii="Times New Roman" w:hAnsi="Times New Roman" w:cs="Times New Roman"/>
          <w:b/>
          <w:bCs/>
          <w:i/>
          <w:lang w:val="ro-MD"/>
        </w:rPr>
        <w:t xml:space="preserve">E </w:t>
      </w:r>
    </w:p>
    <w:p w14:paraId="288737B6" w14:textId="77777777" w:rsidR="007B1904" w:rsidRDefault="007B1904" w:rsidP="007B1904">
      <w:pPr>
        <w:pStyle w:val="Frspaiere"/>
        <w:rPr>
          <w:b/>
          <w:bCs/>
        </w:rPr>
      </w:pPr>
    </w:p>
    <w:p w14:paraId="66711CC1" w14:textId="77777777" w:rsidR="007B1904" w:rsidRDefault="007B1904" w:rsidP="007B1904">
      <w:pPr>
        <w:pStyle w:val="Frspaiere"/>
        <w:rPr>
          <w:b/>
          <w:bCs/>
        </w:rPr>
      </w:pPr>
      <w:r w:rsidRPr="001C5071">
        <w:rPr>
          <w:b/>
          <w:bCs/>
        </w:rPr>
        <w:t xml:space="preserve">Cu privire la amalgamarea voluntară a unităților administrativ-teritoriale UAT Negureni, UAT Chițcanii Vechi, UAT </w:t>
      </w:r>
      <w:proofErr w:type="spellStart"/>
      <w:r w:rsidRPr="001C5071">
        <w:rPr>
          <w:b/>
          <w:bCs/>
        </w:rPr>
        <w:t>Tîrșiței</w:t>
      </w:r>
      <w:proofErr w:type="spellEnd"/>
      <w:r w:rsidRPr="001C5071">
        <w:rPr>
          <w:b/>
          <w:bCs/>
        </w:rPr>
        <w:t xml:space="preserve"> și UAT Nucăreni, raionul Telenești</w:t>
      </w:r>
      <w:r>
        <w:rPr>
          <w:b/>
          <w:bCs/>
        </w:rPr>
        <w:t>.</w:t>
      </w:r>
    </w:p>
    <w:p w14:paraId="1C68F793" w14:textId="77777777" w:rsidR="007B1904" w:rsidRPr="001C5071" w:rsidRDefault="007B1904" w:rsidP="007B1904">
      <w:pPr>
        <w:pStyle w:val="Frspaiere"/>
        <w:rPr>
          <w:b/>
          <w:bCs/>
        </w:rPr>
      </w:pPr>
    </w:p>
    <w:p w14:paraId="01EE859E" w14:textId="77777777" w:rsidR="007B1904" w:rsidRPr="001C5071" w:rsidRDefault="007B1904" w:rsidP="007B1904">
      <w:pPr>
        <w:pStyle w:val="Frspaiere"/>
      </w:pPr>
      <w:r w:rsidRPr="001C5071">
        <w:t>În temeiul art. 14 alin. (2) lit. k¹) din Legea nr. 436/2006 privind administrația publică locală; în conformitate cu prevederile art. 8 și art. 11 din Legea nr. 225/2023 privind amalgamarea voluntară a unităților administrativ-teritoriale; pct. 25, 39, 40 și 43 din Metodologia de amalgamare voluntară a unităților administrativ-teritoriale, aprobată prin Hotărârea Guvernului nr. 925/2023; ținând cont de criteriile stabilite la art. 5 din Legea nr. 225/2023, se constată că unitățile administrativ-teritoriale propuse pentru amalgamare întrunesc condițiile de bază prevăzute de lege, formând un teritoriu continuu și compact, asigurând coerența geografică a viitoarei unități administrativ-teritoriale amalgamate, iar populația cumulată a acestora depășește pragul minim de 3 000 de locuitori, fiind estimată la 4 959 de locuitori, conform datelor oficiale ale Biroului Național de Statistică.</w:t>
      </w:r>
    </w:p>
    <w:p w14:paraId="3688AF41" w14:textId="77777777" w:rsidR="007B1904" w:rsidRPr="001C5071" w:rsidRDefault="007B1904" w:rsidP="007B1904">
      <w:pPr>
        <w:pStyle w:val="Frspaiere"/>
      </w:pPr>
      <w:r w:rsidRPr="001C5071">
        <w:t>Totodată, prin aplicarea criteriilor și modului de selectare a centrului administrativ al unității administrativ-teritoriale amalgamate, prevăzute la art. 6 din Legea nr. 225/2023 și Anexa nr. 1 la Hotărârea Guvernului nr. 925/2023, s-a constatat că UAT Negureni a obținut cel mai mare punctaj dintre unitățile administrativ-teritoriale participante la procesul de amalgamare voluntară.</w:t>
      </w:r>
    </w:p>
    <w:p w14:paraId="34B81494" w14:textId="77777777" w:rsidR="007B1904" w:rsidRPr="001C5071" w:rsidRDefault="007B1904" w:rsidP="007B1904">
      <w:pPr>
        <w:pStyle w:val="Frspaiere"/>
      </w:pPr>
      <w:r w:rsidRPr="001C5071">
        <w:t>În baza celor expuse, Consiliul comunal Chițcanii Vechi,</w:t>
      </w:r>
    </w:p>
    <w:p w14:paraId="14FA3295" w14:textId="77777777" w:rsidR="007B1904" w:rsidRPr="001C5071" w:rsidRDefault="007B1904" w:rsidP="007B1904">
      <w:pPr>
        <w:pStyle w:val="Frspaiere"/>
        <w:rPr>
          <w:b/>
          <w:bCs/>
        </w:rPr>
      </w:pPr>
      <w:r w:rsidRPr="001C5071">
        <w:rPr>
          <w:b/>
          <w:bCs/>
        </w:rPr>
        <w:t>DECIDE:</w:t>
      </w:r>
    </w:p>
    <w:p w14:paraId="5D73362C" w14:textId="77777777" w:rsidR="007B1904" w:rsidRPr="001C5071" w:rsidRDefault="007B1904" w:rsidP="007B1904">
      <w:pPr>
        <w:pStyle w:val="Frspaiere"/>
      </w:pPr>
      <w:r w:rsidRPr="001C5071">
        <w:rPr>
          <w:b/>
          <w:bCs/>
        </w:rPr>
        <w:t>1.</w:t>
      </w:r>
      <w:r w:rsidRPr="001C5071">
        <w:t xml:space="preserve"> Se aprobă amalgamarea voluntară a unităților administrativ-teritoriale UAT Negureni, UAT Chițcanii Vechi, UAT </w:t>
      </w:r>
      <w:proofErr w:type="spellStart"/>
      <w:r w:rsidRPr="001C5071">
        <w:t>Tîrșiței</w:t>
      </w:r>
      <w:proofErr w:type="spellEnd"/>
      <w:r w:rsidRPr="001C5071">
        <w:t xml:space="preserve"> și UAT Nucăreni, raionul Telenești, cu stabilirea centrului administrativ al viitoarei unități administrativ-teritoriale amalgamate în satul Negureni, raionul Telenești.</w:t>
      </w:r>
    </w:p>
    <w:p w14:paraId="27F23118" w14:textId="77777777" w:rsidR="007B1904" w:rsidRPr="001C5071" w:rsidRDefault="007B1904" w:rsidP="007B1904">
      <w:pPr>
        <w:pStyle w:val="Frspaiere"/>
      </w:pPr>
      <w:r w:rsidRPr="001C5071">
        <w:rPr>
          <w:b/>
          <w:bCs/>
        </w:rPr>
        <w:t>2.</w:t>
      </w:r>
      <w:r w:rsidRPr="001C5071">
        <w:t xml:space="preserve"> Se pune în sarcina secretarului Consiliului comunal Chițcanii Vechi, dna Anton Angela, transmiterea prezentei decizii, precum și a documentelor aferente aprobate de Consiliul comunal Chițcanii Vechi către Primăria comunei Negureni, desemnată în calitate de centru administrativ al viitoarei unități administrativ-teritoriale amalgamate, în vederea consolidării dosarului final de amalgamare voluntară și transmiterii acestuia către Cancelaria de Stat.</w:t>
      </w:r>
    </w:p>
    <w:p w14:paraId="115229E8" w14:textId="77777777" w:rsidR="007B1904" w:rsidRPr="001C5071" w:rsidRDefault="007B1904" w:rsidP="007B1904">
      <w:pPr>
        <w:pStyle w:val="Frspaiere"/>
      </w:pPr>
      <w:r w:rsidRPr="001C5071">
        <w:rPr>
          <w:b/>
          <w:bCs/>
        </w:rPr>
        <w:t>3.</w:t>
      </w:r>
      <w:r w:rsidRPr="001C5071">
        <w:t xml:space="preserve"> Prezenta decizie intră în vigoare la data includerii în Registrul de stat al actelor locale și poate fi contestată în termen de 30 de zile de la data comunicării, la Judecătoria Orhei (sediul mun. Orhei, str. Vasile </w:t>
      </w:r>
      <w:proofErr w:type="spellStart"/>
      <w:r w:rsidRPr="001C5071">
        <w:t>Mahu</w:t>
      </w:r>
      <w:proofErr w:type="spellEnd"/>
      <w:r w:rsidRPr="001C5071">
        <w:t xml:space="preserve"> nr. 135), în conformitate cu prevederile Codului administrativ al Republicii Moldova.</w:t>
      </w:r>
    </w:p>
    <w:p w14:paraId="181E6800" w14:textId="77777777" w:rsidR="007B1904" w:rsidRDefault="007B1904" w:rsidP="007B1904">
      <w:pPr>
        <w:pStyle w:val="Frspaiere"/>
        <w:rPr>
          <w:b/>
          <w:bCs/>
        </w:rPr>
      </w:pPr>
    </w:p>
    <w:p w14:paraId="79B86C89" w14:textId="77777777" w:rsidR="007B1904" w:rsidRDefault="007B1904" w:rsidP="007B1904">
      <w:pPr>
        <w:pStyle w:val="Frspaiere"/>
        <w:rPr>
          <w:rStyle w:val="Accentuat"/>
          <w:b/>
          <w:sz w:val="28"/>
          <w:szCs w:val="28"/>
          <w:lang w:val="fr-FR"/>
        </w:rPr>
      </w:pPr>
    </w:p>
    <w:p w14:paraId="3328CCF7" w14:textId="77777777" w:rsidR="007B1904" w:rsidRDefault="007B1904" w:rsidP="007B1904">
      <w:pPr>
        <w:pStyle w:val="Frspaiere"/>
        <w:rPr>
          <w:rStyle w:val="Accentuat"/>
          <w:b/>
          <w:sz w:val="28"/>
          <w:szCs w:val="28"/>
          <w:lang w:val="fr-FR"/>
        </w:rPr>
      </w:pPr>
    </w:p>
    <w:p w14:paraId="3F4BE9AF" w14:textId="77777777" w:rsidR="007B1904" w:rsidRDefault="007B1904" w:rsidP="007B1904">
      <w:pPr>
        <w:pStyle w:val="Frspaiere"/>
        <w:rPr>
          <w:rStyle w:val="Accentuat"/>
          <w:b/>
          <w:sz w:val="28"/>
          <w:szCs w:val="28"/>
          <w:lang w:val="fr-FR"/>
        </w:rPr>
      </w:pPr>
    </w:p>
    <w:p w14:paraId="5E50C320" w14:textId="77777777" w:rsidR="007B1904" w:rsidRDefault="007B1904" w:rsidP="007B1904">
      <w:pPr>
        <w:widowControl/>
        <w:spacing w:line="276" w:lineRule="auto"/>
        <w:jc w:val="both"/>
        <w:rPr>
          <w:rFonts w:ascii="Times New Roman" w:hAnsi="Times New Roman" w:cs="Times New Roman"/>
          <w:color w:val="000000" w:themeColor="text1"/>
          <w:lang w:val="ro-RO"/>
        </w:rPr>
      </w:pPr>
    </w:p>
    <w:p w14:paraId="5B5A99AF" w14:textId="77777777" w:rsidR="007B1904" w:rsidRDefault="007B1904" w:rsidP="007B1904">
      <w:pPr>
        <w:widowControl/>
        <w:spacing w:line="276" w:lineRule="auto"/>
        <w:jc w:val="both"/>
        <w:rPr>
          <w:rFonts w:ascii="Times New Roman" w:hAnsi="Times New Roman" w:cs="Times New Roman"/>
          <w:color w:val="000000" w:themeColor="text1"/>
          <w:lang w:val="ro-RO"/>
        </w:rPr>
      </w:pPr>
    </w:p>
    <w:p w14:paraId="3DC6C077" w14:textId="77777777" w:rsidR="007B1904" w:rsidRDefault="007B1904" w:rsidP="007B1904">
      <w:pPr>
        <w:widowControl/>
        <w:spacing w:line="276" w:lineRule="auto"/>
        <w:jc w:val="center"/>
        <w:rPr>
          <w:rFonts w:ascii="Times New Roman" w:hAnsi="Times New Roman" w:cs="Times New Roman"/>
          <w:b/>
          <w:bCs/>
          <w:color w:val="000000" w:themeColor="text1"/>
          <w:lang w:val="ro-RO"/>
        </w:rPr>
      </w:pPr>
    </w:p>
    <w:p w14:paraId="533824BC" w14:textId="77777777" w:rsidR="00EB6AA2" w:rsidRDefault="00EB6AA2"/>
    <w:sectPr w:rsidR="00EB6AA2" w:rsidSect="007B1904">
      <w:pgSz w:w="12240" w:h="15840"/>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309DC"/>
    <w:multiLevelType w:val="multilevel"/>
    <w:tmpl w:val="C122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74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C0"/>
    <w:rsid w:val="00041544"/>
    <w:rsid w:val="003E1C73"/>
    <w:rsid w:val="006A6AB1"/>
    <w:rsid w:val="007B1904"/>
    <w:rsid w:val="0083049F"/>
    <w:rsid w:val="00E538C0"/>
    <w:rsid w:val="00EB6A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1E80"/>
  <w15:chartTrackingRefBased/>
  <w15:docId w15:val="{27420373-FF0F-43C6-AD49-24A349D9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04"/>
    <w:pPr>
      <w:widowControl w:val="0"/>
    </w:pPr>
    <w:rPr>
      <w:rFonts w:cs="Courier New"/>
      <w:color w:val="000000"/>
    </w:rPr>
  </w:style>
  <w:style w:type="paragraph" w:styleId="Titlu1">
    <w:name w:val="heading 1"/>
    <w:basedOn w:val="Normal"/>
    <w:next w:val="Normal"/>
    <w:link w:val="Titlu1Caracter"/>
    <w:uiPriority w:val="9"/>
    <w:qFormat/>
    <w:rsid w:val="00E53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53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538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538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E538C0"/>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E538C0"/>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E538C0"/>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E538C0"/>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E538C0"/>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538C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538C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538C0"/>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538C0"/>
    <w:rPr>
      <w:rFonts w:asciiTheme="minorHAnsi" w:eastAsiaTheme="majorEastAsia" w:hAnsiTheme="minorHAnsi" w:cstheme="majorBidi"/>
      <w:i/>
      <w:iCs/>
      <w:color w:val="2F5496" w:themeColor="accent1" w:themeShade="BF"/>
    </w:rPr>
  </w:style>
  <w:style w:type="character" w:customStyle="1" w:styleId="Titlu5Caracter">
    <w:name w:val="Titlu 5 Caracter"/>
    <w:basedOn w:val="Fontdeparagrafimplicit"/>
    <w:link w:val="Titlu5"/>
    <w:uiPriority w:val="9"/>
    <w:semiHidden/>
    <w:rsid w:val="00E538C0"/>
    <w:rPr>
      <w:rFonts w:asciiTheme="minorHAnsi" w:eastAsiaTheme="majorEastAsia" w:hAnsiTheme="minorHAnsi" w:cstheme="majorBidi"/>
      <w:color w:val="2F5496" w:themeColor="accent1" w:themeShade="BF"/>
    </w:rPr>
  </w:style>
  <w:style w:type="character" w:customStyle="1" w:styleId="Titlu6Caracter">
    <w:name w:val="Titlu 6 Caracter"/>
    <w:basedOn w:val="Fontdeparagrafimplicit"/>
    <w:link w:val="Titlu6"/>
    <w:uiPriority w:val="9"/>
    <w:semiHidden/>
    <w:rsid w:val="00E538C0"/>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E538C0"/>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E538C0"/>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E538C0"/>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E538C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uCaracter">
    <w:name w:val="Titlu Caracter"/>
    <w:basedOn w:val="Fontdeparagrafimplicit"/>
    <w:link w:val="Titlu"/>
    <w:uiPriority w:val="10"/>
    <w:rsid w:val="00E538C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538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538C0"/>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E538C0"/>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E538C0"/>
    <w:rPr>
      <w:rFonts w:cs="Courier New"/>
      <w:i/>
      <w:iCs/>
      <w:color w:val="404040" w:themeColor="text1" w:themeTint="BF"/>
    </w:rPr>
  </w:style>
  <w:style w:type="paragraph" w:styleId="Listparagraf">
    <w:name w:val="List Paragraph"/>
    <w:basedOn w:val="Normal"/>
    <w:uiPriority w:val="34"/>
    <w:qFormat/>
    <w:rsid w:val="00E538C0"/>
    <w:pPr>
      <w:ind w:left="720"/>
      <w:contextualSpacing/>
    </w:pPr>
  </w:style>
  <w:style w:type="character" w:styleId="Accentuareintens">
    <w:name w:val="Intense Emphasis"/>
    <w:basedOn w:val="Fontdeparagrafimplicit"/>
    <w:uiPriority w:val="21"/>
    <w:qFormat/>
    <w:rsid w:val="00E538C0"/>
    <w:rPr>
      <w:i/>
      <w:iCs/>
      <w:color w:val="2F5496" w:themeColor="accent1" w:themeShade="BF"/>
    </w:rPr>
  </w:style>
  <w:style w:type="paragraph" w:styleId="Citatintens">
    <w:name w:val="Intense Quote"/>
    <w:basedOn w:val="Normal"/>
    <w:next w:val="Normal"/>
    <w:link w:val="CitatintensCaracter"/>
    <w:uiPriority w:val="30"/>
    <w:qFormat/>
    <w:rsid w:val="00E53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538C0"/>
    <w:rPr>
      <w:rFonts w:cs="Courier New"/>
      <w:i/>
      <w:iCs/>
      <w:color w:val="2F5496" w:themeColor="accent1" w:themeShade="BF"/>
    </w:rPr>
  </w:style>
  <w:style w:type="character" w:styleId="Referireintens">
    <w:name w:val="Intense Reference"/>
    <w:basedOn w:val="Fontdeparagrafimplicit"/>
    <w:uiPriority w:val="32"/>
    <w:qFormat/>
    <w:rsid w:val="00E538C0"/>
    <w:rPr>
      <w:b/>
      <w:bCs/>
      <w:smallCaps/>
      <w:color w:val="2F5496" w:themeColor="accent1" w:themeShade="BF"/>
      <w:spacing w:val="5"/>
    </w:rPr>
  </w:style>
  <w:style w:type="paragraph" w:styleId="Frspaiere">
    <w:name w:val="No Spacing"/>
    <w:link w:val="FrspaiereCaracter"/>
    <w:uiPriority w:val="1"/>
    <w:qFormat/>
    <w:rsid w:val="007B1904"/>
    <w:pPr>
      <w:suppressAutoHyphens/>
    </w:pPr>
    <w:rPr>
      <w:rFonts w:ascii="Times New Roman" w:hAnsi="Times New Roman"/>
      <w:lang w:val="ro-RO" w:eastAsia="ar-SA"/>
    </w:rPr>
  </w:style>
  <w:style w:type="character" w:customStyle="1" w:styleId="FrspaiereCaracter">
    <w:name w:val="Fără spațiere Caracter"/>
    <w:basedOn w:val="Fontdeparagrafimplicit"/>
    <w:link w:val="Frspaiere"/>
    <w:uiPriority w:val="1"/>
    <w:rsid w:val="007B1904"/>
    <w:rPr>
      <w:rFonts w:ascii="Times New Roman" w:hAnsi="Times New Roman"/>
      <w:lang w:val="ro-RO" w:eastAsia="ar-SA"/>
    </w:rPr>
  </w:style>
  <w:style w:type="character" w:styleId="Accentuat">
    <w:name w:val="Emphasis"/>
    <w:basedOn w:val="Fontdeparagrafimplicit"/>
    <w:uiPriority w:val="20"/>
    <w:qFormat/>
    <w:rsid w:val="007B1904"/>
    <w:rPr>
      <w:i/>
      <w:iCs/>
      <w:color w:val="000000" w:themeColor="text1"/>
    </w:rPr>
  </w:style>
  <w:style w:type="paragraph" w:customStyle="1" w:styleId="Standard">
    <w:name w:val="Standard"/>
    <w:qFormat/>
    <w:rsid w:val="007B1904"/>
    <w:pPr>
      <w:widowControl w:val="0"/>
      <w:suppressAutoHyphens/>
      <w:autoSpaceDN w:val="0"/>
    </w:pPr>
    <w:rPr>
      <w:rFonts w:ascii="Times New Roman" w:eastAsia="Andale Sans UI" w:hAnsi="Times New Roman" w:cs="Tahoma"/>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2412</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Chitcani</dc:creator>
  <cp:keywords/>
  <dc:description/>
  <cp:lastModifiedBy>Primaria Chitcani</cp:lastModifiedBy>
  <cp:revision>3</cp:revision>
  <dcterms:created xsi:type="dcterms:W3CDTF">2026-07-17T05:24:00Z</dcterms:created>
  <dcterms:modified xsi:type="dcterms:W3CDTF">2026-07-17T05:25:00Z</dcterms:modified>
</cp:coreProperties>
</file>