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737373"/>
          <w:spacing w:val="20"/>
          <w:sz w:val="16"/>
          <w:szCs w:val="16"/>
        </w:rPr>
        <w:t xml:space="preserve">REPUBLICA MOLDOVA · REFORMA APL · AMALGAMARE VOLUNTARĂ</w:t>
      </w:r>
    </w:p>
    <w:p>
      <w:pPr>
        <w:spacing w:after="60"/>
        <w:jc w:val="center"/>
      </w:pPr>
      <w:r>
        <w:rPr>
          <w:b/>
          <w:bCs/>
          <w:color w:val="1A1A1A"/>
          <w:sz w:val="32"/>
          <w:szCs w:val="32"/>
        </w:rPr>
        <w:t xml:space="preserve">Viziunea cu privire la viitorul UAT</w:t>
      </w:r>
    </w:p>
    <w:p>
      <w:pPr>
        <w:pBdr>
          <w:bottom w:val="single" w:color="1a1a1a" w:sz="8"/>
        </w:pBdr>
        <w:spacing w:after="160"/>
        <w:jc w:val="center"/>
      </w:pPr>
      <w:r>
        <w:rPr>
          <w:color w:val="444444"/>
          <w:sz w:val="22"/>
          <w:szCs w:val="22"/>
        </w:rPr>
        <w:t xml:space="preserve">Ocnița, Hădărăuți, Mihălășeni, Dîngeni, Clocușna</w:t>
      </w:r>
    </w:p>
    <w:p>
      <w:pPr>
        <w:spacing w:after="80"/>
      </w:pPr>
      <w:r>
        <w:rPr>
          <w:b/>
          <w:bCs/>
        </w:rPr>
        <w:t xml:space="preserve">Raion: </w:t>
      </w:r>
      <w:r>
        <w:t xml:space="preserve">Ocnița</w:t>
      </w:r>
      <w:r>
        <w:t xml:space="preserve">  |  </w:t>
      </w:r>
      <w:r>
        <w:rPr>
          <w:b/>
          <w:bCs/>
        </w:rPr>
        <w:t xml:space="preserve">Populație: </w:t>
      </w:r>
      <w:r>
        <w:t xml:space="preserve">6.551 loc.</w:t>
      </w:r>
      <w:r>
        <w:t xml:space="preserve">  |  </w:t>
      </w:r>
      <w:r>
        <w:rPr>
          <w:b/>
          <w:bCs/>
        </w:rPr>
        <w:t xml:space="preserve">Data: </w:t>
      </w:r>
      <w:r>
        <w:t xml:space="preserve">12 iunie 2026</w:t>
      </w:r>
      <w:r>
        <w:t xml:space="preserve">  |  </w:t>
      </w:r>
      <w:r>
        <w:rPr>
          <w:b/>
          <w:bCs/>
        </w:rPr>
        <w:t xml:space="preserve">Facilitator: </w:t>
      </w:r>
      <w:r>
        <w:t xml:space="preserve">—</w:t>
      </w:r>
    </w:p>
    <w:p>
      <w:pPr>
        <w:pStyle w:val="Heading1"/>
        <w:pBdr>
          <w:bottom w:val="single" w:color="E5E5E5" w:sz="4"/>
        </w:pBdr>
        <w:spacing w:after="120" w:before="240"/>
      </w:pPr>
      <w:r>
        <w:t xml:space="preserve">1. Profilul comunității</w:t>
      </w:r>
    </w:p>
    <w:p>
      <w:pPr>
        <w:spacing w:after="80"/>
      </w:pPr>
      <w:r>
        <w:rPr>
          <w:b/>
          <w:bCs/>
        </w:rPr>
        <w:t xml:space="preserve">Localități: </w:t>
      </w:r>
      <w:r>
        <w:t xml:space="preserve">Ocnița, Hădărăuți, Mihălășeni, Dîngeni, Clocușna</w:t>
      </w:r>
    </w:p>
    <w:p>
      <w:pPr>
        <w:spacing w:after="80"/>
      </w:pPr>
      <w:r>
        <w:rPr>
          <w:b/>
          <w:bCs/>
        </w:rPr>
        <w:t xml:space="preserve">Gospodării: </w:t>
      </w:r>
      <w:r>
        <w:t xml:space="preserve">5241</w:t>
      </w:r>
      <w:r>
        <w:t xml:space="preserve">  ·  </w:t>
      </w:r>
      <w:r>
        <w:rPr>
          <w:b/>
          <w:bCs/>
        </w:rPr>
        <w:t xml:space="preserve">Suprafață: </w:t>
      </w:r>
      <w:r>
        <w:t xml:space="preserve">174.29 km²</w:t>
      </w:r>
      <w:r>
        <w:t xml:space="preserve">  ·  </w:t>
      </w:r>
      <w:r>
        <w:rPr>
          <w:b/>
          <w:bCs/>
        </w:rPr>
        <w:t xml:space="preserve">Km drum total: </w:t>
      </w:r>
      <w:r>
        <w:t xml:space="preserve">163.2</w:t>
      </w:r>
    </w:p>
    <w:p>
      <w:pPr>
        <w:pStyle w:val="Heading1"/>
        <w:pBdr>
          <w:bottom w:val="single" w:color="E5E5E5" w:sz="4"/>
        </w:pBdr>
        <w:spacing w:after="120" w:before="240"/>
      </w:pPr>
      <w:r>
        <w:t xml:space="preserve">2. Harta serviciilor — pe fiecare UAT</w:t>
      </w:r>
    </w:p>
    <w:p>
      <w:pPr>
        <w:pStyle w:val="Heading2"/>
        <w:spacing w:after="80" w:before="200"/>
      </w:pPr>
      <w:r>
        <w:t xml:space="preserve">Ocnița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Serviciu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Nivel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Rețea de apă potabilă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2/5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asfaltate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pietruite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Transport public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Iluminat stradal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Grădiniță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4/5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Teren de sport / loc de joacă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4/5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Colectare deșeuri solide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</w:tbl>
    <w:p>
      <w:pPr>
        <w:pStyle w:val="Heading2"/>
        <w:spacing w:after="80" w:before="200"/>
      </w:pPr>
      <w:r>
        <w:t xml:space="preserve">Hădărăuți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Serviciu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Nivel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asfaltate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pietruite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Transport public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2/5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Iluminat stradal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Grădiniță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Teren de sport / loc de joacă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Colectare deșeuri solide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</w:tbl>
    <w:p>
      <w:pPr>
        <w:pStyle w:val="Heading2"/>
        <w:spacing w:after="80" w:before="200"/>
      </w:pPr>
      <w:r>
        <w:t xml:space="preserve">Mihălășeni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Serviciu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Nivel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asfaltate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pietruite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4/5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Transport public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Iluminat stradal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Grădiniță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Teren de sport / loc de joacă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Colectare deșeuri solide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</w:tbl>
    <w:p>
      <w:pPr>
        <w:pStyle w:val="Heading2"/>
        <w:spacing w:after="80" w:before="200"/>
      </w:pPr>
      <w:r>
        <w:t xml:space="preserve">Dîngeni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Serviciu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Nivel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Rețea de apă potabilă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2/5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asfaltate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pietruite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Transport public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2/5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Iluminat stradal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Grădiniță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Teren de sport / loc de joacă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4/5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Colectare deșeuri solide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</w:tbl>
    <w:p>
      <w:pPr>
        <w:pStyle w:val="Heading2"/>
        <w:spacing w:after="80" w:before="200"/>
      </w:pPr>
      <w:r>
        <w:t xml:space="preserve">Clocușna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Serviciu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Nivel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Rețea de apă potabilă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2/5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asfaltate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1/5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Drumuri pietruite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Transport public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3/5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Iluminat stradal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Grădiniță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Teren de sport / loc de joacă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5/5</w:t>
            </w:r>
          </w:p>
        </w:tc>
      </w:tr>
      <w:tr>
        <w:tc>
          <w:tcPr>
            <w:tcW w:type="dxa" w:w="6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Colectare deșeuri solide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Nivel 4/5</w:t>
            </w:r>
          </w:p>
        </w:tc>
      </w:tr>
    </w:tbl>
    <w:p>
      <w:pPr>
        <w:spacing w:after="80"/>
      </w:pPr>
      <w:r>
        <w:rPr>
          <w:i/>
          <w:iCs/>
        </w:rPr>
        <w:t xml:space="preserve">Observație: Serviciul de alimentare cu apă potabilă este lipsă din majoritatea UAT-urilor din cluster, cu excepția comunei Dîngeni; Drmurile locale sunt într-o stare nesatisfăcătoare și va necesită resurse considerabile după dezvoltarea sistemului de alimentare cu apă; Necesitatea completării iluminatului stradal cu corpuri de iluminat LED puternice, eficiente energetic și conectarea la rețeaua de alimentare cu energie electrică. </w:t>
      </w:r>
    </w:p>
    <w:p>
      <w:pPr>
        <w:pStyle w:val="Heading1"/>
        <w:pBdr>
          <w:bottom w:val="single" w:color="E5E5E5" w:sz="4"/>
        </w:pBdr>
        <w:spacing w:after="120" w:before="240"/>
      </w:pPr>
      <w:r>
        <w:t xml:space="preserve">3. Priorități comune (5)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#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Prioritate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Extinderea rețelei de apă potabilă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2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Reabilitarea drumurilor și infrastructurii rutiere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3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Gestionarea deșeurilor solide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4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Servicii administrative digitale (CUPS / online)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5</w:t>
            </w:r>
          </w:p>
        </w:tc>
        <w:tc>
          <w:tcPr>
            <w:tcW w:type="dxa" w:w="83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Atragerea investițiilor și fondurilor UE</w:t>
            </w:r>
          </w:p>
        </w:tc>
      </w:tr>
    </w:tbl>
    <w:p>
      <w:pPr>
        <w:pStyle w:val="Heading1"/>
        <w:pBdr>
          <w:bottom w:val="single" w:color="E5E5E5" w:sz="4"/>
        </w:pBdr>
        <w:spacing w:after="120" w:before="240"/>
      </w:pPr>
      <w:r>
        <w:t xml:space="preserve">4. Priorități specifice per localitate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Localitate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Priorități specifice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Ocnița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Reabilitarea Centrului de cultură Lidia Martînovschi; Reabilitarea Stadionului Sportiv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Hădărăuți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Înființarea Centrului comunitar multifuncțional; Panouri fotvoltaice pentru instituțiile publice.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Mihălășeni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Înființarea centrului comunitar multifuncțional
Reabilitarea blocului sanitar la Casa de Cultură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Dîngeni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Reabilitarea Casei de Cultură
Reabilitarea și modernizarea Celntrului Comunitar Social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Clocușna</w:t>
            </w:r>
          </w:p>
        </w:tc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Reabilitarea Casei de Cultură inclusiv sistemul sanitar
Crearea muzeului ”Emil Loteanu”
</w:t>
            </w:r>
          </w:p>
        </w:tc>
      </w:tr>
    </w:tbl>
    <w:p>
      <w:pPr>
        <w:pStyle w:val="Heading1"/>
        <w:pBdr>
          <w:bottom w:val="single" w:color="E5E5E5" w:sz="4"/>
        </w:pBdr>
        <w:spacing w:after="120" w:before="240"/>
      </w:pPr>
      <w:r>
        <w:t xml:space="preserve">5. Estimare bugetară orientativă</w:t>
      </w:r>
    </w:p>
    <w:p>
      <w:pPr>
        <w:spacing w:after="80"/>
      </w:pPr>
      <w:r>
        <w:rPr>
          <w:b/>
          <w:bCs/>
        </w:rPr>
        <w:t xml:space="preserve">Stimulentul 2: </w:t>
      </w:r>
      <w:r>
        <w:t xml:space="preserve">6.551 loc. × 3.000 MDL = 19.653.000 MDL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Prioritate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Cost estimat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Surse finanțare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solid"/>
          </w:tcPr>
          <w:p>
            <w:r>
              <w:rPr>
                <w:b/>
                <w:bCs/>
                <w:color w:val="1a1a1a"/>
              </w:rPr>
              <w:t xml:space="preserve">Orizont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1. Extinderea rețelei de apă potabilă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&gt; 10 mil. MDL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Fonduri UE (FEDR/PNRR), Fond Amalgamare Voluntară, FNDRL, Buget local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1–3 ani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2. Reabilitarea drumurilor și infrastructurii rutiere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&gt; 10 mil. MDL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Buget local, Fond Amalgamare Voluntară, Fonduri UE (FEDR/PNRR), FNDRL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1–3 ani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3. Gestionarea deșeurilor solide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500 000 – 2 000 000 MDL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Fonduri UE (FEDR/PNRR), Buget local, FNDRL, Parteneriat public-privat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1–3 ani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4. Servicii administrative digitale (CUPS / online)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100 000 – 500 000 MDL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Buget local, Donatori bilaterali, Fond Amalgamare Voluntară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 an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5. Atragerea investițiilor și fondurilor 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100 000 – 500 000 MDL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Fond Amalgamare Voluntară, Buget local, Donatori bilaterali, Fonduri UE (FEDR/PNRR)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5E5E5" w:sz="4"/>
              <w:right w:val="none" w:color="FFFFFF" w:sz="0"/>
            </w:tcBorders>
          </w:tcPr>
          <w:p>
            <w:r>
              <w:t xml:space="preserve">3–5 ani</w:t>
            </w:r>
          </w:p>
        </w:tc>
      </w:tr>
    </w:tbl>
    <w:p>
      <w:pPr>
        <w:spacing w:after="80"/>
      </w:pPr>
      <w:r>
        <w:rPr>
          <w:b/>
          <w:bCs/>
        </w:rPr>
        <w:t xml:space="preserve">Buget local cumulat: </w:t>
      </w:r>
      <w:r>
        <w:t xml:space="preserve">48.781.000 MDL</w:t>
      </w:r>
    </w:p>
    <w:p>
      <w:pPr>
        <w:pStyle w:val="Heading2"/>
        <w:spacing w:after="80" w:before="200"/>
      </w:pPr>
      <w:r>
        <w:t xml:space="preserve">Nevoi de transport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Introducerea sau extinderea unei rute de microbuz</w:t>
      </w:r>
    </w:p>
    <w:p>
      <w:pPr>
        <w:pStyle w:val="Heading1"/>
        <w:pBdr>
          <w:bottom w:val="single" w:color="E5E5E5" w:sz="4"/>
        </w:pBdr>
        <w:spacing w:after="120" w:before="240"/>
      </w:pPr>
      <w:r>
        <w:t xml:space="preserve">Angajament</w:t>
      </w:r>
    </w:p>
    <w:p>
      <w:pPr>
        <w:spacing w:after="400"/>
      </w:pPr>
      <w:r>
        <w:t xml:space="preserve">Grupul de lucru se angajează să consulte cetățenii din toate localitățile cu privire la această Agendă și să o prezinte Consiliilor locale pentru aprobare înainte de finalizarea procesului de amalgamare voluntară.</w:t>
      </w:r>
    </w:p>
    <w:p>
      <w:pPr>
        <w:spacing w:after="200"/>
      </w:pPr>
      <w:r>
        <w:rPr>
          <w:b/>
          <w:bCs/>
        </w:rPr>
        <w:t xml:space="preserve">Semnat în cadrul ședinței grupului de lucru: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0"/>
            </w:pPr>
            <w:r>
              <w:t xml:space="preserve"/>
            </w:r>
          </w:p>
          <w:p>
            <w:pPr>
              <w:pBdr>
                <w:top w:val="single" w:color="333333" w:sz="6"/>
              </w:pBdr>
            </w:pPr>
            <w:r>
              <w:rPr>
                <w:color w:val="666666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0"/>
            </w:pPr>
            <w:r>
              <w:t xml:space="preserve"/>
            </w:r>
          </w:p>
          <w:p>
            <w:pPr>
              <w:pBdr>
                <w:top w:val="single" w:color="333333" w:sz="6"/>
              </w:pBdr>
            </w:pPr>
            <w:r>
              <w:rPr>
                <w:color w:val="666666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0"/>
            </w:pPr>
            <w:r>
              <w:t xml:space="preserve"/>
            </w:r>
          </w:p>
          <w:p>
            <w:pPr>
              <w:pBdr>
                <w:top w:val="single" w:color="333333" w:sz="6"/>
              </w:pBdr>
            </w:pPr>
            <w:r>
              <w:rPr>
                <w:color w:val="666666"/>
                <w:sz w:val="16"/>
                <w:szCs w:val="16"/>
              </w:rPr>
              <w:t xml:space="preserve">—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a1a1a"/>
      <w:sz w:val="24"/>
      <w:szCs w:val="24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Ocnița, Hădărăuți, Mihălășeni, Dîngeni, Clocușna</dc:title>
  <dc:creator>AmalgaDoc 1.1</dc:creator>
  <dc:description>Agenda Priorităților Comune — Reforma APL Moldova</dc:description>
  <cp:lastModifiedBy>Un-named</cp:lastModifiedBy>
  <cp:revision>1</cp:revision>
  <dcterms:created xsi:type="dcterms:W3CDTF">2026-06-12T10:27:59.911Z</dcterms:created>
  <dcterms:modified xsi:type="dcterms:W3CDTF">2026-06-12T10:27:59.911Z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