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1B38" w14:textId="77777777" w:rsidR="00C45531" w:rsidRPr="008B2788" w:rsidRDefault="00000000" w:rsidP="008B2788">
      <w:pPr>
        <w:pStyle w:val="Corptext"/>
        <w:ind w:right="138"/>
        <w:jc w:val="center"/>
        <w:rPr>
          <w:sz w:val="22"/>
          <w:szCs w:val="22"/>
        </w:rPr>
      </w:pPr>
      <w:r w:rsidRPr="008B2788">
        <w:rPr>
          <w:sz w:val="22"/>
          <w:szCs w:val="22"/>
        </w:rPr>
        <w:t>Nota</w:t>
      </w:r>
      <w:r w:rsidRPr="008B2788">
        <w:rPr>
          <w:spacing w:val="-1"/>
          <w:sz w:val="22"/>
          <w:szCs w:val="22"/>
        </w:rPr>
        <w:t xml:space="preserve"> </w:t>
      </w:r>
      <w:r w:rsidRPr="008B2788">
        <w:rPr>
          <w:sz w:val="22"/>
          <w:szCs w:val="22"/>
        </w:rPr>
        <w:t>de</w:t>
      </w:r>
      <w:r w:rsidRPr="008B2788">
        <w:rPr>
          <w:spacing w:val="-2"/>
          <w:sz w:val="22"/>
          <w:szCs w:val="22"/>
        </w:rPr>
        <w:t xml:space="preserve"> fundamentare</w:t>
      </w:r>
    </w:p>
    <w:p w14:paraId="0A978D44" w14:textId="77777777" w:rsidR="00470226" w:rsidRPr="008B2788" w:rsidRDefault="00470226" w:rsidP="008B2788">
      <w:pPr>
        <w:pStyle w:val="Corptext"/>
        <w:ind w:left="158" w:right="304" w:firstLine="4"/>
        <w:jc w:val="center"/>
        <w:rPr>
          <w:sz w:val="22"/>
          <w:szCs w:val="22"/>
        </w:rPr>
      </w:pPr>
      <w:r w:rsidRPr="008B2788">
        <w:rPr>
          <w:sz w:val="22"/>
          <w:szCs w:val="22"/>
        </w:rPr>
        <w:t xml:space="preserve">la </w:t>
      </w:r>
      <w:r w:rsidR="00BA68E5" w:rsidRPr="008B2788">
        <w:rPr>
          <w:sz w:val="22"/>
          <w:szCs w:val="22"/>
        </w:rPr>
        <w:t>proiectul de Lege privind modificarea</w:t>
      </w:r>
    </w:p>
    <w:p w14:paraId="6C891499" w14:textId="6ADF10E2" w:rsidR="00C45531" w:rsidRPr="008B2788" w:rsidRDefault="00BA68E5" w:rsidP="008B2788">
      <w:pPr>
        <w:pStyle w:val="Corptext"/>
        <w:ind w:left="158" w:right="304" w:firstLine="4"/>
        <w:jc w:val="center"/>
        <w:rPr>
          <w:sz w:val="22"/>
          <w:szCs w:val="22"/>
        </w:rPr>
      </w:pPr>
      <w:r w:rsidRPr="008B2788">
        <w:rPr>
          <w:sz w:val="22"/>
          <w:szCs w:val="22"/>
        </w:rPr>
        <w:t xml:space="preserve"> Legii nr. 209/2016 privind deșeurile. </w:t>
      </w:r>
    </w:p>
    <w:p w14:paraId="61E828F1" w14:textId="77777777" w:rsidR="00C45531" w:rsidRPr="008B2788" w:rsidRDefault="00C45531" w:rsidP="008B2788">
      <w:pPr>
        <w:spacing w:after="1"/>
        <w:rPr>
          <w:b/>
        </w:rPr>
      </w:pPr>
    </w:p>
    <w:tbl>
      <w:tblPr>
        <w:tblStyle w:val="TableNormal1"/>
        <w:tblW w:w="101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0"/>
      </w:tblGrid>
      <w:tr w:rsidR="00C45531" w:rsidRPr="008B2788" w14:paraId="5F6A1976" w14:textId="77777777" w:rsidTr="00501964">
        <w:trPr>
          <w:trHeight w:val="20"/>
        </w:trPr>
        <w:tc>
          <w:tcPr>
            <w:tcW w:w="10170" w:type="dxa"/>
            <w:shd w:val="clear" w:color="auto" w:fill="D1D1D1"/>
          </w:tcPr>
          <w:p w14:paraId="22778D07" w14:textId="42117EA6" w:rsidR="00C45531" w:rsidRPr="008B2788" w:rsidRDefault="00000000" w:rsidP="008B2788">
            <w:pPr>
              <w:pStyle w:val="TableParagraph"/>
              <w:jc w:val="left"/>
              <w:rPr>
                <w:b/>
              </w:rPr>
            </w:pPr>
            <w:r w:rsidRPr="008B2788">
              <w:rPr>
                <w:b/>
              </w:rPr>
              <w:t>1.</w:t>
            </w:r>
            <w:r w:rsidRPr="008B2788">
              <w:rPr>
                <w:b/>
                <w:spacing w:val="-4"/>
              </w:rPr>
              <w:t xml:space="preserve"> </w:t>
            </w:r>
            <w:r w:rsidRPr="008B2788">
              <w:rPr>
                <w:b/>
              </w:rPr>
              <w:t>Denumirea</w:t>
            </w:r>
            <w:r w:rsidRPr="008B2788">
              <w:rPr>
                <w:b/>
                <w:spacing w:val="-6"/>
              </w:rPr>
              <w:t xml:space="preserve"> </w:t>
            </w:r>
            <w:r w:rsidR="006A2864" w:rsidRPr="008B2788">
              <w:rPr>
                <w:b/>
                <w:spacing w:val="-6"/>
              </w:rPr>
              <w:t xml:space="preserve">sau numele </w:t>
            </w:r>
            <w:r w:rsidRPr="008B2788">
              <w:rPr>
                <w:b/>
              </w:rPr>
              <w:t>autorului</w:t>
            </w:r>
            <w:r w:rsidRPr="008B2788">
              <w:rPr>
                <w:b/>
                <w:spacing w:val="-3"/>
              </w:rPr>
              <w:t xml:space="preserve"> </w:t>
            </w:r>
            <w:r w:rsidRPr="008B2788">
              <w:rPr>
                <w:b/>
              </w:rPr>
              <w:t>și,</w:t>
            </w:r>
            <w:r w:rsidRPr="008B2788">
              <w:rPr>
                <w:b/>
                <w:spacing w:val="-4"/>
              </w:rPr>
              <w:t xml:space="preserve"> </w:t>
            </w:r>
            <w:r w:rsidRPr="008B2788">
              <w:rPr>
                <w:b/>
              </w:rPr>
              <w:t>după</w:t>
            </w:r>
            <w:r w:rsidRPr="008B2788">
              <w:rPr>
                <w:b/>
                <w:spacing w:val="-3"/>
              </w:rPr>
              <w:t xml:space="preserve"> </w:t>
            </w:r>
            <w:r w:rsidRPr="008B2788">
              <w:rPr>
                <w:b/>
              </w:rPr>
              <w:t>caz,</w:t>
            </w:r>
            <w:r w:rsidRPr="008B2788">
              <w:rPr>
                <w:b/>
                <w:spacing w:val="-6"/>
              </w:rPr>
              <w:t xml:space="preserve"> </w:t>
            </w:r>
            <w:r w:rsidRPr="008B2788">
              <w:rPr>
                <w:b/>
              </w:rPr>
              <w:t>a</w:t>
            </w:r>
            <w:r w:rsidR="006A2864" w:rsidRPr="008B2788">
              <w:rPr>
                <w:b/>
              </w:rPr>
              <w:t xml:space="preserve">/al </w:t>
            </w:r>
            <w:r w:rsidRPr="008B2788">
              <w:rPr>
                <w:b/>
                <w:spacing w:val="-3"/>
              </w:rPr>
              <w:t xml:space="preserve"> </w:t>
            </w:r>
            <w:r w:rsidRPr="008B2788">
              <w:rPr>
                <w:b/>
              </w:rPr>
              <w:t>participanților</w:t>
            </w:r>
            <w:r w:rsidRPr="008B2788">
              <w:rPr>
                <w:b/>
                <w:spacing w:val="-4"/>
              </w:rPr>
              <w:t xml:space="preserve"> </w:t>
            </w:r>
            <w:r w:rsidRPr="008B2788">
              <w:rPr>
                <w:b/>
              </w:rPr>
              <w:t>la</w:t>
            </w:r>
            <w:r w:rsidRPr="008B2788">
              <w:rPr>
                <w:b/>
                <w:spacing w:val="-6"/>
              </w:rPr>
              <w:t xml:space="preserve"> </w:t>
            </w:r>
            <w:r w:rsidRPr="008B2788">
              <w:rPr>
                <w:b/>
              </w:rPr>
              <w:t>elaborarea</w:t>
            </w:r>
            <w:r w:rsidRPr="008B2788">
              <w:rPr>
                <w:b/>
                <w:spacing w:val="-3"/>
              </w:rPr>
              <w:t xml:space="preserve"> </w:t>
            </w:r>
            <w:r w:rsidRPr="008B2788">
              <w:rPr>
                <w:b/>
                <w:spacing w:val="-2"/>
              </w:rPr>
              <w:t>proiectului</w:t>
            </w:r>
            <w:r w:rsidR="006A2864" w:rsidRPr="008B2788">
              <w:rPr>
                <w:b/>
                <w:spacing w:val="-2"/>
              </w:rPr>
              <w:t xml:space="preserve"> actului normati</w:t>
            </w:r>
            <w:r w:rsidR="0018271B" w:rsidRPr="008B2788">
              <w:rPr>
                <w:b/>
                <w:spacing w:val="-2"/>
              </w:rPr>
              <w:t>v</w:t>
            </w:r>
          </w:p>
        </w:tc>
      </w:tr>
      <w:tr w:rsidR="00C45531" w:rsidRPr="008B2788" w14:paraId="65B5DD74" w14:textId="77777777" w:rsidTr="00501964">
        <w:trPr>
          <w:trHeight w:val="20"/>
        </w:trPr>
        <w:tc>
          <w:tcPr>
            <w:tcW w:w="10170" w:type="dxa"/>
          </w:tcPr>
          <w:p w14:paraId="045FAE7E" w14:textId="5D8E4B09" w:rsidR="00C45531" w:rsidRPr="008B2788" w:rsidRDefault="00A35785" w:rsidP="008B2788">
            <w:pPr>
              <w:pStyle w:val="TableParagraph"/>
              <w:ind w:left="270" w:right="271"/>
              <w:rPr>
                <w:lang w:val="pt-BR"/>
              </w:rPr>
            </w:pPr>
            <w:r w:rsidRPr="008B2788">
              <w:rPr>
                <w:lang w:val="it-IT"/>
              </w:rPr>
              <w:t xml:space="preserve">        </w:t>
            </w:r>
            <w:r w:rsidR="00F93A0E" w:rsidRPr="008B2788">
              <w:rPr>
                <w:lang w:val="pt-BR"/>
              </w:rPr>
              <w:t>Proiectul</w:t>
            </w:r>
            <w:r w:rsidR="00470226" w:rsidRPr="008B2788">
              <w:rPr>
                <w:lang w:val="pt-BR"/>
              </w:rPr>
              <w:t xml:space="preserve"> de</w:t>
            </w:r>
            <w:r w:rsidR="00F93A0E" w:rsidRPr="008B2788">
              <w:rPr>
                <w:spacing w:val="41"/>
                <w:lang w:val="pt-BR"/>
              </w:rPr>
              <w:t xml:space="preserve"> </w:t>
            </w:r>
            <w:r w:rsidR="00470226" w:rsidRPr="008B2788">
              <w:rPr>
                <w:lang w:val="pt-BR"/>
              </w:rPr>
              <w:t>L</w:t>
            </w:r>
            <w:r w:rsidR="00F93A0E" w:rsidRPr="008B2788">
              <w:rPr>
                <w:lang w:val="pt-BR"/>
              </w:rPr>
              <w:t>eg</w:t>
            </w:r>
            <w:r w:rsidR="00470226" w:rsidRPr="008B2788">
              <w:rPr>
                <w:lang w:val="pt-BR"/>
              </w:rPr>
              <w:t>e privind modificarea Legii nr. 209/2016 privind deșeurile</w:t>
            </w:r>
            <w:r w:rsidR="00F93A0E" w:rsidRPr="008B2788">
              <w:rPr>
                <w:spacing w:val="40"/>
                <w:lang w:val="pt-BR"/>
              </w:rPr>
              <w:t xml:space="preserve"> </w:t>
            </w:r>
            <w:r w:rsidR="00F93A0E" w:rsidRPr="008B2788">
              <w:rPr>
                <w:lang w:val="pt-BR"/>
              </w:rPr>
              <w:t>a</w:t>
            </w:r>
            <w:r w:rsidR="00F93A0E" w:rsidRPr="008B2788">
              <w:rPr>
                <w:spacing w:val="40"/>
                <w:lang w:val="pt-BR"/>
              </w:rPr>
              <w:t xml:space="preserve"> </w:t>
            </w:r>
            <w:r w:rsidR="00F93A0E" w:rsidRPr="008B2788">
              <w:rPr>
                <w:lang w:val="pt-BR"/>
              </w:rPr>
              <w:t>fost</w:t>
            </w:r>
            <w:r w:rsidR="00F93A0E" w:rsidRPr="008B2788">
              <w:rPr>
                <w:spacing w:val="40"/>
                <w:lang w:val="pt-BR"/>
              </w:rPr>
              <w:t xml:space="preserve"> </w:t>
            </w:r>
            <w:r w:rsidR="00F93A0E" w:rsidRPr="008B2788">
              <w:rPr>
                <w:lang w:val="pt-BR"/>
              </w:rPr>
              <w:t>elaborat</w:t>
            </w:r>
            <w:r w:rsidR="00F93A0E" w:rsidRPr="008B2788">
              <w:rPr>
                <w:spacing w:val="41"/>
                <w:lang w:val="pt-BR"/>
              </w:rPr>
              <w:t xml:space="preserve"> </w:t>
            </w:r>
            <w:r w:rsidR="00F93A0E" w:rsidRPr="008B2788">
              <w:rPr>
                <w:lang w:val="pt-BR"/>
              </w:rPr>
              <w:t>de</w:t>
            </w:r>
            <w:r w:rsidR="00F93A0E" w:rsidRPr="008B2788">
              <w:rPr>
                <w:spacing w:val="40"/>
                <w:lang w:val="pt-BR"/>
              </w:rPr>
              <w:t xml:space="preserve"> </w:t>
            </w:r>
            <w:r w:rsidR="00F93A0E" w:rsidRPr="008B2788">
              <w:rPr>
                <w:lang w:val="pt-BR"/>
              </w:rPr>
              <w:t>către</w:t>
            </w:r>
            <w:r w:rsidR="00F93A0E" w:rsidRPr="008B2788">
              <w:rPr>
                <w:spacing w:val="43"/>
                <w:lang w:val="pt-BR"/>
              </w:rPr>
              <w:t xml:space="preserve"> </w:t>
            </w:r>
            <w:r w:rsidR="00F93A0E" w:rsidRPr="008B2788">
              <w:rPr>
                <w:lang w:val="pt-BR"/>
              </w:rPr>
              <w:t>Ministerul</w:t>
            </w:r>
            <w:r w:rsidR="00F93A0E" w:rsidRPr="008B2788">
              <w:rPr>
                <w:spacing w:val="40"/>
                <w:lang w:val="pt-BR"/>
              </w:rPr>
              <w:t xml:space="preserve"> </w:t>
            </w:r>
            <w:r w:rsidR="00F93A0E" w:rsidRPr="008B2788">
              <w:rPr>
                <w:lang w:val="pt-BR"/>
              </w:rPr>
              <w:t>Mediului</w:t>
            </w:r>
            <w:r w:rsidR="00F93A0E" w:rsidRPr="008B2788">
              <w:rPr>
                <w:spacing w:val="-2"/>
                <w:lang w:val="pt-BR"/>
              </w:rPr>
              <w:t>.</w:t>
            </w:r>
          </w:p>
        </w:tc>
      </w:tr>
      <w:tr w:rsidR="00C45531" w:rsidRPr="008B2788" w14:paraId="7A35E58D" w14:textId="77777777" w:rsidTr="00501964">
        <w:trPr>
          <w:trHeight w:val="20"/>
        </w:trPr>
        <w:tc>
          <w:tcPr>
            <w:tcW w:w="10170" w:type="dxa"/>
            <w:shd w:val="clear" w:color="auto" w:fill="D1D1D1"/>
          </w:tcPr>
          <w:p w14:paraId="0CFDA880" w14:textId="77777777" w:rsidR="00C45531" w:rsidRPr="008B2788" w:rsidRDefault="00000000" w:rsidP="008B2788">
            <w:pPr>
              <w:pStyle w:val="TableParagraph"/>
              <w:jc w:val="left"/>
              <w:rPr>
                <w:b/>
              </w:rPr>
            </w:pPr>
            <w:r w:rsidRPr="008B2788">
              <w:rPr>
                <w:b/>
              </w:rPr>
              <w:t>2.</w:t>
            </w:r>
            <w:r w:rsidRPr="008B2788">
              <w:rPr>
                <w:b/>
                <w:spacing w:val="-4"/>
              </w:rPr>
              <w:t xml:space="preserve"> </w:t>
            </w:r>
            <w:r w:rsidRPr="008B2788">
              <w:rPr>
                <w:b/>
              </w:rPr>
              <w:t>Condițiile</w:t>
            </w:r>
            <w:r w:rsidRPr="008B2788">
              <w:rPr>
                <w:b/>
                <w:spacing w:val="-5"/>
              </w:rPr>
              <w:t xml:space="preserve"> </w:t>
            </w:r>
            <w:r w:rsidRPr="008B2788">
              <w:rPr>
                <w:b/>
              </w:rPr>
              <w:t>ce</w:t>
            </w:r>
            <w:r w:rsidRPr="008B2788">
              <w:rPr>
                <w:b/>
                <w:spacing w:val="-4"/>
              </w:rPr>
              <w:t xml:space="preserve"> </w:t>
            </w:r>
            <w:r w:rsidRPr="008B2788">
              <w:rPr>
                <w:b/>
              </w:rPr>
              <w:t>au</w:t>
            </w:r>
            <w:r w:rsidRPr="008B2788">
              <w:rPr>
                <w:b/>
                <w:spacing w:val="-6"/>
              </w:rPr>
              <w:t xml:space="preserve"> </w:t>
            </w:r>
            <w:r w:rsidRPr="008B2788">
              <w:rPr>
                <w:b/>
              </w:rPr>
              <w:t>impus</w:t>
            </w:r>
            <w:r w:rsidRPr="008B2788">
              <w:rPr>
                <w:b/>
                <w:spacing w:val="-6"/>
              </w:rPr>
              <w:t xml:space="preserve"> </w:t>
            </w:r>
            <w:r w:rsidRPr="008B2788">
              <w:rPr>
                <w:b/>
              </w:rPr>
              <w:t>elaborarea</w:t>
            </w:r>
            <w:r w:rsidRPr="008B2788">
              <w:rPr>
                <w:b/>
                <w:spacing w:val="-6"/>
              </w:rPr>
              <w:t xml:space="preserve"> </w:t>
            </w:r>
            <w:r w:rsidRPr="008B2788">
              <w:rPr>
                <w:b/>
              </w:rPr>
              <w:t>proiectului</w:t>
            </w:r>
            <w:r w:rsidRPr="008B2788">
              <w:rPr>
                <w:b/>
                <w:spacing w:val="-2"/>
              </w:rPr>
              <w:t xml:space="preserve"> </w:t>
            </w:r>
            <w:r w:rsidRPr="008B2788">
              <w:rPr>
                <w:b/>
              </w:rPr>
              <w:t>de</w:t>
            </w:r>
            <w:r w:rsidRPr="008B2788">
              <w:rPr>
                <w:b/>
                <w:spacing w:val="-7"/>
              </w:rPr>
              <w:t xml:space="preserve"> </w:t>
            </w:r>
            <w:r w:rsidRPr="008B2788">
              <w:rPr>
                <w:b/>
              </w:rPr>
              <w:t>act</w:t>
            </w:r>
            <w:r w:rsidRPr="008B2788">
              <w:rPr>
                <w:b/>
                <w:spacing w:val="-2"/>
              </w:rPr>
              <w:t xml:space="preserve"> </w:t>
            </w:r>
            <w:r w:rsidRPr="008B2788">
              <w:rPr>
                <w:b/>
              </w:rPr>
              <w:t>normativ</w:t>
            </w:r>
            <w:r w:rsidRPr="008B2788">
              <w:rPr>
                <w:b/>
                <w:spacing w:val="-7"/>
              </w:rPr>
              <w:t xml:space="preserve"> </w:t>
            </w:r>
            <w:r w:rsidRPr="008B2788">
              <w:rPr>
                <w:b/>
              </w:rPr>
              <w:t>și</w:t>
            </w:r>
            <w:r w:rsidRPr="008B2788">
              <w:rPr>
                <w:b/>
                <w:spacing w:val="-4"/>
              </w:rPr>
              <w:t xml:space="preserve"> </w:t>
            </w:r>
            <w:r w:rsidRPr="008B2788">
              <w:rPr>
                <w:b/>
              </w:rPr>
              <w:t>finalitățile</w:t>
            </w:r>
            <w:r w:rsidRPr="008B2788">
              <w:rPr>
                <w:b/>
                <w:spacing w:val="-5"/>
              </w:rPr>
              <w:t xml:space="preserve"> </w:t>
            </w:r>
            <w:r w:rsidRPr="008B2788">
              <w:rPr>
                <w:b/>
                <w:spacing w:val="-2"/>
              </w:rPr>
              <w:t>urmărite</w:t>
            </w:r>
          </w:p>
        </w:tc>
      </w:tr>
      <w:tr w:rsidR="00C45531" w:rsidRPr="008B2788" w14:paraId="21326CB1" w14:textId="77777777" w:rsidTr="00501964">
        <w:trPr>
          <w:trHeight w:val="20"/>
        </w:trPr>
        <w:tc>
          <w:tcPr>
            <w:tcW w:w="10170" w:type="dxa"/>
            <w:shd w:val="clear" w:color="auto" w:fill="D1D1D1"/>
          </w:tcPr>
          <w:p w14:paraId="00B45520" w14:textId="4C6BE9E6" w:rsidR="00C45531" w:rsidRPr="008B2788" w:rsidRDefault="00000000" w:rsidP="008B2788">
            <w:pPr>
              <w:pStyle w:val="TableParagraph"/>
              <w:numPr>
                <w:ilvl w:val="1"/>
                <w:numId w:val="10"/>
              </w:numPr>
              <w:jc w:val="left"/>
              <w:rPr>
                <w:b/>
                <w:i/>
                <w:iCs/>
              </w:rPr>
            </w:pPr>
            <w:r w:rsidRPr="008B2788">
              <w:rPr>
                <w:b/>
                <w:i/>
                <w:iCs/>
              </w:rPr>
              <w:t>Temeiul</w:t>
            </w:r>
            <w:r w:rsidRPr="008B2788">
              <w:rPr>
                <w:b/>
                <w:i/>
                <w:iCs/>
                <w:spacing w:val="-3"/>
              </w:rPr>
              <w:t xml:space="preserve"> </w:t>
            </w:r>
            <w:r w:rsidRPr="008B2788">
              <w:rPr>
                <w:b/>
                <w:i/>
                <w:iCs/>
              </w:rPr>
              <w:t>legal</w:t>
            </w:r>
            <w:r w:rsidRPr="008B2788">
              <w:rPr>
                <w:b/>
                <w:i/>
                <w:iCs/>
                <w:spacing w:val="-5"/>
              </w:rPr>
              <w:t xml:space="preserve"> </w:t>
            </w:r>
            <w:r w:rsidRPr="008B2788">
              <w:rPr>
                <w:b/>
                <w:i/>
                <w:iCs/>
              </w:rPr>
              <w:t>sau,</w:t>
            </w:r>
            <w:r w:rsidRPr="008B2788">
              <w:rPr>
                <w:b/>
                <w:i/>
                <w:iCs/>
                <w:spacing w:val="-4"/>
              </w:rPr>
              <w:t xml:space="preserve"> </w:t>
            </w:r>
            <w:r w:rsidRPr="008B2788">
              <w:rPr>
                <w:b/>
                <w:i/>
                <w:iCs/>
              </w:rPr>
              <w:t>după</w:t>
            </w:r>
            <w:r w:rsidRPr="008B2788">
              <w:rPr>
                <w:b/>
                <w:i/>
                <w:iCs/>
                <w:spacing w:val="-3"/>
              </w:rPr>
              <w:t xml:space="preserve"> </w:t>
            </w:r>
            <w:r w:rsidRPr="008B2788">
              <w:rPr>
                <w:b/>
                <w:i/>
                <w:iCs/>
              </w:rPr>
              <w:t>caz,</w:t>
            </w:r>
            <w:r w:rsidRPr="008B2788">
              <w:rPr>
                <w:b/>
                <w:i/>
                <w:iCs/>
                <w:spacing w:val="-7"/>
              </w:rPr>
              <w:t xml:space="preserve"> </w:t>
            </w:r>
            <w:r w:rsidRPr="008B2788">
              <w:rPr>
                <w:b/>
                <w:i/>
                <w:iCs/>
              </w:rPr>
              <w:t>sursa</w:t>
            </w:r>
            <w:r w:rsidRPr="008B2788">
              <w:rPr>
                <w:b/>
                <w:i/>
                <w:iCs/>
                <w:spacing w:val="-4"/>
              </w:rPr>
              <w:t xml:space="preserve"> </w:t>
            </w:r>
            <w:r w:rsidRPr="008B2788">
              <w:rPr>
                <w:b/>
                <w:i/>
                <w:iCs/>
              </w:rPr>
              <w:t>proiectului</w:t>
            </w:r>
            <w:r w:rsidRPr="008B2788">
              <w:rPr>
                <w:b/>
                <w:i/>
                <w:iCs/>
                <w:spacing w:val="-3"/>
              </w:rPr>
              <w:t xml:space="preserve"> </w:t>
            </w:r>
            <w:r w:rsidRPr="008B2788">
              <w:rPr>
                <w:b/>
                <w:i/>
                <w:iCs/>
              </w:rPr>
              <w:t>actului</w:t>
            </w:r>
            <w:r w:rsidRPr="008B2788">
              <w:rPr>
                <w:b/>
                <w:i/>
                <w:iCs/>
                <w:spacing w:val="-2"/>
              </w:rPr>
              <w:t xml:space="preserve"> normativ</w:t>
            </w:r>
          </w:p>
        </w:tc>
      </w:tr>
      <w:tr w:rsidR="00C45531" w:rsidRPr="008B2788" w14:paraId="78250E21" w14:textId="77777777" w:rsidTr="00501964">
        <w:trPr>
          <w:trHeight w:val="20"/>
        </w:trPr>
        <w:tc>
          <w:tcPr>
            <w:tcW w:w="10170" w:type="dxa"/>
            <w:vAlign w:val="center"/>
          </w:tcPr>
          <w:p w14:paraId="7F7EEC4E" w14:textId="00F3729F" w:rsidR="000C47D3" w:rsidRPr="008B2788" w:rsidRDefault="00A35785" w:rsidP="008B2788">
            <w:pPr>
              <w:tabs>
                <w:tab w:val="left" w:pos="9360"/>
              </w:tabs>
              <w:ind w:left="360" w:right="176"/>
              <w:jc w:val="both"/>
            </w:pPr>
            <w:r w:rsidRPr="008B2788">
              <w:rPr>
                <w:bCs/>
                <w:lang w:val="ro-MD"/>
              </w:rPr>
              <w:t xml:space="preserve">        </w:t>
            </w:r>
            <w:r w:rsidR="00470226" w:rsidRPr="008B2788">
              <w:rPr>
                <w:bCs/>
                <w:lang w:val="ro-MD"/>
              </w:rPr>
              <w:t xml:space="preserve">Proiectul de Lege pentru modificarea Legii nr.209/2016 privind deșeurile </w:t>
            </w:r>
            <w:r w:rsidR="00470226" w:rsidRPr="008B2788">
              <w:rPr>
                <w:lang w:val="ro-MD"/>
              </w:rPr>
              <w:t>a fost elaborat</w:t>
            </w:r>
            <w:bookmarkStart w:id="0" w:name="_Hlk143688940"/>
            <w:r w:rsidRPr="008B2788">
              <w:rPr>
                <w:lang w:val="ro-MD"/>
              </w:rPr>
              <w:t xml:space="preserve"> </w:t>
            </w:r>
            <w:r w:rsidR="009C6DCC" w:rsidRPr="008B2788">
              <w:t>în temeiul</w:t>
            </w:r>
            <w:r w:rsidR="000C47D3" w:rsidRPr="008B2788">
              <w:t xml:space="preserve"> îndeplinirii angajamentelor ce reies din: </w:t>
            </w:r>
            <w:hyperlink r:id="rId8" w:history="1">
              <w:r w:rsidR="000C47D3" w:rsidRPr="008B2788">
                <w:rPr>
                  <w:rStyle w:val="Hyperlink"/>
                  <w:color w:val="auto"/>
                </w:rPr>
                <w:t>Programul național de aderare a Republicii Moldova la Uniunea Europeană</w:t>
              </w:r>
            </w:hyperlink>
            <w:r w:rsidR="000C47D3" w:rsidRPr="008B2788">
              <w:t xml:space="preserve"> pentru anii 2025-2029, aprobat prin Hotărârea Guvernului nr. 306/2025, </w:t>
            </w:r>
            <w:hyperlink r:id="rId9" w:history="1">
              <w:r w:rsidR="000C47D3" w:rsidRPr="008B2788">
                <w:rPr>
                  <w:rStyle w:val="Hyperlink"/>
                  <w:color w:val="auto"/>
                </w:rPr>
                <w:t>Clusterul 4</w:t>
              </w:r>
              <w:r w:rsidR="0028472D" w:rsidRPr="008B2788">
                <w:rPr>
                  <w:rStyle w:val="Hyperlink"/>
                  <w:color w:val="auto"/>
                </w:rPr>
                <w:t xml:space="preserve"> </w:t>
              </w:r>
              <w:r w:rsidR="000C47D3" w:rsidRPr="008B2788">
                <w:rPr>
                  <w:rStyle w:val="Hyperlink"/>
                  <w:color w:val="auto"/>
                </w:rPr>
                <w:t>„Agenda verde și conectivitatea sustenabilă</w:t>
              </w:r>
              <w:r w:rsidR="0028472D" w:rsidRPr="008B2788">
                <w:rPr>
                  <w:rStyle w:val="Hyperlink"/>
                  <w:color w:val="auto"/>
                </w:rPr>
                <w:t>, Capitolul 27 ,,Mediu și schimbări climatice</w:t>
              </w:r>
              <w:r w:rsidR="000C47D3" w:rsidRPr="008B2788">
                <w:rPr>
                  <w:rStyle w:val="Hyperlink"/>
                  <w:color w:val="auto"/>
                </w:rPr>
                <w:t>”</w:t>
              </w:r>
            </w:hyperlink>
            <w:r w:rsidR="000C47D3" w:rsidRPr="008B2788">
              <w:t>,  Anexa A, acțiun</w:t>
            </w:r>
            <w:r w:rsidR="0028472D" w:rsidRPr="008B2788">
              <w:t>ile</w:t>
            </w:r>
            <w:r w:rsidR="000C47D3" w:rsidRPr="008B2788">
              <w:t xml:space="preserve"> nr. </w:t>
            </w:r>
            <w:r w:rsidR="0028472D" w:rsidRPr="008B2788">
              <w:t xml:space="preserve"> 33 și </w:t>
            </w:r>
            <w:r w:rsidR="000C47D3" w:rsidRPr="008B2788">
              <w:t>41.</w:t>
            </w:r>
          </w:p>
          <w:p w14:paraId="18C21E74" w14:textId="21887A54" w:rsidR="00DC280B" w:rsidRPr="008B2788" w:rsidRDefault="00A35785" w:rsidP="008B2788">
            <w:pPr>
              <w:tabs>
                <w:tab w:val="left" w:pos="9360"/>
              </w:tabs>
              <w:ind w:left="360" w:right="176"/>
              <w:jc w:val="both"/>
            </w:pPr>
            <w:r w:rsidRPr="008B2788">
              <w:rPr>
                <w:lang w:val="ro-MD"/>
              </w:rPr>
              <w:t xml:space="preserve">       </w:t>
            </w:r>
            <w:r w:rsidR="00DC280B" w:rsidRPr="008B2788">
              <w:rPr>
                <w:lang w:val="ro-MD"/>
              </w:rPr>
              <w:t xml:space="preserve">Proiectul de lege este elaborat </w:t>
            </w:r>
            <w:r w:rsidR="00470226" w:rsidRPr="008B2788">
              <w:rPr>
                <w:lang w:val="ro-MD"/>
              </w:rPr>
              <w:t>urmare a necesității de a completa și îmbunătăți prevederile Legii nr. 209/2016 privind deșeurile</w:t>
            </w:r>
            <w:bookmarkEnd w:id="0"/>
            <w:r w:rsidR="00470226" w:rsidRPr="008B2788">
              <w:rPr>
                <w:lang w:val="ro-MD"/>
              </w:rPr>
              <w:t>, în contextul reglementării activităților de gestionare a deșeurilor</w:t>
            </w:r>
            <w:bookmarkStart w:id="1" w:name="_Hlk143688344"/>
            <w:r w:rsidR="00DC280B" w:rsidRPr="008B2788">
              <w:rPr>
                <w:lang w:val="ro-MD"/>
              </w:rPr>
              <w:t xml:space="preserve"> și</w:t>
            </w:r>
            <w:r w:rsidR="00470226" w:rsidRPr="008B2788">
              <w:rPr>
                <w:lang w:val="ro-MD"/>
              </w:rPr>
              <w:t xml:space="preserve"> a </w:t>
            </w:r>
            <w:bookmarkEnd w:id="1"/>
            <w:r w:rsidR="007D2EAB" w:rsidRPr="008B2788">
              <w:t>angajamentului</w:t>
            </w:r>
            <w:r w:rsidR="00470226" w:rsidRPr="008B2788">
              <w:t xml:space="preserve"> </w:t>
            </w:r>
            <w:r w:rsidR="00BE4E72" w:rsidRPr="008B2788">
              <w:t>Republic</w:t>
            </w:r>
            <w:r w:rsidR="007D2EAB" w:rsidRPr="008B2788">
              <w:t>ii</w:t>
            </w:r>
            <w:r w:rsidR="00BE4E72" w:rsidRPr="008B2788">
              <w:t xml:space="preserve"> Moldova, în calitate de stat candidat la aderarea la Uniunea Europeană, </w:t>
            </w:r>
            <w:r w:rsidR="00470226" w:rsidRPr="008B2788">
              <w:t xml:space="preserve">ce </w:t>
            </w:r>
            <w:r w:rsidR="00BE4E72" w:rsidRPr="008B2788">
              <w:t>a parcurs în anul 2024 procesul de autoevaluare (self-screening) a nivelului de conformitate a legislației naționale cu acquis-</w:t>
            </w:r>
            <w:proofErr w:type="spellStart"/>
            <w:r w:rsidR="00BE4E72" w:rsidRPr="008B2788">
              <w:t>ul</w:t>
            </w:r>
            <w:proofErr w:type="spellEnd"/>
            <w:r w:rsidR="00BE4E72" w:rsidRPr="008B2788">
              <w:t xml:space="preserve"> Uniunii Europene</w:t>
            </w:r>
            <w:r w:rsidR="00470226" w:rsidRPr="008B2788">
              <w:t>,</w:t>
            </w:r>
            <w:r w:rsidR="00BE4E72" w:rsidRPr="008B2788">
              <w:t xml:space="preserve"> aferentă Clusterului 4 „Agenda verde și conectivitatea sustenabilă”, Capitolul 27 „Mediu și schimbări climatice”</w:t>
            </w:r>
            <w:r w:rsidR="00470226" w:rsidRPr="008B2788">
              <w:t>.</w:t>
            </w:r>
          </w:p>
          <w:p w14:paraId="554DDABC" w14:textId="17B1F299" w:rsidR="00470226" w:rsidRPr="008B2788" w:rsidRDefault="00DC280B" w:rsidP="008B2788">
            <w:pPr>
              <w:tabs>
                <w:tab w:val="left" w:pos="9360"/>
              </w:tabs>
              <w:ind w:left="360" w:right="176"/>
              <w:jc w:val="both"/>
            </w:pPr>
            <w:r w:rsidRPr="008B2788">
              <w:t xml:space="preserve">        </w:t>
            </w:r>
            <w:r w:rsidR="00470226" w:rsidRPr="008B2788">
              <w:t>Urmare a</w:t>
            </w:r>
            <w:r w:rsidR="00BE4E72" w:rsidRPr="008B2788">
              <w:t xml:space="preserve"> evaluărilor realizate în cadrul acest</w:t>
            </w:r>
            <w:r w:rsidR="00470226" w:rsidRPr="008B2788">
              <w:t>ui</w:t>
            </w:r>
            <w:r w:rsidR="00BE4E72" w:rsidRPr="008B2788">
              <w:t xml:space="preserve"> exerciți</w:t>
            </w:r>
            <w:r w:rsidR="00470226" w:rsidRPr="008B2788">
              <w:t>u</w:t>
            </w:r>
            <w:r w:rsidR="00BE4E72" w:rsidRPr="008B2788">
              <w:t xml:space="preserve">, </w:t>
            </w:r>
            <w:r w:rsidR="00AA179F" w:rsidRPr="008B2788">
              <w:t>s-a constatat necesitatea completării și ajustării cadrului normativ primar pentru transpunerea și/sau preluarea cerințelor relevante din următoarele acte ale Uniunii Europene</w:t>
            </w:r>
            <w:bookmarkStart w:id="2" w:name="_Hlk131507000"/>
            <w:r w:rsidRPr="008B2788">
              <w:t>.</w:t>
            </w:r>
          </w:p>
          <w:p w14:paraId="64AEDAFE" w14:textId="62A617F7" w:rsidR="0024362C" w:rsidRPr="008B2788" w:rsidRDefault="0024362C" w:rsidP="008B2788">
            <w:pPr>
              <w:ind w:left="720" w:right="176" w:hanging="720"/>
              <w:jc w:val="both"/>
              <w:rPr>
                <w:lang w:val="ro-MD"/>
              </w:rPr>
            </w:pPr>
            <w:r w:rsidRPr="008B2788">
              <w:rPr>
                <w:b/>
                <w:bCs/>
                <w:lang w:val="ro-MD"/>
              </w:rPr>
              <w:t xml:space="preserve">       • Directivei 2008/98/UE </w:t>
            </w:r>
            <w:r w:rsidRPr="008B2788">
              <w:rPr>
                <w:lang w:val="ro-MD"/>
              </w:rPr>
              <w:t>a Parlamentului European și a Consiliului din 19 noiembrie 2008</w:t>
            </w:r>
            <w:r w:rsidR="00A87337" w:rsidRPr="008B2788">
              <w:rPr>
                <w:lang w:val="ro-MD"/>
              </w:rPr>
              <w:t xml:space="preserve"> </w:t>
            </w:r>
            <w:r w:rsidRPr="008B2788">
              <w:rPr>
                <w:lang w:val="ro-MD"/>
              </w:rPr>
              <w:t xml:space="preserve">privind   deșeurile și de abrogare a anumitor directive, publicată în Jurnalul Oficial al Uniunii Europene (JO)  seria L 312 din 22 noiembrie 2008, </w:t>
            </w:r>
            <w:r w:rsidR="000C47D3" w:rsidRPr="008B2788">
              <w:rPr>
                <w:lang w:val="ro-MD"/>
              </w:rPr>
              <w:t>(</w:t>
            </w:r>
            <w:r w:rsidRPr="008B2788">
              <w:rPr>
                <w:lang w:val="ro-MD"/>
              </w:rPr>
              <w:t>CELEX</w:t>
            </w:r>
            <w:r w:rsidR="000C47D3" w:rsidRPr="008B2788">
              <w:rPr>
                <w:lang w:val="ro-MD"/>
              </w:rPr>
              <w:t>:</w:t>
            </w:r>
            <w:r w:rsidRPr="008B2788">
              <w:rPr>
                <w:lang w:val="ro-MD"/>
              </w:rPr>
              <w:t xml:space="preserve"> </w:t>
            </w:r>
            <w:hyperlink r:id="rId10" w:tgtFrame="_blank" w:history="1">
              <w:r w:rsidRPr="008B2788">
                <w:rPr>
                  <w:rStyle w:val="Hyperlink"/>
                  <w:color w:val="auto"/>
                  <w:lang w:val="ro-MD"/>
                </w:rPr>
                <w:t>32008L0098</w:t>
              </w:r>
            </w:hyperlink>
            <w:r w:rsidR="000C47D3" w:rsidRPr="008B2788">
              <w:t>)</w:t>
            </w:r>
            <w:r w:rsidRPr="008B2788">
              <w:rPr>
                <w:lang w:val="ro-MD"/>
              </w:rPr>
              <w:t xml:space="preserve">, astfel cum a fost modificată ultima dată prin </w:t>
            </w:r>
            <w:r w:rsidRPr="008B2788">
              <w:rPr>
                <w:b/>
                <w:bCs/>
                <w:lang w:val="ro-MD"/>
              </w:rPr>
              <w:t>Directiva (UE) 2025/1892</w:t>
            </w:r>
            <w:r w:rsidRPr="008B2788">
              <w:rPr>
                <w:lang w:val="ro-MD"/>
              </w:rPr>
              <w:t xml:space="preserve"> a Parlamentului European și a Consiliului din 10 septembrie 2025 de modificare a Directivei 2008/98/CE privind deșeurile, </w:t>
            </w:r>
            <w:r w:rsidR="000C47D3" w:rsidRPr="008B2788">
              <w:rPr>
                <w:lang w:val="ro-MD"/>
              </w:rPr>
              <w:t>(</w:t>
            </w:r>
            <w:r w:rsidRPr="008B2788">
              <w:rPr>
                <w:lang w:val="ro-MD"/>
              </w:rPr>
              <w:t>CELEX</w:t>
            </w:r>
            <w:r w:rsidR="000C47D3" w:rsidRPr="008B2788">
              <w:rPr>
                <w:lang w:val="ro-MD"/>
              </w:rPr>
              <w:t>:</w:t>
            </w:r>
            <w:r w:rsidRPr="008B2788">
              <w:rPr>
                <w:lang w:val="ro-MD"/>
              </w:rPr>
              <w:t xml:space="preserve"> </w:t>
            </w:r>
            <w:hyperlink r:id="rId11" w:history="1">
              <w:r w:rsidRPr="008B2788">
                <w:rPr>
                  <w:rStyle w:val="Hyperlink"/>
                  <w:color w:val="auto"/>
                  <w:lang w:val="ro-MD"/>
                </w:rPr>
                <w:t>32025L1892</w:t>
              </w:r>
            </w:hyperlink>
            <w:r w:rsidR="000C47D3" w:rsidRPr="008B2788">
              <w:t>)</w:t>
            </w:r>
            <w:r w:rsidRPr="008B2788">
              <w:rPr>
                <w:lang w:val="ro-MD"/>
              </w:rPr>
              <w:t>, publicată în Jurnalul Oficial al Uniunii Europene (JO)</w:t>
            </w:r>
            <w:r w:rsidR="00CA49ED" w:rsidRPr="008B2788">
              <w:rPr>
                <w:lang w:val="ro-MD"/>
              </w:rPr>
              <w:t xml:space="preserve"> </w:t>
            </w:r>
            <w:r w:rsidRPr="008B2788">
              <w:rPr>
                <w:lang w:val="ro-MD"/>
              </w:rPr>
              <w:t>seria L.1892din data de 26 septembrie 2025;</w:t>
            </w:r>
          </w:p>
          <w:p w14:paraId="0D5B9973" w14:textId="694E331E" w:rsidR="004E2A03" w:rsidRPr="008B2788" w:rsidRDefault="00DC280B" w:rsidP="008B2788">
            <w:pPr>
              <w:widowControl/>
              <w:numPr>
                <w:ilvl w:val="0"/>
                <w:numId w:val="14"/>
              </w:numPr>
              <w:autoSpaceDE/>
              <w:autoSpaceDN/>
              <w:ind w:right="176"/>
              <w:jc w:val="both"/>
              <w:rPr>
                <w:lang w:val="ro-MD"/>
              </w:rPr>
            </w:pPr>
            <w:r w:rsidRPr="008B2788">
              <w:rPr>
                <w:b/>
                <w:bCs/>
              </w:rPr>
              <w:t>Directivei (UE) 2019/904</w:t>
            </w:r>
            <w:r w:rsidRPr="008B2788">
              <w:t xml:space="preserve"> a Parlamentului European și a Consiliului din 5 iunie 2019 privind reducerea impactului anumitor produse din plastic asupra mediului (Text cu relevanță pentru SEE), publicat în Jurnalul Oficial al Uniunii Europene </w:t>
            </w:r>
            <w:r w:rsidR="002B3087" w:rsidRPr="008B2788">
              <w:t xml:space="preserve">(JO) </w:t>
            </w:r>
            <w:r w:rsidRPr="008B2788">
              <w:t>seria L 155 din 12.6.2019 (CELEX:</w:t>
            </w:r>
            <w:hyperlink r:id="rId12" w:history="1">
              <w:r w:rsidRPr="008B2788">
                <w:rPr>
                  <w:rStyle w:val="Hyperlink"/>
                  <w:color w:val="auto"/>
                </w:rPr>
                <w:t xml:space="preserve"> 32019L0904</w:t>
              </w:r>
            </w:hyperlink>
            <w:r w:rsidRPr="008B2788">
              <w:t>);</w:t>
            </w:r>
          </w:p>
          <w:p w14:paraId="7924AD97" w14:textId="11A2230E" w:rsidR="00AD65BE" w:rsidRPr="008B2788" w:rsidRDefault="00DC280B" w:rsidP="008B2788">
            <w:pPr>
              <w:widowControl/>
              <w:numPr>
                <w:ilvl w:val="0"/>
                <w:numId w:val="14"/>
              </w:numPr>
              <w:autoSpaceDE/>
              <w:autoSpaceDN/>
              <w:ind w:right="176"/>
              <w:jc w:val="both"/>
              <w:rPr>
                <w:lang w:val="ro-MD"/>
              </w:rPr>
            </w:pPr>
            <w:r w:rsidRPr="008B2788">
              <w:rPr>
                <w:b/>
                <w:bCs/>
              </w:rPr>
              <w:t>Directiva 1999/31/CE</w:t>
            </w:r>
            <w:r w:rsidRPr="008B2788">
              <w:t xml:space="preserve"> a Consiliului din 26 aprilie 1999 privind depozitele de deșeuri (CELEX:</w:t>
            </w:r>
            <w:r w:rsidR="000C47D3" w:rsidRPr="008B2788">
              <w:t xml:space="preserve"> </w:t>
            </w:r>
            <w:hyperlink r:id="rId13" w:history="1">
              <w:r w:rsidRPr="008B2788">
                <w:rPr>
                  <w:rStyle w:val="Hyperlink"/>
                  <w:color w:val="auto"/>
                </w:rPr>
                <w:t>31999L0031</w:t>
              </w:r>
            </w:hyperlink>
            <w:r w:rsidRPr="008B2788">
              <w:t>)</w:t>
            </w:r>
            <w:r w:rsidR="00477CD3" w:rsidRPr="008B2788">
              <w:t xml:space="preserve"> modificată prin Directiva (UE) 2024/1785 a Parlamentului European și al Comisiei din 24 aprilie 2024, publicată în Jurnalul Oficial al Uniunii Europene (JO) seria L</w:t>
            </w:r>
            <w:r w:rsidR="00F65EDE" w:rsidRPr="008B2788">
              <w:t xml:space="preserve"> 1785</w:t>
            </w:r>
            <w:r w:rsidR="00477CD3" w:rsidRPr="008B2788">
              <w:t xml:space="preserve"> din 15 iulie 2024</w:t>
            </w:r>
            <w:r w:rsidR="0024362C" w:rsidRPr="008B2788">
              <w:t>;</w:t>
            </w:r>
          </w:p>
          <w:p w14:paraId="1D8225D4" w14:textId="5D250A30" w:rsidR="00AD65BE" w:rsidRPr="008D7C19" w:rsidRDefault="00AD65BE" w:rsidP="008B2788">
            <w:pPr>
              <w:widowControl/>
              <w:numPr>
                <w:ilvl w:val="0"/>
                <w:numId w:val="14"/>
              </w:numPr>
              <w:autoSpaceDE/>
              <w:autoSpaceDN/>
              <w:ind w:right="176"/>
              <w:jc w:val="both"/>
              <w:rPr>
                <w:lang w:val="ro-MD"/>
              </w:rPr>
            </w:pPr>
            <w:r w:rsidRPr="008B2788">
              <w:rPr>
                <w:b/>
                <w:bCs/>
              </w:rPr>
              <w:t>Decizia Comisiei din 19 februarie 2001</w:t>
            </w:r>
            <w:r w:rsidRPr="008B2788">
              <w:t xml:space="preserve"> de stabilire a condițiilor derogatorii pentru ambalajele din sticlă de la nivelul concentrației de metale grele stabilit prin Directiva 94/62/CE privind ambalajele și deșeurile din ambalaje, </w:t>
            </w:r>
            <w:r w:rsidR="008D7C19" w:rsidRPr="008D7C19">
              <w:rPr>
                <w:rFonts w:eastAsia="SimSun"/>
                <w:u w:val="single"/>
                <w:lang w:val="ro-MD" w:eastAsia="ru-RU"/>
              </w:rPr>
              <w:t>(</w:t>
            </w:r>
            <w:r w:rsidR="001F14A3" w:rsidRPr="008D7C19">
              <w:rPr>
                <w:rFonts w:eastAsia="SimSun"/>
                <w:u w:val="single"/>
                <w:lang w:val="ro-MD" w:eastAsia="ru-RU"/>
              </w:rPr>
              <w:t>32001</w:t>
            </w:r>
            <w:r w:rsidR="00AA60BF" w:rsidRPr="008D7C19">
              <w:rPr>
                <w:rFonts w:eastAsia="SimSun"/>
                <w:u w:val="single"/>
                <w:lang w:val="ro-MD" w:eastAsia="ru-RU"/>
              </w:rPr>
              <w:t>D</w:t>
            </w:r>
            <w:r w:rsidR="001F14A3" w:rsidRPr="008D7C19">
              <w:rPr>
                <w:rFonts w:eastAsia="SimSun"/>
                <w:u w:val="single"/>
                <w:lang w:val="ro-MD" w:eastAsia="ru-RU"/>
              </w:rPr>
              <w:t>0171</w:t>
            </w:r>
            <w:r w:rsidR="008D7C19" w:rsidRPr="008D7C19">
              <w:rPr>
                <w:rFonts w:eastAsia="SimSun"/>
                <w:u w:val="single"/>
                <w:lang w:val="ro-MD" w:eastAsia="ru-RU"/>
              </w:rPr>
              <w:t>)</w:t>
            </w:r>
            <w:r w:rsidR="00AB1F99" w:rsidRPr="008D7C19">
              <w:rPr>
                <w:rFonts w:eastAsia="SimSun"/>
                <w:lang w:val="ro-MD" w:eastAsia="ru-RU"/>
              </w:rPr>
              <w:t xml:space="preserve"> </w:t>
            </w:r>
            <w:r w:rsidRPr="008B2788">
              <w:t xml:space="preserve">publicată în Jurnalul Oficial al Uniunii Europene (JO) seria L </w:t>
            </w:r>
            <w:r w:rsidR="00AA60BF" w:rsidRPr="008D7C19">
              <w:t>062</w:t>
            </w:r>
            <w:r w:rsidR="00AA60BF">
              <w:rPr>
                <w:color w:val="EE0000"/>
              </w:rPr>
              <w:t xml:space="preserve"> </w:t>
            </w:r>
            <w:r w:rsidRPr="008D7C19">
              <w:t xml:space="preserve">din </w:t>
            </w:r>
            <w:r w:rsidR="00AA60BF" w:rsidRPr="008D7C19">
              <w:t>02 martie 2021</w:t>
            </w:r>
            <w:r w:rsidR="008D7C19" w:rsidRPr="008D7C19">
              <w:t>:</w:t>
            </w:r>
          </w:p>
          <w:p w14:paraId="45B09851" w14:textId="174F83CC" w:rsidR="000C47D3" w:rsidRPr="008B2788" w:rsidRDefault="000C47D3" w:rsidP="008B2788">
            <w:pPr>
              <w:widowControl/>
              <w:numPr>
                <w:ilvl w:val="0"/>
                <w:numId w:val="14"/>
              </w:numPr>
              <w:autoSpaceDE/>
              <w:autoSpaceDN/>
              <w:ind w:right="176"/>
              <w:jc w:val="both"/>
              <w:rPr>
                <w:lang w:val="ro-MD"/>
              </w:rPr>
            </w:pPr>
            <w:r w:rsidRPr="008B2788">
              <w:rPr>
                <w:b/>
                <w:bCs/>
                <w:shd w:val="clear" w:color="auto" w:fill="FFFFFF"/>
              </w:rPr>
              <w:t>Decizia Comisiei din 24 martie 2009</w:t>
            </w:r>
            <w:r w:rsidRPr="008B2788">
              <w:rPr>
                <w:shd w:val="clear" w:color="auto" w:fill="FFFFFF"/>
              </w:rPr>
              <w:t xml:space="preserve"> de stabilire a condițiilor derogatorii pentru lăzile din plastic și </w:t>
            </w:r>
            <w:proofErr w:type="spellStart"/>
            <w:r w:rsidRPr="008B2788">
              <w:rPr>
                <w:shd w:val="clear" w:color="auto" w:fill="FFFFFF"/>
              </w:rPr>
              <w:t>paleții</w:t>
            </w:r>
            <w:proofErr w:type="spellEnd"/>
            <w:r w:rsidRPr="008B2788">
              <w:rPr>
                <w:shd w:val="clear" w:color="auto" w:fill="FFFFFF"/>
              </w:rPr>
              <w:t xml:space="preserve"> din plastic de la nivelurile de concentrație în metale grele stabilite prin Directiva 94/62/CE a Parlamentului European și a Consiliului privind ambalajele și deșeurile din ambalaje </w:t>
            </w:r>
            <w:hyperlink r:id="rId14" w:history="1">
              <w:r w:rsidR="006026AB" w:rsidRPr="008B2788">
                <w:rPr>
                  <w:rStyle w:val="Hyperlink"/>
                  <w:rFonts w:eastAsia="SimSun"/>
                  <w:color w:val="auto"/>
                  <w:shd w:val="clear" w:color="auto" w:fill="FFFFFF"/>
                  <w:lang w:val="ro-MD" w:eastAsia="ru-RU"/>
                </w:rPr>
                <w:t>(CELEX:32009D0292</w:t>
              </w:r>
            </w:hyperlink>
            <w:r w:rsidR="006026AB" w:rsidRPr="008B2788">
              <w:rPr>
                <w:rFonts w:eastAsia="SimSun"/>
                <w:shd w:val="clear" w:color="auto" w:fill="FFFFFF"/>
                <w:lang w:eastAsia="ru-RU"/>
              </w:rPr>
              <w:t>)</w:t>
            </w:r>
            <w:r w:rsidRPr="008B2788">
              <w:rPr>
                <w:shd w:val="clear" w:color="auto" w:fill="FFFFFF"/>
              </w:rPr>
              <w:t>,</w:t>
            </w:r>
            <w:r w:rsidRPr="008B2788">
              <w:rPr>
                <w:b/>
                <w:bCs/>
                <w:shd w:val="clear" w:color="auto" w:fill="FFFFFF"/>
              </w:rPr>
              <w:t xml:space="preserve"> </w:t>
            </w:r>
            <w:r w:rsidRPr="008B2788">
              <w:t>publicată în Jurnalul Oficial al Uniunii Europene (JO) seria L 79/44 din 25 martie 2009.</w:t>
            </w:r>
          </w:p>
          <w:p w14:paraId="3F70F68B" w14:textId="02C80604" w:rsidR="00132F0B" w:rsidRPr="008B2788" w:rsidRDefault="00132F0B" w:rsidP="008B2788">
            <w:pPr>
              <w:widowControl/>
              <w:numPr>
                <w:ilvl w:val="0"/>
                <w:numId w:val="14"/>
              </w:numPr>
              <w:autoSpaceDE/>
              <w:autoSpaceDN/>
              <w:ind w:right="176"/>
              <w:jc w:val="both"/>
              <w:rPr>
                <w:lang w:val="ro-MD"/>
              </w:rPr>
            </w:pPr>
            <w:r w:rsidRPr="008B2788">
              <w:rPr>
                <w:b/>
                <w:bCs/>
                <w:shd w:val="clear" w:color="auto" w:fill="FFFFFF"/>
              </w:rPr>
              <w:t xml:space="preserve">Regulamentul (UE) 2025/40 </w:t>
            </w:r>
            <w:r w:rsidRPr="008B2788">
              <w:rPr>
                <w:shd w:val="clear" w:color="auto" w:fill="FFFFFF"/>
              </w:rPr>
              <w:t>al Parlamentului European și al Consiliului din 19 decembrie 2024 privind ambalajele și deșeurile de ambalaje, de modificare a Regulamentului (UE) 2019/1020 și a Directivei (UE) 2019/904 și de abrogare a Directivei 94/62/CE (Text cu relevanță pentru SEE);</w:t>
            </w:r>
            <w:r w:rsidRPr="008B2788">
              <w:rPr>
                <w:b/>
                <w:bCs/>
                <w:shd w:val="clear" w:color="auto" w:fill="FFFFFF"/>
              </w:rPr>
              <w:t xml:space="preserve"> </w:t>
            </w:r>
            <w:r w:rsidRPr="008B2788">
              <w:rPr>
                <w:rFonts w:eastAsia="SimSun"/>
                <w:b/>
                <w:bCs/>
                <w:lang w:val="ro-MD" w:eastAsia="ru-RU"/>
              </w:rPr>
              <w:t xml:space="preserve"> </w:t>
            </w:r>
            <w:hyperlink r:id="rId15" w:history="1">
              <w:r w:rsidRPr="008B2788">
                <w:rPr>
                  <w:rStyle w:val="Hyperlink"/>
                  <w:rFonts w:eastAsia="SimSun"/>
                  <w:color w:val="auto"/>
                  <w:lang w:val="ro-MD" w:eastAsia="ru-RU"/>
                </w:rPr>
                <w:t>(CELEX:32025R0040</w:t>
              </w:r>
            </w:hyperlink>
            <w:r w:rsidRPr="008B2788">
              <w:rPr>
                <w:rFonts w:eastAsia="SimSun"/>
                <w:lang w:val="ro-MD" w:eastAsia="ru-RU"/>
              </w:rPr>
              <w:t>);</w:t>
            </w:r>
            <w:r w:rsidRPr="008B2788">
              <w:rPr>
                <w:rFonts w:eastAsia="SimSun"/>
                <w:b/>
                <w:bCs/>
                <w:lang w:val="ro-MD" w:eastAsia="ru-RU"/>
              </w:rPr>
              <w:t xml:space="preserve"> </w:t>
            </w:r>
          </w:p>
          <w:p w14:paraId="1DD15DC9" w14:textId="089F58AE" w:rsidR="00132F0B" w:rsidRPr="008B2788" w:rsidRDefault="00132F0B" w:rsidP="008B2788">
            <w:pPr>
              <w:widowControl/>
              <w:numPr>
                <w:ilvl w:val="0"/>
                <w:numId w:val="14"/>
              </w:numPr>
              <w:autoSpaceDE/>
              <w:autoSpaceDN/>
              <w:ind w:right="176"/>
              <w:jc w:val="both"/>
              <w:rPr>
                <w:lang w:val="ro-MD"/>
              </w:rPr>
            </w:pPr>
            <w:r w:rsidRPr="008B2788">
              <w:rPr>
                <w:b/>
                <w:bCs/>
                <w:shd w:val="clear" w:color="auto" w:fill="FFFFFF"/>
              </w:rPr>
              <w:t xml:space="preserve">Regulamentul (UE) 2023/1542 </w:t>
            </w:r>
            <w:r w:rsidRPr="008B2788">
              <w:rPr>
                <w:shd w:val="clear" w:color="auto" w:fill="FFFFFF"/>
              </w:rPr>
              <w:t xml:space="preserve">al Parlamentului European și al Consiliului din 12 iulie 2023 privind bateriile și deșeurile de baterii, de modificare a Directivei 2008/98/CE și a Regulamentului (UE) 2019/1020 și de abrogare a Directivei 2006/66/CE (Text cu relevanță pentru SEE) </w:t>
            </w:r>
            <w:hyperlink r:id="rId16" w:history="1">
              <w:r w:rsidRPr="008B2788">
                <w:rPr>
                  <w:rStyle w:val="Hyperlink"/>
                  <w:color w:val="auto"/>
                  <w:shd w:val="clear" w:color="auto" w:fill="FFFFFF"/>
                </w:rPr>
                <w:t>(CELEX:02023R1542</w:t>
              </w:r>
            </w:hyperlink>
            <w:r w:rsidRPr="008B2788">
              <w:rPr>
                <w:rFonts w:eastAsia="SimSun"/>
                <w:lang w:val="ro-MD" w:eastAsia="ru-RU"/>
              </w:rPr>
              <w:t>);</w:t>
            </w:r>
          </w:p>
          <w:p w14:paraId="6DA6200B" w14:textId="48D49B7E" w:rsidR="00132F0B" w:rsidRPr="008B2788" w:rsidRDefault="00132F0B" w:rsidP="008B2788">
            <w:pPr>
              <w:widowControl/>
              <w:numPr>
                <w:ilvl w:val="0"/>
                <w:numId w:val="14"/>
              </w:numPr>
              <w:autoSpaceDE/>
              <w:autoSpaceDN/>
              <w:ind w:right="176"/>
              <w:jc w:val="both"/>
              <w:rPr>
                <w:lang w:val="ro-MD"/>
              </w:rPr>
            </w:pPr>
            <w:r w:rsidRPr="008B2788">
              <w:rPr>
                <w:rFonts w:eastAsia="SimSun"/>
                <w:b/>
                <w:bCs/>
                <w:lang w:val="ro-MD" w:eastAsia="ru-RU"/>
              </w:rPr>
              <w:t>Directiva 1987/217/CEE</w:t>
            </w:r>
            <w:r w:rsidRPr="008B2788">
              <w:rPr>
                <w:rFonts w:eastAsia="SimSun"/>
                <w:lang w:val="ro-MD" w:eastAsia="ru-RU"/>
              </w:rPr>
              <w:t xml:space="preserve"> a Consiliului din 19 martie 1987 privind prevenirea poluării mediului cu azbest  (CELEX: 01897L0217) modificată prin Directiva Consiliului  din 23 decembrie 1991 de standardizare și raționalizare a rapoartelor privind aplicarea anumitor directive referitoare la mediu a Parlamentului European și al Comișelului, publicată în Jurnalul Oficial al Uniunii Europene (JO) seria L </w:t>
            </w:r>
            <w:r w:rsidRPr="008B2788">
              <w:rPr>
                <w:rFonts w:eastAsia="SimSun"/>
                <w:lang w:val="ro-MD" w:eastAsia="ru-RU"/>
              </w:rPr>
              <w:lastRenderedPageBreak/>
              <w:t>377 din 31.12 1991;</w:t>
            </w:r>
          </w:p>
          <w:p w14:paraId="5DFC0C71" w14:textId="77777777" w:rsidR="00132F0B" w:rsidRPr="008B2788" w:rsidRDefault="00132F0B" w:rsidP="008B2788">
            <w:pPr>
              <w:widowControl/>
              <w:autoSpaceDE/>
              <w:autoSpaceDN/>
              <w:ind w:left="360" w:right="176"/>
              <w:jc w:val="both"/>
              <w:rPr>
                <w:lang w:val="ro-MD"/>
              </w:rPr>
            </w:pPr>
          </w:p>
          <w:p w14:paraId="183A0D34" w14:textId="483E1777" w:rsidR="00AA179F" w:rsidRPr="008B2788" w:rsidRDefault="00AA179F" w:rsidP="008B2788">
            <w:pPr>
              <w:widowControl/>
              <w:autoSpaceDE/>
              <w:autoSpaceDN/>
              <w:ind w:left="360" w:right="176"/>
              <w:jc w:val="both"/>
              <w:rPr>
                <w:lang w:val="ro-MD"/>
              </w:rPr>
            </w:pPr>
            <w:r w:rsidRPr="008B2788">
              <w:rPr>
                <w:lang w:val="ro-MD"/>
              </w:rPr>
              <w:t>Intervenția legislativă este determinată de necesitatea consolidării Legii nr. 209/2016 privind deșeurile, în calitate de lege-cadru în domeniul gestionării deșeurilor, precum și de necesitatea asigurării compatibilității cadrului normativ național cu acquis-</w:t>
            </w:r>
            <w:proofErr w:type="spellStart"/>
            <w:r w:rsidRPr="008B2788">
              <w:rPr>
                <w:lang w:val="ro-MD"/>
              </w:rPr>
              <w:t>ul</w:t>
            </w:r>
            <w:proofErr w:type="spellEnd"/>
            <w:r w:rsidRPr="008B2788">
              <w:rPr>
                <w:lang w:val="ro-MD"/>
              </w:rPr>
              <w:t xml:space="preserve"> Uniunii Europene în domeniul prevenirii generării deșeurilor, aplicării ierarhiei deșeurilor, colectării separate, responsabilității extinse a producătorului, reducerii impactului anumitor produse din plastic asupra mediului, reducerii eliminării prin depozitare și gestionării fluxurilor specifice de deșeuri.</w:t>
            </w:r>
          </w:p>
          <w:p w14:paraId="753AA249" w14:textId="77777777" w:rsidR="00823399" w:rsidRPr="008B2788" w:rsidRDefault="00823399" w:rsidP="008B2788">
            <w:pPr>
              <w:widowControl/>
              <w:autoSpaceDE/>
              <w:autoSpaceDN/>
              <w:ind w:left="360" w:right="176"/>
              <w:jc w:val="both"/>
              <w:rPr>
                <w:lang w:val="ro-MD"/>
              </w:rPr>
            </w:pPr>
          </w:p>
          <w:p w14:paraId="414562F0" w14:textId="77777777" w:rsidR="00823399" w:rsidRPr="008B2788" w:rsidRDefault="00823399" w:rsidP="008B2788">
            <w:pPr>
              <w:widowControl/>
              <w:autoSpaceDE/>
              <w:autoSpaceDN/>
              <w:ind w:left="360" w:right="176"/>
              <w:jc w:val="both"/>
              <w:rPr>
                <w:lang w:val="ro-MD"/>
              </w:rPr>
            </w:pPr>
            <w:r w:rsidRPr="008B2788">
              <w:rPr>
                <w:lang w:val="ro-MD"/>
              </w:rPr>
              <w:t>Totodată, se precizează că, la etapa actuală, prezentul proiect de lege nu are ca obiect preluarea integrală a Regulamentului (UE) 2025/40 al Parlamentului European și al Consiliului din 19 decembrie 2024 privind ambalajele și deșeurile de ambalaje și a Regulamentului (UE) 2023/1542 al Parlamentului European și al Consiliului din 12 iulie 2023 privind bateriile și deșeurile de baterii.</w:t>
            </w:r>
          </w:p>
          <w:p w14:paraId="1DF169C1" w14:textId="77777777" w:rsidR="00823399" w:rsidRPr="008B2788" w:rsidRDefault="00823399" w:rsidP="008B2788">
            <w:pPr>
              <w:widowControl/>
              <w:autoSpaceDE/>
              <w:autoSpaceDN/>
              <w:ind w:left="360" w:right="176"/>
              <w:jc w:val="both"/>
              <w:rPr>
                <w:lang w:val="ro-MD"/>
              </w:rPr>
            </w:pPr>
          </w:p>
          <w:p w14:paraId="5172DF6A" w14:textId="77777777" w:rsidR="00823399" w:rsidRPr="008B2788" w:rsidRDefault="00823399" w:rsidP="008B2788">
            <w:pPr>
              <w:widowControl/>
              <w:autoSpaceDE/>
              <w:autoSpaceDN/>
              <w:ind w:left="360" w:right="176"/>
              <w:jc w:val="both"/>
              <w:rPr>
                <w:lang w:val="ro-MD"/>
              </w:rPr>
            </w:pPr>
            <w:r w:rsidRPr="008B2788">
              <w:rPr>
                <w:lang w:val="ro-MD"/>
              </w:rPr>
              <w:t>Regulamentele menționate au un caracter complex, tehnic și intersectorial, reglementând atât cerințe aplicabile produselor plasate pe piață, cât și obligații privind proiectarea, sustenabilitatea, etichetarea, conformitatea, responsabilitatea extinsă a producătorului, raportarea, supravegherea pieței, trasabilitatea și mecanismele administrative de implementare. Stabilirea la această etapă, direct în Legea nr. 209/2016, a tuturor prevederilor-cadru necesare pentru aplicarea acestor două regulamente ar crea riscul unui cadru normativ incomplet, necorelat sau suprapus cu viitoarele acte normative naționale specializate.</w:t>
            </w:r>
          </w:p>
          <w:p w14:paraId="3EF1B83B" w14:textId="77777777" w:rsidR="00823399" w:rsidRPr="008B2788" w:rsidRDefault="00823399" w:rsidP="008B2788">
            <w:pPr>
              <w:widowControl/>
              <w:autoSpaceDE/>
              <w:autoSpaceDN/>
              <w:ind w:left="360" w:right="176"/>
              <w:jc w:val="both"/>
              <w:rPr>
                <w:lang w:val="ro-MD"/>
              </w:rPr>
            </w:pPr>
          </w:p>
          <w:p w14:paraId="499182B7" w14:textId="77777777" w:rsidR="005C0FA1" w:rsidRPr="008B2788" w:rsidRDefault="00823399" w:rsidP="008B2788">
            <w:pPr>
              <w:widowControl/>
              <w:autoSpaceDE/>
              <w:autoSpaceDN/>
              <w:ind w:left="360" w:right="176"/>
              <w:jc w:val="both"/>
              <w:rPr>
                <w:lang w:val="ro-MD"/>
              </w:rPr>
            </w:pPr>
            <w:r w:rsidRPr="008B2788">
              <w:rPr>
                <w:lang w:val="ro-MD"/>
              </w:rPr>
              <w:t>Din aceste considerente, alinierea cadrului normativ național la Regulamentul (UE) 2025/40 și la Regulamentul (UE) 2023/1542 se va realiza prin elaborarea și promovarea a două acte normative naționale distincte</w:t>
            </w:r>
            <w:r w:rsidR="008A32E2" w:rsidRPr="008B2788">
              <w:rPr>
                <w:lang w:val="ro-MD"/>
              </w:rPr>
              <w:t>.</w:t>
            </w:r>
            <w:r w:rsidRPr="008B2788">
              <w:rPr>
                <w:lang w:val="ro-MD"/>
              </w:rPr>
              <w:t xml:space="preserve"> După elaborarea proiectelor respective, va fi determinat cu exactitate necesarul de modificare și completare a Legii nr. 209/2016 privind deșeurile, inclusiv în partea ce ține de noțiuni, competențe instituționale, responsabilitatea extinsă a producătorului, înregistrare, autorizare, raportare, control și sancțiuni.</w:t>
            </w:r>
            <w:bookmarkEnd w:id="2"/>
          </w:p>
          <w:p w14:paraId="70794A52" w14:textId="4FC00AF4" w:rsidR="00926CE9" w:rsidRPr="008B2788" w:rsidRDefault="00926CE9" w:rsidP="008B2788">
            <w:pPr>
              <w:widowControl/>
              <w:autoSpaceDE/>
              <w:autoSpaceDN/>
              <w:ind w:left="360" w:right="176"/>
              <w:jc w:val="both"/>
              <w:rPr>
                <w:b/>
                <w:bCs/>
              </w:rPr>
            </w:pPr>
          </w:p>
        </w:tc>
      </w:tr>
      <w:tr w:rsidR="006A2864" w:rsidRPr="008B2788" w14:paraId="26071ADA" w14:textId="77777777" w:rsidTr="00501964">
        <w:trPr>
          <w:trHeight w:val="20"/>
        </w:trPr>
        <w:tc>
          <w:tcPr>
            <w:tcW w:w="10170" w:type="dxa"/>
            <w:shd w:val="clear" w:color="auto" w:fill="D1D1D1"/>
          </w:tcPr>
          <w:p w14:paraId="217BD0D4" w14:textId="7E43F5D2" w:rsidR="006A2864" w:rsidRPr="008B2788" w:rsidRDefault="006A2864" w:rsidP="008B2788">
            <w:pPr>
              <w:pStyle w:val="TableParagraph"/>
              <w:ind w:left="720" w:hanging="270"/>
              <w:jc w:val="left"/>
              <w:rPr>
                <w:b/>
                <w:bCs/>
                <w:i/>
                <w:iCs/>
              </w:rPr>
            </w:pPr>
            <w:r w:rsidRPr="008B2788">
              <w:rPr>
                <w:b/>
                <w:bCs/>
                <w:i/>
                <w:iCs/>
              </w:rPr>
              <w:lastRenderedPageBreak/>
              <w:t xml:space="preserve">2.2. Descrierea situației actuale și a problemelor care impun intervenția, inclusiv a cadrului normativ aplicabil și a deficiențelor/lacunelor normative </w:t>
            </w:r>
          </w:p>
        </w:tc>
      </w:tr>
      <w:tr w:rsidR="00CF2B14" w:rsidRPr="008B2788" w14:paraId="6D33BB97" w14:textId="77777777" w:rsidTr="00501964">
        <w:trPr>
          <w:trHeight w:val="20"/>
        </w:trPr>
        <w:tc>
          <w:tcPr>
            <w:tcW w:w="10170" w:type="dxa"/>
            <w:shd w:val="clear" w:color="auto" w:fill="FFFFFF" w:themeFill="background1"/>
          </w:tcPr>
          <w:p w14:paraId="2DEBB613" w14:textId="77777777" w:rsidR="006C0A7E" w:rsidRPr="008B2788" w:rsidRDefault="006C0A7E" w:rsidP="008B2788">
            <w:pPr>
              <w:widowControl/>
              <w:autoSpaceDE/>
              <w:autoSpaceDN/>
              <w:ind w:left="450" w:right="166"/>
              <w:jc w:val="both"/>
              <w:rPr>
                <w:lang w:val="ro-MD"/>
              </w:rPr>
            </w:pPr>
          </w:p>
          <w:p w14:paraId="4C4389F8" w14:textId="6F3721C8" w:rsidR="00F21EFB" w:rsidRPr="008B2788" w:rsidRDefault="00D5592F" w:rsidP="008B2788">
            <w:pPr>
              <w:widowControl/>
              <w:autoSpaceDE/>
              <w:autoSpaceDN/>
              <w:ind w:left="450" w:right="166"/>
              <w:jc w:val="both"/>
            </w:pPr>
            <w:r w:rsidRPr="008B2788">
              <w:t>Analiza gradului de compatibilitate cu acquis-</w:t>
            </w:r>
            <w:proofErr w:type="spellStart"/>
            <w:r w:rsidRPr="008B2788">
              <w:t>ul</w:t>
            </w:r>
            <w:proofErr w:type="spellEnd"/>
            <w:r w:rsidRPr="008B2788">
              <w:t xml:space="preserve"> Uniunii Europene a evidențiat necesitatea completării Legii nr. 209/2016 privind deșeurile cu prevederi suplimentare pentru asigurarea cadrului juridic primar necesar transpunerii Directivei 2008/98/CE privind deșeurile, inclusiv a ultimelor modificări operate prin Directiva (UE) 2025/1892, a Directivei (UE) 2019/904 privind reducerea impactului anumitor produse din plastic asupra mediului, a Directivei 1999/31/CE privind depozitele de deșeuri, astfel cum a fost modificată, precum și a deciziilor Comisiei privind condițiile derogatorii aplicabile ambalajelor din sticlă, lăzilor din plastic și </w:t>
            </w:r>
            <w:proofErr w:type="spellStart"/>
            <w:r w:rsidRPr="008B2788">
              <w:t>paleților</w:t>
            </w:r>
            <w:proofErr w:type="spellEnd"/>
            <w:r w:rsidRPr="008B2788">
              <w:t xml:space="preserve"> din plastic de la nivelurile de concentrație în metale grele stabilite pentru ambalaje.</w:t>
            </w:r>
          </w:p>
          <w:p w14:paraId="5610BF57" w14:textId="77777777" w:rsidR="00F21EFB" w:rsidRPr="008B2788" w:rsidRDefault="00F21EFB" w:rsidP="008B2788">
            <w:pPr>
              <w:widowControl/>
              <w:autoSpaceDE/>
              <w:autoSpaceDN/>
              <w:ind w:left="450" w:right="166"/>
              <w:jc w:val="both"/>
            </w:pPr>
          </w:p>
          <w:p w14:paraId="429E0186" w14:textId="7B80F6D6" w:rsidR="00C904C8" w:rsidRPr="008B2788" w:rsidRDefault="002419C2" w:rsidP="008B2788">
            <w:pPr>
              <w:widowControl/>
              <w:autoSpaceDE/>
              <w:autoSpaceDN/>
              <w:ind w:left="450" w:right="166"/>
              <w:jc w:val="both"/>
            </w:pPr>
            <w:r w:rsidRPr="008B2788">
              <w:t>Problemele identificate vizează atât necesitatea transpunerii unor cerințe noi sau actualizate ale legislației Uniunii Europene, cât și necesitatea consolidării mecanismelor naționale de autorizare, raportare, trasabilitate, responsabilitate extinsă a producătorului și control. În acest context, modificarea Legii nr. 209/2016 privind deșeurile este necesară pentru asigurarea unui cadru juridic primar coerent, previzibil și suficient de cuprinzător, care să permită aplicarea ulterioară a măsurilor tehnice și instituționale prin acte normative subsecvente. Mai jos se este oferită descrierea situației actuale și a problemelor care impun intervenția, pe domenii.</w:t>
            </w:r>
          </w:p>
          <w:p w14:paraId="2BCF3811" w14:textId="77777777" w:rsidR="002419C2" w:rsidRPr="008B2788" w:rsidRDefault="002419C2" w:rsidP="008B2788">
            <w:pPr>
              <w:widowControl/>
              <w:autoSpaceDE/>
              <w:autoSpaceDN/>
              <w:ind w:left="450" w:right="166"/>
              <w:jc w:val="both"/>
            </w:pPr>
          </w:p>
          <w:p w14:paraId="5D0526AE" w14:textId="0F538AE1" w:rsidR="001F311E" w:rsidRPr="008B2788" w:rsidRDefault="001F311E" w:rsidP="008B2788">
            <w:pPr>
              <w:widowControl/>
              <w:autoSpaceDE/>
              <w:autoSpaceDN/>
              <w:ind w:left="450" w:right="166"/>
              <w:jc w:val="both"/>
              <w:rPr>
                <w:i/>
                <w:iCs/>
              </w:rPr>
            </w:pPr>
            <w:r w:rsidRPr="008B2788">
              <w:rPr>
                <w:i/>
                <w:iCs/>
              </w:rPr>
              <w:t>Aplicarea ierarhiei deșeurilor și prevenirea generării deșeurilor</w:t>
            </w:r>
          </w:p>
          <w:p w14:paraId="29A9DAE5" w14:textId="77777777" w:rsidR="001F311E" w:rsidRPr="008B2788" w:rsidRDefault="001F311E" w:rsidP="008B2788">
            <w:pPr>
              <w:widowControl/>
              <w:autoSpaceDE/>
              <w:autoSpaceDN/>
              <w:ind w:left="450" w:right="166"/>
              <w:jc w:val="both"/>
            </w:pPr>
          </w:p>
          <w:p w14:paraId="58F4D9A9" w14:textId="2581034C" w:rsidR="00325D35" w:rsidRDefault="001F311E" w:rsidP="008B2788">
            <w:pPr>
              <w:widowControl/>
              <w:autoSpaceDE/>
              <w:autoSpaceDN/>
              <w:ind w:left="450" w:right="166"/>
              <w:jc w:val="both"/>
            </w:pPr>
            <w:r w:rsidRPr="008B2788">
              <w:t xml:space="preserve">În prezent, cadrul normativ național consacră principiul ierarhiei deșeurilor, însă aplicarea acestuia rămâne insuficient operaționalizată la nivelul documentelor de politici, al instrumentelor economice și al mecanismelor de planificare. </w:t>
            </w:r>
          </w:p>
          <w:p w14:paraId="77661503" w14:textId="45391252" w:rsidR="00576B50" w:rsidRDefault="00576B50" w:rsidP="008B2788">
            <w:pPr>
              <w:widowControl/>
              <w:autoSpaceDE/>
              <w:autoSpaceDN/>
              <w:ind w:left="450" w:right="166"/>
              <w:jc w:val="both"/>
            </w:pPr>
            <w:r w:rsidRPr="00576B50">
              <w:t>Totodată, evoluția politicilor Uniunii Europene în domeniul economiei circulare și modificările succesive ale Directivei 2008/98/CE au determinat extinderea și detalierea măsurilor de prevenire, inclusiv prin introducerea unor instrumente economice, financiare, fiscale și tarifare menite să stimuleze aplicarea efectivă a ierarhiei deșeurilor.</w:t>
            </w:r>
          </w:p>
          <w:p w14:paraId="161687BE" w14:textId="77777777" w:rsidR="00576B50" w:rsidRDefault="00576B50" w:rsidP="008B2788">
            <w:pPr>
              <w:widowControl/>
              <w:autoSpaceDE/>
              <w:autoSpaceDN/>
              <w:ind w:left="450" w:right="166"/>
              <w:jc w:val="both"/>
            </w:pPr>
          </w:p>
          <w:p w14:paraId="5EBD8989" w14:textId="74B7A9DC" w:rsidR="00576B50" w:rsidRDefault="00576B50" w:rsidP="008B2788">
            <w:pPr>
              <w:widowControl/>
              <w:autoSpaceDE/>
              <w:autoSpaceDN/>
              <w:ind w:left="450" w:right="166"/>
              <w:jc w:val="both"/>
            </w:pPr>
            <w:r w:rsidRPr="00576B50">
              <w:lastRenderedPageBreak/>
              <w:t xml:space="preserve">Astfel, completarea Legii nr. 209/2016 </w:t>
            </w:r>
            <w:r w:rsidR="00FA7FA3">
              <w:t>este</w:t>
            </w:r>
            <w:r w:rsidRPr="00576B50">
              <w:t xml:space="preserve"> neces</w:t>
            </w:r>
            <w:r w:rsidR="00FA7FA3">
              <w:t>ară</w:t>
            </w:r>
            <w:r w:rsidRPr="00576B50">
              <w:t xml:space="preserve"> </w:t>
            </w:r>
            <w:r w:rsidR="00FA7FA3">
              <w:t xml:space="preserve">în vederea </w:t>
            </w:r>
            <w:r w:rsidRPr="00576B50">
              <w:t>actualizării cadrului normativ național la noile cerințe ale acquis-ului Uniunii Europene și la evoluțiile sectorului de gestionare a deșeurilor. În prezent, prevenirea generării deșeurilor nu mai este abordată doar ca un principiu general, ci ca un set de măsuri concrete orientate spre proiectarea produselor durabile, reparabile, reutilizabile și reciclabile, reducerea conținutului de substanțe periculoase, valorificarea materialelor valoroase și a materiilor prime critice, stimularea reparării, reutilizării și prelungirii duratei de viață a produselor.</w:t>
            </w:r>
          </w:p>
          <w:p w14:paraId="74ED45D4" w14:textId="77777777" w:rsidR="00576B50" w:rsidRDefault="00576B50" w:rsidP="008B2788">
            <w:pPr>
              <w:widowControl/>
              <w:autoSpaceDE/>
              <w:autoSpaceDN/>
              <w:ind w:left="450" w:right="166"/>
              <w:jc w:val="both"/>
            </w:pPr>
          </w:p>
          <w:p w14:paraId="0A4BA09E" w14:textId="1F5E1A46" w:rsidR="00C904C8" w:rsidRPr="008B2788" w:rsidRDefault="001F311E" w:rsidP="008B2788">
            <w:pPr>
              <w:widowControl/>
              <w:autoSpaceDE/>
              <w:autoSpaceDN/>
              <w:ind w:left="450" w:right="166"/>
              <w:jc w:val="both"/>
            </w:pPr>
            <w:r w:rsidRPr="008B2788">
              <w:t>De asemenea, prevederile actuale privind prevenirea generării deșeurilor au un caracter general și nu acoperă suficient măsurile moderne aferente economiei circulare, inclusiv proiectarea produselor durabile, reparabile, reutilizabile și reciclabile, prevenirea generării de deșeuri</w:t>
            </w:r>
            <w:r w:rsidR="00AA60BF">
              <w:t>,</w:t>
            </w:r>
            <w:r w:rsidRPr="008B2788">
              <w:t xml:space="preserve"> care conțin materii prime critice sau alte materiale valoroase, reducerea conținutului de substanțe periculoase în produse și materiale, precum și stimularea reparării și reutilizării produselor. Această situație reduce eficiența cadrului normativ în prevenirea generării deșeurilor la sursă și menține presiunea asupra sistemelor de colectare, tratare și eliminare.</w:t>
            </w:r>
          </w:p>
          <w:p w14:paraId="3BBDAD98" w14:textId="77777777" w:rsidR="00DB39D1" w:rsidRPr="008B2788" w:rsidRDefault="00DB39D1" w:rsidP="008B2788">
            <w:pPr>
              <w:widowControl/>
              <w:autoSpaceDE/>
              <w:autoSpaceDN/>
              <w:ind w:left="450" w:right="166"/>
              <w:jc w:val="both"/>
            </w:pPr>
          </w:p>
          <w:p w14:paraId="592E8A49" w14:textId="569F639F" w:rsidR="00DB39D1" w:rsidRDefault="00DB39D1" w:rsidP="008B2788">
            <w:pPr>
              <w:widowControl/>
              <w:autoSpaceDE/>
              <w:autoSpaceDN/>
              <w:ind w:left="450" w:right="166"/>
              <w:jc w:val="both"/>
            </w:pPr>
            <w:r w:rsidRPr="008B2788">
              <w:t xml:space="preserve">Este de menționat că, atât schimbările demografice cât și capacitatea de cumpărare au un impact semnificativ asupra majorării cantității de deșeuri generate atât asupra cantității de alimente consumate, a produselor textile plasate pe piață, produselor de unică folosință, ș.a. </w:t>
            </w:r>
          </w:p>
          <w:p w14:paraId="130F7219" w14:textId="77777777" w:rsidR="00E357A9" w:rsidRPr="008B2788" w:rsidRDefault="00E357A9" w:rsidP="008B2788">
            <w:pPr>
              <w:widowControl/>
              <w:autoSpaceDE/>
              <w:autoSpaceDN/>
              <w:ind w:left="450" w:right="166"/>
              <w:jc w:val="both"/>
              <w:rPr>
                <w:color w:val="FF0000"/>
                <w:lang w:val="ro-MD"/>
              </w:rPr>
            </w:pPr>
          </w:p>
          <w:p w14:paraId="3A39C7F3" w14:textId="6FD4860A" w:rsidR="001F311E" w:rsidRPr="008B2788" w:rsidRDefault="001F311E" w:rsidP="008B2788">
            <w:pPr>
              <w:widowControl/>
              <w:autoSpaceDE/>
              <w:autoSpaceDN/>
              <w:ind w:left="450" w:right="166"/>
              <w:jc w:val="both"/>
              <w:rPr>
                <w:i/>
                <w:iCs/>
              </w:rPr>
            </w:pPr>
            <w:r w:rsidRPr="008B2788">
              <w:rPr>
                <w:i/>
                <w:iCs/>
              </w:rPr>
              <w:t>Prevenirea generării deșeurilor alimentare</w:t>
            </w:r>
          </w:p>
          <w:p w14:paraId="55B88C31" w14:textId="77777777" w:rsidR="001F311E" w:rsidRPr="008B2788" w:rsidRDefault="001F311E" w:rsidP="008B2788">
            <w:pPr>
              <w:widowControl/>
              <w:autoSpaceDE/>
              <w:autoSpaceDN/>
              <w:ind w:left="450" w:right="166"/>
              <w:jc w:val="both"/>
            </w:pPr>
          </w:p>
          <w:p w14:paraId="23E7289E" w14:textId="47E5149C" w:rsidR="001F311E" w:rsidRPr="008B2788" w:rsidRDefault="001F311E" w:rsidP="008B2788">
            <w:pPr>
              <w:widowControl/>
              <w:autoSpaceDE/>
              <w:autoSpaceDN/>
              <w:ind w:left="450" w:right="166"/>
              <w:jc w:val="both"/>
            </w:pPr>
            <w:r w:rsidRPr="008B2788">
              <w:t xml:space="preserve">Cadrul normativ actual nu conține suficiente prevederi prin care prevenirea și reducerea deșeurilor alimentare să fie abordate ca parte distinctă a politicii de gestionare a deșeurilor. Deși legislația națională reglementează prevenirea pierderii și risipei alimentare, </w:t>
            </w:r>
            <w:r w:rsidR="003B6891">
              <w:t>este necesară stabilirea clară a</w:t>
            </w:r>
            <w:r w:rsidRPr="008B2788">
              <w:t xml:space="preserve"> obligațiil</w:t>
            </w:r>
            <w:r w:rsidR="003B6891">
              <w:t>or</w:t>
            </w:r>
            <w:r w:rsidRPr="008B2788">
              <w:t xml:space="preserve"> și mecanismel</w:t>
            </w:r>
            <w:r w:rsidR="003B6891">
              <w:t>or</w:t>
            </w:r>
            <w:r w:rsidRPr="008B2788">
              <w:t xml:space="preserve"> de monitorizare aferente deșeurilor alimentare generate de-a lungul întregului lanț alimentar, inclusiv în producția primară, prelucrare, comerțul cu amănuntul, alimentația publică și gospodării.</w:t>
            </w:r>
          </w:p>
          <w:p w14:paraId="760DEFB1" w14:textId="77777777" w:rsidR="001F311E" w:rsidRPr="008B2788" w:rsidRDefault="001F311E" w:rsidP="008B2788">
            <w:pPr>
              <w:widowControl/>
              <w:autoSpaceDE/>
              <w:autoSpaceDN/>
              <w:ind w:left="450" w:right="166"/>
              <w:jc w:val="both"/>
            </w:pPr>
          </w:p>
          <w:p w14:paraId="68442B8A" w14:textId="1A59AD13" w:rsidR="001F311E" w:rsidRPr="008B2788" w:rsidRDefault="001F311E" w:rsidP="008B2788">
            <w:pPr>
              <w:widowControl/>
              <w:autoSpaceDE/>
              <w:autoSpaceDN/>
              <w:ind w:left="450" w:right="166"/>
              <w:jc w:val="both"/>
            </w:pPr>
            <w:r w:rsidRPr="008B2788">
              <w:t>Totodată, lipsa unor prevederi explicite privind redistribuirea alimentelor sigure pentru consum uman, evidența cantităților donate sau devenite improprii consumului și raportarea acestor date limitează posibilitatea de a fundamenta politici publice coerente pentru reducerea deșeurilor alimentare.</w:t>
            </w:r>
          </w:p>
          <w:p w14:paraId="0B2D9592" w14:textId="77777777" w:rsidR="001F311E" w:rsidRPr="008B2788" w:rsidRDefault="001F311E" w:rsidP="008B2788">
            <w:pPr>
              <w:widowControl/>
              <w:autoSpaceDE/>
              <w:autoSpaceDN/>
              <w:ind w:left="450" w:right="166"/>
              <w:jc w:val="both"/>
            </w:pPr>
          </w:p>
          <w:p w14:paraId="01DC6F65" w14:textId="77777777" w:rsidR="00871EA7" w:rsidRPr="008B2788" w:rsidRDefault="00871EA7" w:rsidP="008B2788">
            <w:pPr>
              <w:widowControl/>
              <w:autoSpaceDE/>
              <w:autoSpaceDN/>
              <w:ind w:left="450" w:right="166"/>
              <w:jc w:val="both"/>
              <w:rPr>
                <w:i/>
                <w:iCs/>
              </w:rPr>
            </w:pPr>
            <w:r w:rsidRPr="008B2788">
              <w:rPr>
                <w:i/>
                <w:iCs/>
              </w:rPr>
              <w:t>Produsele din plastic de unică folosință</w:t>
            </w:r>
          </w:p>
          <w:p w14:paraId="00AA2846" w14:textId="77777777" w:rsidR="00871EA7" w:rsidRPr="008B2788" w:rsidRDefault="00871EA7" w:rsidP="008B2788">
            <w:pPr>
              <w:widowControl/>
              <w:autoSpaceDE/>
              <w:autoSpaceDN/>
              <w:ind w:left="360" w:right="166"/>
              <w:jc w:val="both"/>
            </w:pPr>
          </w:p>
          <w:p w14:paraId="1AD7A9DA" w14:textId="77777777" w:rsidR="00871EA7" w:rsidRPr="008B2788" w:rsidRDefault="00871EA7" w:rsidP="008B2788">
            <w:pPr>
              <w:widowControl/>
              <w:autoSpaceDE/>
              <w:autoSpaceDN/>
              <w:ind w:left="360" w:right="166"/>
              <w:jc w:val="both"/>
            </w:pPr>
            <w:r w:rsidRPr="008B2788">
              <w:t>Cadrul normativ național conține anumite interdicții și reguli aplicabile unor produse din plastic, însă acestea nu constituie un cadru complet și coerent de transpunere a Directivei (UE) 2019/904 privind reducerea impactului anumitor produse din plastic asupra mediului. Reglementările actuale sunt fragmentate și nu acoperă toate categoriile de produse vizate, toate tipurile de măsuri necesare și toate obligațiile aferente producătorilor, distribuitorilor și autorităților competente.</w:t>
            </w:r>
          </w:p>
          <w:p w14:paraId="5E9BBEF1" w14:textId="77777777" w:rsidR="00871EA7" w:rsidRPr="008B2788" w:rsidRDefault="00871EA7" w:rsidP="008B2788">
            <w:pPr>
              <w:widowControl/>
              <w:autoSpaceDE/>
              <w:autoSpaceDN/>
              <w:ind w:left="360" w:right="166"/>
              <w:jc w:val="both"/>
            </w:pPr>
          </w:p>
          <w:p w14:paraId="25B11309" w14:textId="0B9DDD7B" w:rsidR="00067F6D" w:rsidRPr="008B2788" w:rsidRDefault="00067F6D" w:rsidP="008B2788">
            <w:pPr>
              <w:widowControl/>
              <w:autoSpaceDE/>
              <w:autoSpaceDN/>
              <w:ind w:left="360" w:right="166"/>
              <w:jc w:val="both"/>
            </w:pPr>
            <w:r w:rsidRPr="008B2788">
              <w:t>În lipsa unor prevederi clare privind reducerea consumului, restricțiile de plasare pe piață, cerințele de produs, marcarea, conținutul de plastic reciclat, colectarea separată și răspunderea extinsă a producătorului, autoritățile nu dispun de instrumente suficiente pentru prevenirea și reducerea impactului produselor din plastic de unică folosință. Totodată, lipsa unui mecanism clar de acoperire a costurilor pentru curățarea deșeurilor abandonate și pentru măsurile de sensibilizare conduce la transferarea acestor costuri asupra autorităților publice locale și asupra bugetului public.</w:t>
            </w:r>
            <w:r w:rsidR="00D0420F" w:rsidRPr="008B2788">
              <w:t xml:space="preserve"> Impactul nu este doar de mediu, ci și economic și social, afectând activități precum turismul, pescuitul și transportul maritim, precum și sănătatea populației, prin expunerea la substanțe chimice asociate materialelor plastice și la </w:t>
            </w:r>
            <w:proofErr w:type="spellStart"/>
            <w:r w:rsidR="00D0420F" w:rsidRPr="008B2788">
              <w:t>microplastice</w:t>
            </w:r>
            <w:proofErr w:type="spellEnd"/>
            <w:r w:rsidR="00D0420F" w:rsidRPr="008B2788">
              <w:t>.</w:t>
            </w:r>
          </w:p>
          <w:p w14:paraId="711DF79C" w14:textId="77777777" w:rsidR="00067F6D" w:rsidRPr="008B2788" w:rsidRDefault="00067F6D" w:rsidP="008B2788">
            <w:pPr>
              <w:widowControl/>
              <w:autoSpaceDE/>
              <w:autoSpaceDN/>
              <w:ind w:left="360" w:right="166"/>
              <w:jc w:val="both"/>
            </w:pPr>
          </w:p>
          <w:p w14:paraId="5E31BCC0" w14:textId="77777777" w:rsidR="00436EC2" w:rsidRDefault="0039049C" w:rsidP="008B2788">
            <w:pPr>
              <w:widowControl/>
              <w:autoSpaceDE/>
              <w:autoSpaceDN/>
              <w:ind w:left="360" w:right="166"/>
              <w:jc w:val="both"/>
            </w:pPr>
            <w:r w:rsidRPr="008B2788">
              <w:t xml:space="preserve">Cadrul normativ existent, fundamental din Legea nr. 209/2016 privind deșeurile și actele normative subsecvente, reglementează responsabilitatea extinsă a producătorului, mecanismele de raportare prin sistemul informativ național și anumite instrumente economice aplicabile ambalajelor. De asemenea, în scopul reducerii impactului anumitor produse din plastic asupra mediului au fost introduse interdicții privind comercializarea unor produse din plastic de unică folosință. </w:t>
            </w:r>
          </w:p>
          <w:p w14:paraId="749176F6" w14:textId="70740DA2" w:rsidR="0039049C" w:rsidRPr="008B2788" w:rsidRDefault="0039049C" w:rsidP="008B2788">
            <w:pPr>
              <w:widowControl/>
              <w:autoSpaceDE/>
              <w:autoSpaceDN/>
              <w:ind w:left="360" w:right="166"/>
              <w:jc w:val="both"/>
            </w:pPr>
            <w:r w:rsidRPr="008B2788">
              <w:t xml:space="preserve">Cu toate acestea, </w:t>
            </w:r>
            <w:r w:rsidR="00436EC2">
              <w:t>este necesar un</w:t>
            </w:r>
            <w:r w:rsidRPr="008B2788">
              <w:t xml:space="preserve"> cadru coerent și exhaustiv orientat spre prevenirea generării folosirii, reducerea consumului de produse din plastic de unică folosință și gestionarea specifică acestora. Normele sunt fragmentare, iar aplicarea lor este inegală, inclusiv din cauza infrastructurilor insuficiente și a nivelului redus de conformare.</w:t>
            </w:r>
          </w:p>
          <w:p w14:paraId="53DDEA57" w14:textId="5C11CD08" w:rsidR="0039049C" w:rsidRPr="008B2788" w:rsidRDefault="0039049C" w:rsidP="008B2788">
            <w:pPr>
              <w:widowControl/>
              <w:autoSpaceDE/>
              <w:autoSpaceDN/>
              <w:ind w:left="360" w:right="166"/>
              <w:jc w:val="both"/>
            </w:pPr>
            <w:r w:rsidRPr="008B2788">
              <w:lastRenderedPageBreak/>
              <w:t>Extinderea comerțului modern și informal, creșterea consumului de produse ambalate și accesibilitatea redusă a alternativelor durabile au consolidat un model de consum bazat pe utilizarea produselor de unică folosință. În lipsa unor intervenții legislative suplimentare și a unor instrumente clare de prevenire și responsabilitate, tendința de creștere a volumului de deșeuri din plastic este susceptibilă să continue, cu consecințe negative asupra mediului, sănătății publice și economiei, inclusiv prin majorarea costurilor de gestionare a deșeurilor și afectarea calității vieții populației.</w:t>
            </w:r>
          </w:p>
          <w:p w14:paraId="0373E479" w14:textId="77777777" w:rsidR="0039049C" w:rsidRPr="008B2788" w:rsidRDefault="0039049C" w:rsidP="008B2788">
            <w:pPr>
              <w:widowControl/>
              <w:autoSpaceDE/>
              <w:autoSpaceDN/>
              <w:ind w:left="360" w:right="166"/>
              <w:jc w:val="both"/>
            </w:pPr>
          </w:p>
          <w:p w14:paraId="5BBB9457" w14:textId="77777777" w:rsidR="00660D48" w:rsidRPr="008B2788" w:rsidRDefault="00E25B1C" w:rsidP="008B2788">
            <w:pPr>
              <w:widowControl/>
              <w:autoSpaceDE/>
              <w:autoSpaceDN/>
              <w:ind w:left="360" w:right="166"/>
              <w:jc w:val="both"/>
            </w:pPr>
            <w:r w:rsidRPr="008B2788">
              <w:t xml:space="preserve">Produsele din plastic de unică folosință continuă să fie utilizate pe scară largă datorită costului redus, accesibilității și modelelor de consum orientate spre comoditate. </w:t>
            </w:r>
            <w:r w:rsidR="00660D48" w:rsidRPr="008B2788">
              <w:t xml:space="preserve">Articolele din plastic de unică folosință reprezintă ca număr, aproximativ jumătate din totalul de deșeuri marine găsite pe plajele europene. Primele 10 cele mai întâlnite articole din plastic de unică folosință, reprezintă 86 % din toate articolele din plastic de unică folosință (reprezentând, prin urmare, 43 % din toate articolele de deșeuri marine găsite pe plajele europene, ca număr). </w:t>
            </w:r>
          </w:p>
          <w:p w14:paraId="1526ECD3" w14:textId="0959F93F" w:rsidR="00067F6D" w:rsidRPr="008B2788" w:rsidRDefault="00067F6D" w:rsidP="008B2788">
            <w:pPr>
              <w:widowControl/>
              <w:autoSpaceDE/>
              <w:autoSpaceDN/>
              <w:ind w:left="360" w:right="166"/>
              <w:jc w:val="both"/>
            </w:pPr>
            <w:r w:rsidRPr="008B2788">
              <w:t>Actualmente, în Republica Moldova, consumul de produse din plastic, inclusiv al celor de unică folosință, a înregistrat o creștere constantă în ultimul deceniu, generând presiuni semnificative asupra mediului și sănătății publice. Produsele din plastic sunt pe scară largă în ambalaje, recipiente pentru băuturi și alimentare, pungi, articole de uz casnic și destinate consumului imediat, iar o parte considerabilă dintre aceștia devin deșeuri într-un interval scurt de timp.</w:t>
            </w:r>
          </w:p>
          <w:p w14:paraId="018E2344" w14:textId="77777777" w:rsidR="0039049C" w:rsidRPr="008B2788" w:rsidRDefault="0039049C" w:rsidP="008B2788">
            <w:pPr>
              <w:widowControl/>
              <w:autoSpaceDE/>
              <w:autoSpaceDN/>
              <w:ind w:left="360" w:right="166"/>
              <w:jc w:val="both"/>
            </w:pPr>
          </w:p>
          <w:p w14:paraId="36F1E79A" w14:textId="01D3F0A0" w:rsidR="0090112B" w:rsidRPr="008B2788" w:rsidRDefault="00871EA7" w:rsidP="008B2788">
            <w:pPr>
              <w:widowControl/>
              <w:autoSpaceDE/>
              <w:autoSpaceDN/>
              <w:ind w:left="360" w:right="166"/>
              <w:jc w:val="both"/>
            </w:pPr>
            <w:r w:rsidRPr="008B2788">
              <w:t xml:space="preserve">O parte semnificativă a acestor produse devine deșeu într-un interval scurt de timp, iar capacitățile de colectare separată, sortare și reciclare sunt insuficiente pentru a preveni eliminarea prin depozitare sau abandonarea în mediu. Această situație contribuie la poluarea solului, apelor și spațiilor publice, precum și la formarea </w:t>
            </w:r>
            <w:proofErr w:type="spellStart"/>
            <w:r w:rsidRPr="008B2788">
              <w:t>microplasticelor</w:t>
            </w:r>
            <w:proofErr w:type="spellEnd"/>
            <w:r w:rsidRPr="008B2788">
              <w:t>.</w:t>
            </w:r>
            <w:r w:rsidR="0090112B" w:rsidRPr="008B2788">
              <w:t xml:space="preserve"> </w:t>
            </w:r>
          </w:p>
          <w:p w14:paraId="69C97E97" w14:textId="069FAE64" w:rsidR="0090112B" w:rsidRPr="008B2788" w:rsidRDefault="0090112B" w:rsidP="008B2788">
            <w:pPr>
              <w:widowControl/>
              <w:autoSpaceDE/>
              <w:autoSpaceDN/>
              <w:ind w:left="360" w:right="166"/>
              <w:jc w:val="both"/>
            </w:pPr>
            <w:r w:rsidRPr="008B2788">
              <w:t xml:space="preserve">Factorii determinanți ai situației includ: </w:t>
            </w:r>
          </w:p>
          <w:p w14:paraId="720A6927" w14:textId="1468C280" w:rsidR="0090112B" w:rsidRPr="008B2788" w:rsidRDefault="0090112B" w:rsidP="008B2788">
            <w:pPr>
              <w:pStyle w:val="Listparagraf"/>
              <w:widowControl/>
              <w:numPr>
                <w:ilvl w:val="0"/>
                <w:numId w:val="17"/>
              </w:numPr>
              <w:autoSpaceDE/>
              <w:autoSpaceDN/>
              <w:ind w:left="360" w:right="166" w:firstLine="0"/>
              <w:jc w:val="both"/>
            </w:pPr>
            <w:r w:rsidRPr="008B2788">
              <w:t xml:space="preserve">disponibilitatea pe scară largă și costul redus al produselor din plastic de unică folosință; </w:t>
            </w:r>
          </w:p>
          <w:p w14:paraId="1470F881" w14:textId="10F3F65E" w:rsidR="0090112B" w:rsidRPr="008B2788" w:rsidRDefault="0090112B" w:rsidP="008B2788">
            <w:pPr>
              <w:pStyle w:val="Listparagraf"/>
              <w:widowControl/>
              <w:numPr>
                <w:ilvl w:val="0"/>
                <w:numId w:val="17"/>
              </w:numPr>
              <w:autoSpaceDE/>
              <w:autoSpaceDN/>
              <w:ind w:left="360" w:right="166" w:firstLine="0"/>
              <w:jc w:val="both"/>
            </w:pPr>
            <w:r w:rsidRPr="008B2788">
              <w:t xml:space="preserve">modele de consum orientate spre comoditate; </w:t>
            </w:r>
          </w:p>
          <w:p w14:paraId="4CFA1FBD" w14:textId="3EB9F07E" w:rsidR="0090112B" w:rsidRPr="008B2788" w:rsidRDefault="0090112B" w:rsidP="008B2788">
            <w:pPr>
              <w:pStyle w:val="Listparagraf"/>
              <w:widowControl/>
              <w:numPr>
                <w:ilvl w:val="0"/>
                <w:numId w:val="17"/>
              </w:numPr>
              <w:autoSpaceDE/>
              <w:autoSpaceDN/>
              <w:ind w:left="360" w:right="166" w:firstLine="0"/>
              <w:jc w:val="both"/>
            </w:pPr>
            <w:r w:rsidRPr="008B2788">
              <w:t xml:space="preserve">stimulente insuficiente pentru colectarea separată și tratarea adecvată a deșeurilor; </w:t>
            </w:r>
          </w:p>
          <w:p w14:paraId="32A07C50" w14:textId="06153FB2" w:rsidR="0090112B" w:rsidRPr="008B2788" w:rsidRDefault="0090112B" w:rsidP="008B2788">
            <w:pPr>
              <w:pStyle w:val="Listparagraf"/>
              <w:widowControl/>
              <w:numPr>
                <w:ilvl w:val="0"/>
                <w:numId w:val="17"/>
              </w:numPr>
              <w:autoSpaceDE/>
              <w:autoSpaceDN/>
              <w:ind w:left="360" w:right="166" w:firstLine="0"/>
              <w:jc w:val="both"/>
            </w:pPr>
            <w:r w:rsidRPr="008B2788">
              <w:t xml:space="preserve">infrastructură insuficientă de colectare, sortare și reciclare; </w:t>
            </w:r>
          </w:p>
          <w:p w14:paraId="51CDDD0E" w14:textId="5CFF13A9" w:rsidR="0090112B" w:rsidRPr="008B2788" w:rsidRDefault="0090112B" w:rsidP="008B2788">
            <w:pPr>
              <w:pStyle w:val="Listparagraf"/>
              <w:widowControl/>
              <w:numPr>
                <w:ilvl w:val="0"/>
                <w:numId w:val="17"/>
              </w:numPr>
              <w:autoSpaceDE/>
              <w:autoSpaceDN/>
              <w:ind w:left="360" w:right="166" w:firstLine="0"/>
              <w:jc w:val="both"/>
            </w:pPr>
            <w:r w:rsidRPr="008B2788">
              <w:t>nivel redus de conștientizare și educație ecologică, inclusiv în mediul formal și informal.</w:t>
            </w:r>
          </w:p>
          <w:p w14:paraId="1CD18498" w14:textId="77777777" w:rsidR="0090112B" w:rsidRPr="008B2788" w:rsidRDefault="0090112B" w:rsidP="008B2788">
            <w:pPr>
              <w:widowControl/>
              <w:autoSpaceDE/>
              <w:autoSpaceDN/>
              <w:ind w:left="360" w:right="166"/>
              <w:jc w:val="both"/>
            </w:pPr>
            <w:r w:rsidRPr="008B2788">
              <w:t xml:space="preserve"> </w:t>
            </w:r>
          </w:p>
          <w:p w14:paraId="7DB4F088" w14:textId="60FE4BA5" w:rsidR="00067F6D" w:rsidRPr="008B2788" w:rsidRDefault="00067F6D" w:rsidP="008B2788">
            <w:pPr>
              <w:widowControl/>
              <w:autoSpaceDE/>
              <w:autoSpaceDN/>
              <w:ind w:left="360" w:right="166"/>
              <w:jc w:val="both"/>
            </w:pPr>
            <w:r w:rsidRPr="008B2788">
              <w:t xml:space="preserve">Datele privind compoziția deșeurilor municipale indică o pondere relevantă a fracției de plastic în totalul deșeurilor generate, o parte semnificativă fiind constituită din produse de unică folosință. </w:t>
            </w:r>
          </w:p>
          <w:p w14:paraId="1BD00D20" w14:textId="77777777" w:rsidR="00E25B1C" w:rsidRPr="008B2788" w:rsidRDefault="00E25B1C" w:rsidP="008B2788">
            <w:pPr>
              <w:widowControl/>
              <w:autoSpaceDE/>
              <w:autoSpaceDN/>
              <w:ind w:left="360" w:right="166"/>
              <w:jc w:val="both"/>
            </w:pPr>
          </w:p>
          <w:p w14:paraId="2663BC0F" w14:textId="44D2F833" w:rsidR="00284DD3" w:rsidRPr="00FD1EB3" w:rsidRDefault="00284DD3" w:rsidP="008B2788">
            <w:pPr>
              <w:widowControl/>
              <w:autoSpaceDE/>
              <w:autoSpaceDN/>
              <w:ind w:left="360" w:right="166"/>
              <w:jc w:val="both"/>
            </w:pPr>
            <w:r w:rsidRPr="00FD1EB3">
              <w:t xml:space="preserve">În figura de mai jos, sunt prezentate rezultatele studiului și compoziția deșeurilor din containerele mixte. Astfel, fracția deșeurilor din plastic constituie circa 12,04 % din totalul deșeurilor municipale generate. </w:t>
            </w:r>
          </w:p>
          <w:p w14:paraId="00F732C7" w14:textId="77777777" w:rsidR="00284DD3" w:rsidRPr="008B2788" w:rsidRDefault="00284DD3" w:rsidP="008B2788">
            <w:pPr>
              <w:widowControl/>
              <w:autoSpaceDE/>
              <w:autoSpaceDN/>
              <w:ind w:left="360" w:right="166"/>
              <w:jc w:val="both"/>
            </w:pPr>
          </w:p>
          <w:p w14:paraId="0C44D55C" w14:textId="53412F07" w:rsidR="00FD1EB3" w:rsidRPr="00FD1EB3" w:rsidRDefault="00284DD3" w:rsidP="008B2788">
            <w:pPr>
              <w:widowControl/>
              <w:autoSpaceDE/>
              <w:autoSpaceDN/>
              <w:ind w:left="360" w:right="166"/>
              <w:jc w:val="both"/>
              <w:rPr>
                <w:i/>
                <w:iCs/>
              </w:rPr>
            </w:pPr>
            <w:r w:rsidRPr="008B2788">
              <w:rPr>
                <w:i/>
                <w:iCs/>
              </w:rPr>
              <w:t>Compoziția morfologică a deșeurilor in RM</w:t>
            </w:r>
            <w:r w:rsidR="0039049C" w:rsidRPr="008B2788">
              <w:rPr>
                <w:i/>
                <w:iCs/>
              </w:rPr>
              <w:t xml:space="preserve"> și ponderea diferitor tipuri de deșeuri din plastic, </w:t>
            </w:r>
            <w:r w:rsidRPr="008B2788">
              <w:rPr>
                <w:i/>
                <w:iCs/>
              </w:rPr>
              <w:t>2024</w:t>
            </w:r>
          </w:p>
          <w:p w14:paraId="47B9DD73" w14:textId="2854A39C" w:rsidR="00FD1EB3" w:rsidRPr="00FD1EB3" w:rsidRDefault="00FD1EB3" w:rsidP="008B2788">
            <w:pPr>
              <w:widowControl/>
              <w:autoSpaceDE/>
              <w:autoSpaceDN/>
              <w:ind w:left="360" w:right="90"/>
              <w:rPr>
                <w:b/>
                <w:i/>
              </w:rPr>
            </w:pPr>
            <w:r w:rsidRPr="008B2788">
              <w:rPr>
                <w:b/>
                <w:i/>
                <w:noProof/>
              </w:rPr>
              <w:drawing>
                <wp:inline distT="0" distB="0" distL="0" distR="0" wp14:anchorId="2F98997B" wp14:editId="15AFECAA">
                  <wp:extent cx="2707127" cy="156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8361" cy="1569165"/>
                          </a:xfrm>
                          <a:prstGeom prst="rect">
                            <a:avLst/>
                          </a:prstGeom>
                          <a:noFill/>
                          <a:ln>
                            <a:noFill/>
                          </a:ln>
                        </pic:spPr>
                      </pic:pic>
                    </a:graphicData>
                  </a:graphic>
                </wp:inline>
              </w:drawing>
            </w:r>
            <w:r w:rsidR="0039049C" w:rsidRPr="008B2788">
              <w:rPr>
                <w:noProof/>
              </w:rPr>
              <w:drawing>
                <wp:inline distT="0" distB="0" distL="0" distR="0" wp14:anchorId="52155D34" wp14:editId="16833CFC">
                  <wp:extent cx="3020795" cy="147792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2801" cy="1498477"/>
                          </a:xfrm>
                          <a:prstGeom prst="rect">
                            <a:avLst/>
                          </a:prstGeom>
                          <a:noFill/>
                        </pic:spPr>
                      </pic:pic>
                    </a:graphicData>
                  </a:graphic>
                </wp:inline>
              </w:drawing>
            </w:r>
          </w:p>
          <w:p w14:paraId="489B0961" w14:textId="7C391A55" w:rsidR="00284DD3" w:rsidRPr="008B2788" w:rsidRDefault="00284DD3" w:rsidP="008B2788">
            <w:pPr>
              <w:widowControl/>
              <w:autoSpaceDE/>
              <w:autoSpaceDN/>
              <w:ind w:left="360" w:right="166"/>
              <w:jc w:val="both"/>
            </w:pPr>
            <w:r w:rsidRPr="008B2788">
              <w:rPr>
                <w:bCs/>
                <w:iCs/>
              </w:rPr>
              <w:t xml:space="preserve">Sursa: </w:t>
            </w:r>
            <w:r w:rsidR="00FD1EB3" w:rsidRPr="00FD1EB3">
              <w:t xml:space="preserve">Studiul privind compoziția morfologică a deșeurilor, realizat în cadrul proiectului „Securitatea Energetică a Republicii Moldova” (MESA), cu suportul Agenția Statelor Unite pentru Dezvoltare Internațională (USAID). </w:t>
            </w:r>
            <w:hyperlink r:id="rId19" w:history="1">
              <w:r w:rsidRPr="008B2788">
                <w:rPr>
                  <w:rStyle w:val="Hyperlink"/>
                </w:rPr>
                <w:t>https://mediu.gov.md/sites/default/files/Documente%20atasate%20Advance%20Pagines/USAID_MESA_PMCG_Deliverable_8_Final_Report_on_Waste_Composition_Survey_RO.pdf</w:t>
              </w:r>
            </w:hyperlink>
            <w:r w:rsidRPr="008B2788">
              <w:t xml:space="preserve">   </w:t>
            </w:r>
          </w:p>
          <w:p w14:paraId="7B67E499" w14:textId="77777777" w:rsidR="00284DD3" w:rsidRPr="008B2788" w:rsidRDefault="00284DD3" w:rsidP="008B2788">
            <w:pPr>
              <w:widowControl/>
              <w:autoSpaceDE/>
              <w:autoSpaceDN/>
              <w:ind w:left="360" w:right="166"/>
              <w:jc w:val="both"/>
            </w:pPr>
          </w:p>
          <w:p w14:paraId="3E396749" w14:textId="77777777" w:rsidR="00E368D6" w:rsidRPr="008B2788" w:rsidRDefault="00FD1EB3" w:rsidP="008B2788">
            <w:pPr>
              <w:widowControl/>
              <w:autoSpaceDE/>
              <w:autoSpaceDN/>
              <w:ind w:left="360" w:right="166"/>
              <w:jc w:val="both"/>
            </w:pPr>
            <w:r w:rsidRPr="00FD1EB3">
              <w:t xml:space="preserve">Totodată, au fost analizate și tipurile de plastic din cadrul categoriei generale și rezultatul denotă o pondere de 31 % pentru recipientele de plastic de unică folosință și 27 % pentru folia de plastic, care la fel este de unică folosință și include ambalaje de la produsele alimentare, cum ar fi biscuiți, </w:t>
            </w:r>
            <w:proofErr w:type="spellStart"/>
            <w:r w:rsidRPr="00FD1EB3">
              <w:t>cips</w:t>
            </w:r>
            <w:proofErr w:type="spellEnd"/>
            <w:r w:rsidRPr="00FD1EB3">
              <w:t xml:space="preserve">, etc. </w:t>
            </w:r>
          </w:p>
          <w:p w14:paraId="33964184" w14:textId="195EC693" w:rsidR="0039049C" w:rsidRPr="008B2788" w:rsidRDefault="00E368D6" w:rsidP="008B2788">
            <w:pPr>
              <w:widowControl/>
              <w:autoSpaceDE/>
              <w:autoSpaceDN/>
              <w:ind w:left="360" w:right="166"/>
              <w:jc w:val="both"/>
            </w:pPr>
            <w:r w:rsidRPr="008B2788">
              <w:t>Î</w:t>
            </w:r>
            <w:r w:rsidR="0039049C" w:rsidRPr="008B2788">
              <w:t>n</w:t>
            </w:r>
            <w:r w:rsidRPr="008B2788">
              <w:t xml:space="preserve"> </w:t>
            </w:r>
            <w:r w:rsidR="0039049C" w:rsidRPr="008B2788">
              <w:t xml:space="preserve"> baza</w:t>
            </w:r>
            <w:r w:rsidRPr="008B2788">
              <w:t xml:space="preserve"> datelor Agenției de Mediu și estimărilor experților</w:t>
            </w:r>
            <w:r w:rsidR="0039049C" w:rsidRPr="008B2788">
              <w:t xml:space="preserve">, actualmente în țară se colectează separat 6,7 % </w:t>
            </w:r>
            <w:r w:rsidR="0039049C" w:rsidRPr="008B2788">
              <w:lastRenderedPageBreak/>
              <w:t xml:space="preserve">din plastic, din care se valorifică mai mult de jumătate. În raport cu cantitatea totală generală, reciclează doar circa 5% din totalul de deșeuri plastice, ceea ce este sub nivelul UE, unde ratele ajung la 41–69%, restul ajunge în gropile de gunoi sau mediu natural. </w:t>
            </w:r>
          </w:p>
          <w:p w14:paraId="1CD5EEA4" w14:textId="77777777" w:rsidR="00E368D6" w:rsidRPr="008B2788" w:rsidRDefault="00E368D6" w:rsidP="008B2788">
            <w:pPr>
              <w:widowControl/>
              <w:autoSpaceDE/>
              <w:autoSpaceDN/>
              <w:ind w:left="360" w:right="166"/>
              <w:jc w:val="both"/>
            </w:pPr>
          </w:p>
          <w:p w14:paraId="290392C6" w14:textId="77777777" w:rsidR="00E368D6" w:rsidRPr="008B2788" w:rsidRDefault="00E368D6" w:rsidP="008B2788">
            <w:pPr>
              <w:ind w:left="360" w:right="181"/>
              <w:jc w:val="both"/>
            </w:pPr>
            <w:r w:rsidRPr="008B2788">
              <w:t xml:space="preserve">Conform datelor raportate anual de deținătorii de deșeuri din plastic (colectori/generatori) Agenției de Mediu prin intermediul </w:t>
            </w:r>
            <w:hyperlink r:id="rId20" w:history="1">
              <w:r w:rsidRPr="008B2788">
                <w:rPr>
                  <w:rStyle w:val="Hyperlink"/>
                </w:rPr>
                <w:t>www.siamd.gov.md</w:t>
              </w:r>
            </w:hyperlink>
            <w:r w:rsidRPr="008B2788">
              <w:t xml:space="preserve">, în perioada anilor 2020-2023 cantitatea de deșeuri colectată și valorificată este în creștere, astfel cum este prezentat în figura de mai jos. </w:t>
            </w:r>
          </w:p>
          <w:p w14:paraId="09227AF1" w14:textId="77777777" w:rsidR="00E368D6" w:rsidRPr="008B2788" w:rsidRDefault="00E368D6" w:rsidP="008B2788">
            <w:pPr>
              <w:ind w:left="360"/>
              <w:jc w:val="both"/>
            </w:pPr>
          </w:p>
          <w:p w14:paraId="0AD32E32" w14:textId="77777777" w:rsidR="00E368D6" w:rsidRPr="008B2788" w:rsidRDefault="00E368D6" w:rsidP="008B2788">
            <w:pPr>
              <w:ind w:left="360" w:firstLine="603"/>
              <w:jc w:val="center"/>
            </w:pPr>
            <w:r w:rsidRPr="008B2788">
              <w:rPr>
                <w:noProof/>
              </w:rPr>
              <w:drawing>
                <wp:inline distT="0" distB="0" distL="0" distR="0" wp14:anchorId="1DDA10F4" wp14:editId="51C91264">
                  <wp:extent cx="3887005" cy="2772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100" cy="2778234"/>
                          </a:xfrm>
                          <a:prstGeom prst="rect">
                            <a:avLst/>
                          </a:prstGeom>
                          <a:noFill/>
                        </pic:spPr>
                      </pic:pic>
                    </a:graphicData>
                  </a:graphic>
                </wp:inline>
              </w:drawing>
            </w:r>
          </w:p>
          <w:p w14:paraId="629FE1F2" w14:textId="77777777" w:rsidR="00E368D6" w:rsidRPr="008B2788" w:rsidRDefault="00E368D6" w:rsidP="008B2788">
            <w:pPr>
              <w:ind w:left="360" w:firstLine="603"/>
              <w:jc w:val="center"/>
            </w:pPr>
          </w:p>
          <w:p w14:paraId="2AABDA15" w14:textId="77777777" w:rsidR="00E368D6" w:rsidRPr="008B2788" w:rsidRDefault="00E368D6" w:rsidP="008B2788">
            <w:pPr>
              <w:widowControl/>
              <w:tabs>
                <w:tab w:val="left" w:pos="9180"/>
              </w:tabs>
              <w:autoSpaceDE/>
              <w:autoSpaceDN/>
              <w:ind w:left="360" w:right="170"/>
              <w:jc w:val="both"/>
            </w:pPr>
            <w:r w:rsidRPr="008B2788">
              <w:t xml:space="preserve">Conform rapoartelor de activitate, cel mai colectat tip de deșeu din plastic este cel de tip 1- PET și tip 4 – LDPE, urmat de HDPE, PP și PS. Tipul 3 (PVC) și tipul 7 (Alte) sunt mai puțin colectate din cauza dificultății de reciclare. Ca rezultat, o categorie foarte variată de deșeuri din plastic (ex. filtre pentru țigări produse din acetat de celuloză, sticle de băuturi din plastic, capace de sticle de plastic, ambalaje alimentare, pungi de plastic alimentar, capace de plastic alimentar, paie, caserole (containere) din polistiren expandat, etc.) ajung a fi eliminate prin depozitare la gropile de gunoi cauzând un impact asupra mediului și sănătății populației pentru câteva sute de ani.  Principala sursă de colectate a majorității tipurilor de deșeuri de plastic sunt deșeurile municipale. </w:t>
            </w:r>
          </w:p>
          <w:p w14:paraId="7D38C422" w14:textId="77777777" w:rsidR="007F7054" w:rsidRPr="008B2788" w:rsidRDefault="007F7054" w:rsidP="008B2788">
            <w:pPr>
              <w:widowControl/>
              <w:tabs>
                <w:tab w:val="left" w:pos="9180"/>
              </w:tabs>
              <w:autoSpaceDE/>
              <w:autoSpaceDN/>
              <w:ind w:left="360" w:right="170"/>
              <w:jc w:val="both"/>
            </w:pPr>
          </w:p>
          <w:p w14:paraId="6F4C4727" w14:textId="77777777" w:rsidR="00A51C2F" w:rsidRPr="008B2788" w:rsidRDefault="00A51C2F" w:rsidP="008B2788">
            <w:pPr>
              <w:widowControl/>
              <w:tabs>
                <w:tab w:val="left" w:pos="9180"/>
              </w:tabs>
              <w:autoSpaceDE/>
              <w:autoSpaceDN/>
              <w:ind w:left="360" w:right="170"/>
              <w:jc w:val="both"/>
            </w:pPr>
            <w:r w:rsidRPr="008B2788">
              <w:t xml:space="preserve">Proiectul propune reglementarea </w:t>
            </w:r>
            <w:r w:rsidRPr="008B2788">
              <w:rPr>
                <w:i/>
                <w:iCs/>
              </w:rPr>
              <w:t>coroanelor și ornamentelor funerare din plastic</w:t>
            </w:r>
            <w:r w:rsidRPr="008B2788">
              <w:t xml:space="preserve"> prin includerea acestora în lista produselor din plastic de unică folosință pentru care se instituie interdicția de plasare pe piață.</w:t>
            </w:r>
          </w:p>
          <w:p w14:paraId="5C5299A1" w14:textId="77777777" w:rsidR="00A51C2F" w:rsidRPr="008B2788" w:rsidRDefault="00A51C2F" w:rsidP="008B2788">
            <w:pPr>
              <w:widowControl/>
              <w:tabs>
                <w:tab w:val="left" w:pos="9180"/>
              </w:tabs>
              <w:autoSpaceDE/>
              <w:autoSpaceDN/>
              <w:ind w:left="360" w:right="170"/>
              <w:jc w:val="both"/>
            </w:pPr>
          </w:p>
          <w:p w14:paraId="67DC9612" w14:textId="77777777" w:rsidR="00A51C2F" w:rsidRPr="008B2788" w:rsidRDefault="00A51C2F" w:rsidP="008B2788">
            <w:pPr>
              <w:widowControl/>
              <w:tabs>
                <w:tab w:val="left" w:pos="9180"/>
              </w:tabs>
              <w:autoSpaceDE/>
              <w:autoSpaceDN/>
              <w:ind w:left="360" w:right="170"/>
              <w:jc w:val="both"/>
            </w:pPr>
            <w:r w:rsidRPr="008B2788">
              <w:t>Necesitatea interzicerii plasării pe piață a coroanelor și ornamentelor funerare din plastic este determinată de caracterul acestora de produse cu durată foarte scurtă de utilizare, dar cu persistență îndelungată în mediu, precum și de dificultățile majore de colectare, sortare și reciclare. Aceste produse sunt, de regulă, fabricate din materiale mixte, inclusiv plastic, textile sintetice, sârmă, suporturi și elemente decorative, ceea ce face dificilă separarea materialelor și reciclarea lor în condiții tehnice și economice viabile.</w:t>
            </w:r>
          </w:p>
          <w:p w14:paraId="14760F8D" w14:textId="77777777" w:rsidR="00A51C2F" w:rsidRPr="008B2788" w:rsidRDefault="00A51C2F" w:rsidP="008B2788">
            <w:pPr>
              <w:widowControl/>
              <w:tabs>
                <w:tab w:val="left" w:pos="9180"/>
              </w:tabs>
              <w:autoSpaceDE/>
              <w:autoSpaceDN/>
              <w:ind w:left="360" w:right="170"/>
              <w:jc w:val="both"/>
            </w:pPr>
          </w:p>
          <w:p w14:paraId="103F53FD" w14:textId="6E1CC7A8" w:rsidR="00A51C2F" w:rsidRPr="008B2788" w:rsidRDefault="00A51C2F" w:rsidP="008B2788">
            <w:pPr>
              <w:widowControl/>
              <w:tabs>
                <w:tab w:val="left" w:pos="9180"/>
              </w:tabs>
              <w:autoSpaceDE/>
              <w:autoSpaceDN/>
              <w:ind w:left="360" w:right="170"/>
              <w:jc w:val="both"/>
            </w:pPr>
            <w:r w:rsidRPr="008B2788">
              <w:t xml:space="preserve">Potrivit datelor disponibile la nivel municipal, anual doar în cimitirele din municipiul Chișinău ajung peste 25000 de coroane și compoziții funerare din plastic, iar la nivel național se estimează utilizarea a aproape 300000 de astfel de produse anual. Totodată, se estimează că peste 62 de tone de articole funerare se acumulează anual doar în capitală (sursa: </w:t>
            </w:r>
            <w:proofErr w:type="spellStart"/>
            <w:r w:rsidRPr="008B2788">
              <w:t>Ecopresa</w:t>
            </w:r>
            <w:proofErr w:type="spellEnd"/>
            <w:r w:rsidRPr="008B2788">
              <w:t xml:space="preserve"> – https://ecopresa.md/coroane-plastic-cimitire-sufoca-natura/; Moldova 1 – </w:t>
            </w:r>
            <w:hyperlink r:id="rId22" w:history="1">
              <w:r w:rsidRPr="008B2788">
                <w:rPr>
                  <w:rStyle w:val="Hyperlink"/>
                </w:rPr>
                <w:t>https://moldova1.md/p/44205</w:t>
              </w:r>
            </w:hyperlink>
            <w:r w:rsidRPr="008B2788">
              <w:t>).</w:t>
            </w:r>
          </w:p>
          <w:p w14:paraId="6885DA7D" w14:textId="77777777" w:rsidR="00A51C2F" w:rsidRPr="008B2788" w:rsidRDefault="00A51C2F" w:rsidP="008B2788">
            <w:pPr>
              <w:widowControl/>
              <w:tabs>
                <w:tab w:val="left" w:pos="9180"/>
              </w:tabs>
              <w:autoSpaceDE/>
              <w:autoSpaceDN/>
              <w:ind w:left="360" w:right="170"/>
              <w:jc w:val="both"/>
            </w:pPr>
          </w:p>
          <w:p w14:paraId="721BD57C" w14:textId="0F37BD07" w:rsidR="00A51C2F" w:rsidRPr="008B2788" w:rsidRDefault="00A51C2F" w:rsidP="008B2788">
            <w:pPr>
              <w:widowControl/>
              <w:tabs>
                <w:tab w:val="left" w:pos="9180"/>
              </w:tabs>
              <w:autoSpaceDE/>
              <w:autoSpaceDN/>
              <w:ind w:left="360" w:right="170"/>
              <w:jc w:val="both"/>
            </w:pPr>
            <w:r w:rsidRPr="008B2788">
              <w:t>Raportat la numărul anual de decese înregistrate la nivel național, respectiv 32,1 mii decese în anul 2025, utilizarea a 3</w:t>
            </w:r>
            <w:r w:rsidR="000F3091" w:rsidRPr="008B2788">
              <w:t>-</w:t>
            </w:r>
            <w:r w:rsidRPr="008B2788">
              <w:t xml:space="preserve">8 coroane sau ornamente funerare din plastic pentru o înmormântare poate genera între aproximativ 96 000 și 257 000 de astfel de produse anual (sursa: Biroul Național de Statistică – </w:t>
            </w:r>
            <w:hyperlink r:id="rId23" w:history="1">
              <w:r w:rsidR="000F3091" w:rsidRPr="008B2788">
                <w:rPr>
                  <w:rStyle w:val="Hyperlink"/>
                </w:rPr>
                <w:t>https://statistica.gov.md/index.php/ro/mortalitatea-generala-dupa-principalele-clase-ale-cauzelor-de-deces-in-anul-2025-9696_62463.html</w:t>
              </w:r>
            </w:hyperlink>
            <w:r w:rsidRPr="008B2788">
              <w:t>).</w:t>
            </w:r>
          </w:p>
          <w:p w14:paraId="30D9DB5A" w14:textId="77777777" w:rsidR="00A51C2F" w:rsidRPr="008B2788" w:rsidRDefault="00A51C2F" w:rsidP="008B2788">
            <w:pPr>
              <w:widowControl/>
              <w:tabs>
                <w:tab w:val="left" w:pos="9180"/>
              </w:tabs>
              <w:autoSpaceDE/>
              <w:autoSpaceDN/>
              <w:ind w:left="360" w:right="170"/>
              <w:jc w:val="both"/>
            </w:pPr>
          </w:p>
          <w:p w14:paraId="30C0D55A" w14:textId="582A0AC2" w:rsidR="00A51C2F" w:rsidRPr="008B2788" w:rsidRDefault="00A51C2F" w:rsidP="008B2788">
            <w:pPr>
              <w:widowControl/>
              <w:tabs>
                <w:tab w:val="left" w:pos="9180"/>
              </w:tabs>
              <w:autoSpaceDE/>
              <w:autoSpaceDN/>
              <w:ind w:left="360" w:right="170"/>
              <w:jc w:val="both"/>
            </w:pPr>
            <w:r w:rsidRPr="008B2788">
              <w:t xml:space="preserve">În funcție de greutatea medie a produsului, estimată orientativ între 0,4 kg și 2 kg/unitate, cantitatea anuală </w:t>
            </w:r>
            <w:r w:rsidRPr="008B2788">
              <w:lastRenderedPageBreak/>
              <w:t xml:space="preserve">de deșeuri provenite din coroane și ornamente funerare din plastic poate varia între circa 40 tone și peste 500 tone. </w:t>
            </w:r>
          </w:p>
          <w:p w14:paraId="70C5A660" w14:textId="77777777" w:rsidR="00A51C2F" w:rsidRPr="008B2788" w:rsidRDefault="00A51C2F" w:rsidP="008B2788">
            <w:pPr>
              <w:widowControl/>
              <w:tabs>
                <w:tab w:val="left" w:pos="9180"/>
              </w:tabs>
              <w:autoSpaceDE/>
              <w:autoSpaceDN/>
              <w:ind w:left="360" w:right="170"/>
              <w:jc w:val="both"/>
            </w:pPr>
          </w:p>
          <w:p w14:paraId="7CD8ECB9" w14:textId="698C920E" w:rsidR="007F7054" w:rsidRPr="008B2788" w:rsidRDefault="00A51C2F" w:rsidP="008B2788">
            <w:pPr>
              <w:widowControl/>
              <w:tabs>
                <w:tab w:val="left" w:pos="9180"/>
              </w:tabs>
              <w:autoSpaceDE/>
              <w:autoSpaceDN/>
              <w:ind w:left="360" w:right="170"/>
              <w:jc w:val="both"/>
            </w:pPr>
            <w:r w:rsidRPr="008B2788">
              <w:t>Aceste cantități ajung, în principal, în cimitire, spații publice sau fluxuri de deșeuri municipale, unde sunt dificil de gestionat separat și, în practică, nu sunt reciclate. După o perioadă scurtă de utilizare, coroanele și ornamentele funerare din plastic devin deșeuri voluminoase, contaminate și compozite, care generează costuri suplimentare pentru autoritățile publice locale și administratorii cimitirelor. În unele cazuri, gestionarea necorespunzătoare a acestor deșeuri poate conduce la depozitare necontrolată sau ardere neautorizată, cu efecte negative asupra aerului, solului și sănătății populației.</w:t>
            </w:r>
          </w:p>
          <w:p w14:paraId="4016FAB7" w14:textId="77777777" w:rsidR="00A51C2F" w:rsidRPr="008B2788" w:rsidRDefault="00A51C2F" w:rsidP="008B2788">
            <w:pPr>
              <w:widowControl/>
              <w:tabs>
                <w:tab w:val="left" w:pos="9180"/>
              </w:tabs>
              <w:autoSpaceDE/>
              <w:autoSpaceDN/>
              <w:ind w:left="360" w:right="170"/>
              <w:jc w:val="both"/>
            </w:pPr>
          </w:p>
          <w:p w14:paraId="61DBD01F" w14:textId="77777777" w:rsidR="00652647" w:rsidRPr="008B2788" w:rsidRDefault="00652647" w:rsidP="008B2788">
            <w:pPr>
              <w:widowControl/>
              <w:tabs>
                <w:tab w:val="left" w:pos="9180"/>
              </w:tabs>
              <w:autoSpaceDE/>
              <w:autoSpaceDN/>
              <w:ind w:left="360" w:right="170"/>
              <w:jc w:val="both"/>
              <w:rPr>
                <w:i/>
                <w:iCs/>
                <w:lang w:eastAsia="ro-RO"/>
              </w:rPr>
            </w:pPr>
            <w:r w:rsidRPr="008B2788">
              <w:rPr>
                <w:i/>
                <w:iCs/>
                <w:lang w:eastAsia="ro-RO"/>
              </w:rPr>
              <w:t>Colectarea separată, pregătirea pentru reutilizare și reciclarea</w:t>
            </w:r>
          </w:p>
          <w:p w14:paraId="48CC1C70" w14:textId="77777777" w:rsidR="00652647" w:rsidRPr="008B2788" w:rsidRDefault="00652647" w:rsidP="008B2788">
            <w:pPr>
              <w:widowControl/>
              <w:tabs>
                <w:tab w:val="left" w:pos="9180"/>
              </w:tabs>
              <w:autoSpaceDE/>
              <w:autoSpaceDN/>
              <w:ind w:left="360" w:right="170"/>
              <w:jc w:val="both"/>
              <w:rPr>
                <w:lang w:eastAsia="ro-RO"/>
              </w:rPr>
            </w:pPr>
          </w:p>
          <w:p w14:paraId="596BD319" w14:textId="6F47E09B" w:rsidR="00652647" w:rsidRPr="008B2788" w:rsidRDefault="00652647" w:rsidP="008B2788">
            <w:pPr>
              <w:widowControl/>
              <w:tabs>
                <w:tab w:val="left" w:pos="9180"/>
              </w:tabs>
              <w:autoSpaceDE/>
              <w:autoSpaceDN/>
              <w:ind w:left="360" w:right="170"/>
              <w:jc w:val="both"/>
              <w:rPr>
                <w:lang w:eastAsia="ro-RO"/>
              </w:rPr>
            </w:pPr>
            <w:r w:rsidRPr="008B2788">
              <w:rPr>
                <w:lang w:eastAsia="ro-RO"/>
              </w:rPr>
              <w:t xml:space="preserve">Legea nr. 209/2016 stabilește obligații generale privind colectarea separată și valorificarea deșeurilor, </w:t>
            </w:r>
            <w:r w:rsidR="00916F94">
              <w:rPr>
                <w:lang w:eastAsia="ro-RO"/>
              </w:rPr>
              <w:t xml:space="preserve">sunt necesare unele completări </w:t>
            </w:r>
            <w:r w:rsidRPr="008B2788">
              <w:rPr>
                <w:lang w:eastAsia="ro-RO"/>
              </w:rPr>
              <w:t xml:space="preserve">pentru a asigura atingerea </w:t>
            </w:r>
            <w:r w:rsidR="00C572BB">
              <w:rPr>
                <w:lang w:eastAsia="ro-RO"/>
              </w:rPr>
              <w:t>obiectivelor</w:t>
            </w:r>
            <w:r w:rsidRPr="008B2788">
              <w:rPr>
                <w:lang w:eastAsia="ro-RO"/>
              </w:rPr>
              <w:t xml:space="preserve"> de pregătire pentru reutilizare, reciclare și valorificare materială. În practică, colectarea separată rămâne neuniformă la nivel teritorial, infrastructura este dezvoltată insuficient, iar acoperirea materială și geografică a punctelor de colectare nu permite valorificarea eficientă a fluxurilor reciclabile.</w:t>
            </w:r>
          </w:p>
          <w:p w14:paraId="188E3AD4" w14:textId="77777777" w:rsidR="00652647" w:rsidRPr="008B2788" w:rsidRDefault="00652647" w:rsidP="008B2788">
            <w:pPr>
              <w:widowControl/>
              <w:tabs>
                <w:tab w:val="left" w:pos="9180"/>
              </w:tabs>
              <w:autoSpaceDE/>
              <w:autoSpaceDN/>
              <w:ind w:left="360" w:right="170"/>
              <w:jc w:val="both"/>
              <w:rPr>
                <w:lang w:eastAsia="ro-RO"/>
              </w:rPr>
            </w:pPr>
          </w:p>
          <w:p w14:paraId="46DF3863" w14:textId="09DB708C" w:rsidR="007F7054" w:rsidRDefault="00916F94" w:rsidP="008B2788">
            <w:pPr>
              <w:widowControl/>
              <w:tabs>
                <w:tab w:val="left" w:pos="9180"/>
              </w:tabs>
              <w:autoSpaceDE/>
              <w:autoSpaceDN/>
              <w:ind w:left="360" w:right="170"/>
              <w:jc w:val="both"/>
              <w:rPr>
                <w:lang w:eastAsia="ro-RO"/>
              </w:rPr>
            </w:pPr>
            <w:r>
              <w:rPr>
                <w:lang w:eastAsia="ro-RO"/>
              </w:rPr>
              <w:t xml:space="preserve">La fel, sunt necesare </w:t>
            </w:r>
            <w:r w:rsidR="00652647" w:rsidRPr="008B2788">
              <w:rPr>
                <w:lang w:eastAsia="ro-RO"/>
              </w:rPr>
              <w:t>reguli clare pentru calcularea gradului de îndeplinire a obiectivelor de reciclare și valorificare materială. Fără reguli privind momentul de măsurare, excluderea pierderilor tehnologice, contabilizarea exporturilor, separarea rambleierii de reciclare și verificarea calității datelor, există riscul raportării unor rezultate care nu reflectă reciclarea efectivă.</w:t>
            </w:r>
          </w:p>
          <w:p w14:paraId="48C74219" w14:textId="77777777" w:rsidR="00CC65F3" w:rsidRDefault="00CC65F3" w:rsidP="008B2788">
            <w:pPr>
              <w:widowControl/>
              <w:tabs>
                <w:tab w:val="left" w:pos="9180"/>
              </w:tabs>
              <w:autoSpaceDE/>
              <w:autoSpaceDN/>
              <w:ind w:left="360" w:right="170"/>
              <w:jc w:val="both"/>
              <w:rPr>
                <w:lang w:eastAsia="ro-RO"/>
              </w:rPr>
            </w:pPr>
          </w:p>
          <w:p w14:paraId="7065E81E" w14:textId="5C6918BC" w:rsidR="008510E6" w:rsidRPr="008B2788" w:rsidRDefault="00C572BB" w:rsidP="008B2788">
            <w:pPr>
              <w:widowControl/>
              <w:tabs>
                <w:tab w:val="left" w:pos="9180"/>
              </w:tabs>
              <w:autoSpaceDE/>
              <w:autoSpaceDN/>
              <w:ind w:left="360" w:right="170"/>
              <w:jc w:val="both"/>
              <w:rPr>
                <w:lang w:eastAsia="ro-RO"/>
              </w:rPr>
            </w:pPr>
            <w:r>
              <w:rPr>
                <w:lang w:eastAsia="ro-RO"/>
              </w:rPr>
              <w:t xml:space="preserve">Obiectivele </w:t>
            </w:r>
            <w:r w:rsidRPr="00C572BB">
              <w:rPr>
                <w:lang w:eastAsia="ro-RO"/>
              </w:rPr>
              <w:t xml:space="preserve">de pregătire pentru reutilizare, reciclare și valorificare materială </w:t>
            </w:r>
            <w:r>
              <w:rPr>
                <w:lang w:eastAsia="ro-RO"/>
              </w:rPr>
              <w:t xml:space="preserve">existente nu sunt în corespundere cu cele </w:t>
            </w:r>
            <w:r w:rsidRPr="00C572BB">
              <w:rPr>
                <w:lang w:eastAsia="ro-RO"/>
              </w:rPr>
              <w:t>prevăzute de Directiva 2008/98/CE</w:t>
            </w:r>
            <w:r>
              <w:rPr>
                <w:lang w:eastAsia="ro-RO"/>
              </w:rPr>
              <w:t>, iar î</w:t>
            </w:r>
            <w:r w:rsidR="00817C83" w:rsidRPr="008B2788">
              <w:rPr>
                <w:lang w:eastAsia="ro-RO"/>
              </w:rPr>
              <w:t xml:space="preserve">n contextul procesului de aderare la Uniunea Europeană, obiectivele propuse prin proiect </w:t>
            </w:r>
            <w:r w:rsidR="00CC65F3">
              <w:rPr>
                <w:lang w:eastAsia="ro-RO"/>
              </w:rPr>
              <w:t xml:space="preserve">vin să se alinieze cu cele europene, dar totodată </w:t>
            </w:r>
            <w:r w:rsidR="00817C83" w:rsidRPr="008B2788">
              <w:rPr>
                <w:lang w:eastAsia="ro-RO"/>
              </w:rPr>
              <w:t>reflectă poziția de negociere a Republicii Moldova și necesitatea instituirii unei perioade de tranziție, precum și a unor derogări față de termenele și nivelurile prevăzute de Directiva 2008/98/CE.</w:t>
            </w:r>
          </w:p>
          <w:p w14:paraId="13F88D13" w14:textId="77777777" w:rsidR="00817C83" w:rsidRPr="008B2788" w:rsidRDefault="00817C83" w:rsidP="008B2788">
            <w:pPr>
              <w:widowControl/>
              <w:tabs>
                <w:tab w:val="left" w:pos="9180"/>
              </w:tabs>
              <w:autoSpaceDE/>
              <w:autoSpaceDN/>
              <w:ind w:left="720" w:right="170"/>
              <w:jc w:val="both"/>
              <w:rPr>
                <w:lang w:eastAsia="ro-RO"/>
              </w:rPr>
            </w:pPr>
          </w:p>
          <w:p w14:paraId="36472881" w14:textId="77777777" w:rsidR="008510E6" w:rsidRPr="008B2788" w:rsidRDefault="008510E6" w:rsidP="008B2788">
            <w:pPr>
              <w:widowControl/>
              <w:autoSpaceDE/>
              <w:autoSpaceDN/>
              <w:ind w:left="450" w:right="166"/>
              <w:jc w:val="both"/>
              <w:rPr>
                <w:i/>
                <w:iCs/>
              </w:rPr>
            </w:pPr>
            <w:r w:rsidRPr="008B2788">
              <w:rPr>
                <w:i/>
                <w:iCs/>
              </w:rPr>
              <w:t>Eliminarea și depozitarea deșeurilor</w:t>
            </w:r>
          </w:p>
          <w:p w14:paraId="62E9B56D" w14:textId="77777777" w:rsidR="008510E6" w:rsidRPr="008B2788" w:rsidRDefault="008510E6" w:rsidP="008B2788">
            <w:pPr>
              <w:widowControl/>
              <w:autoSpaceDE/>
              <w:autoSpaceDN/>
              <w:ind w:left="450" w:right="166"/>
              <w:jc w:val="both"/>
            </w:pPr>
          </w:p>
          <w:p w14:paraId="0CD6DC10" w14:textId="2539DBD3" w:rsidR="008510E6" w:rsidRPr="008B2788" w:rsidRDefault="008510E6" w:rsidP="008B2788">
            <w:pPr>
              <w:widowControl/>
              <w:autoSpaceDE/>
              <w:autoSpaceDN/>
              <w:ind w:left="450" w:right="166"/>
              <w:jc w:val="both"/>
            </w:pPr>
            <w:r w:rsidRPr="008B2788">
              <w:t>Eliminarea prin depozitare rămâne una dintre principalele modalități de gestionare a deșeurilor, inclusiv pentru deșeuri care ar putea fi pregătite pentru reutilizare, reciclate sau valorificate.</w:t>
            </w:r>
          </w:p>
          <w:p w14:paraId="29C519AC" w14:textId="77777777" w:rsidR="008510E6" w:rsidRPr="008B2788" w:rsidRDefault="008510E6" w:rsidP="008B2788">
            <w:pPr>
              <w:widowControl/>
              <w:autoSpaceDE/>
              <w:autoSpaceDN/>
              <w:ind w:left="450" w:right="166"/>
              <w:jc w:val="both"/>
            </w:pPr>
            <w:r w:rsidRPr="008B2788">
              <w:t xml:space="preserve">Totodată, regimul actual privind depozitele de deșeuri necesită completare cu cerințe mai clare referitoare la întregul ciclu de viață al depozitului, inclusiv proiectarea, construcția, exploatarea, acceptarea deșeurilor, monitorizarea, închiderea și urmărirea </w:t>
            </w:r>
            <w:proofErr w:type="spellStart"/>
            <w:r w:rsidRPr="008B2788">
              <w:t>postînchidere</w:t>
            </w:r>
            <w:proofErr w:type="spellEnd"/>
            <w:r w:rsidRPr="008B2788">
              <w:t xml:space="preserve">. Lipsa unor prevederi explicite privind costurile reale ale depozitării, constituirea fondului pentru închidere și monitorizare </w:t>
            </w:r>
            <w:proofErr w:type="spellStart"/>
            <w:r w:rsidRPr="008B2788">
              <w:t>postînchidere</w:t>
            </w:r>
            <w:proofErr w:type="spellEnd"/>
            <w:r w:rsidRPr="008B2788">
              <w:t>, precum și includerea acestor costuri în tarifele aplicate poate genera riscuri de finanțare insuficientă a obligațiilor de mediu pe termen lung.</w:t>
            </w:r>
          </w:p>
          <w:p w14:paraId="4290D65D" w14:textId="77777777" w:rsidR="0007666E" w:rsidRPr="008B2788" w:rsidRDefault="0007666E" w:rsidP="008B2788">
            <w:pPr>
              <w:widowControl/>
              <w:autoSpaceDE/>
              <w:autoSpaceDN/>
              <w:ind w:left="450" w:right="166"/>
              <w:jc w:val="both"/>
            </w:pPr>
          </w:p>
          <w:p w14:paraId="2B2441F8" w14:textId="4787DF5D" w:rsidR="00E368D6" w:rsidRPr="008B2788" w:rsidRDefault="008510E6" w:rsidP="008B2788">
            <w:pPr>
              <w:widowControl/>
              <w:autoSpaceDE/>
              <w:autoSpaceDN/>
              <w:ind w:left="450" w:right="166"/>
              <w:jc w:val="both"/>
            </w:pPr>
            <w:r w:rsidRPr="008B2788">
              <w:t>În lipsa unei interdicții etapizate privind acceptarea la depozitare a deșeurilor reciclabile sau valorificabile și a unei ținte clare de reducere a depozitării deșeurilor municipale, presiunea asupra depozitelor va continua să crească, iar investițiile în colectare separată, sortare, reciclare și valorificare vor fi descurajate.</w:t>
            </w:r>
          </w:p>
          <w:p w14:paraId="6CE44294" w14:textId="77777777" w:rsidR="002045B4" w:rsidRPr="008B2788" w:rsidRDefault="002045B4" w:rsidP="008B2788">
            <w:pPr>
              <w:widowControl/>
              <w:autoSpaceDE/>
              <w:autoSpaceDN/>
              <w:ind w:left="450" w:right="166"/>
              <w:jc w:val="both"/>
            </w:pPr>
          </w:p>
          <w:p w14:paraId="0FE3FD5A" w14:textId="1ADC9950" w:rsidR="002045B4" w:rsidRPr="008B2788" w:rsidRDefault="00A81ABB" w:rsidP="008B2788">
            <w:pPr>
              <w:widowControl/>
              <w:autoSpaceDE/>
              <w:autoSpaceDN/>
              <w:ind w:left="450" w:right="166"/>
              <w:jc w:val="both"/>
            </w:pPr>
            <w:r w:rsidRPr="008B2788">
              <w:t>În acest context, proiectul propune introducerea obiectivului potrivit căruia, până la 31 decembrie 2045, cantitatea totală de deșeuri municipale eliminate prin depozitare se reduce la cel mult 10% din cantitatea totală de deșeuri municipale generate anual. Obiectivul propus reflectă poziția de negociere a Republicii Moldova și necesitatea unei perioade de tranziție față de obiectivul stabilit la nivelul Uniunii Europene, având în vedere capacitățile actuale ale sistemului național de gestionare a deșeurilor, necesarul investițional pentru dezvoltarea infrastructurii și timpul necesar pentru extinderea colectării separate, sortării, reciclării și valorificării materiale.</w:t>
            </w:r>
          </w:p>
          <w:p w14:paraId="43CC977E" w14:textId="77777777" w:rsidR="00A81ABB" w:rsidRPr="008B2788" w:rsidRDefault="00A81ABB" w:rsidP="008B2788">
            <w:pPr>
              <w:widowControl/>
              <w:autoSpaceDE/>
              <w:autoSpaceDN/>
              <w:ind w:left="450" w:right="166"/>
              <w:jc w:val="both"/>
            </w:pPr>
          </w:p>
          <w:p w14:paraId="51EEE825" w14:textId="77777777" w:rsidR="002045B4" w:rsidRPr="008B2788" w:rsidRDefault="002045B4" w:rsidP="008B2788">
            <w:pPr>
              <w:widowControl/>
              <w:autoSpaceDE/>
              <w:autoSpaceDN/>
              <w:ind w:left="450" w:right="166"/>
              <w:jc w:val="both"/>
              <w:rPr>
                <w:i/>
                <w:iCs/>
              </w:rPr>
            </w:pPr>
            <w:r w:rsidRPr="008B2788">
              <w:rPr>
                <w:i/>
                <w:iCs/>
              </w:rPr>
              <w:t>Responsabilitatea extinsă a producătorului</w:t>
            </w:r>
          </w:p>
          <w:p w14:paraId="554CB4B3" w14:textId="77777777" w:rsidR="002045B4" w:rsidRPr="008B2788" w:rsidRDefault="002045B4" w:rsidP="008B2788">
            <w:pPr>
              <w:widowControl/>
              <w:autoSpaceDE/>
              <w:autoSpaceDN/>
              <w:ind w:left="450" w:right="166"/>
              <w:jc w:val="both"/>
            </w:pPr>
          </w:p>
          <w:p w14:paraId="7ABD0806" w14:textId="77777777" w:rsidR="002045B4" w:rsidRDefault="002045B4" w:rsidP="008B2788">
            <w:pPr>
              <w:widowControl/>
              <w:autoSpaceDE/>
              <w:autoSpaceDN/>
              <w:ind w:left="450" w:right="166"/>
              <w:jc w:val="both"/>
            </w:pPr>
            <w:r w:rsidRPr="008B2788">
              <w:t xml:space="preserve">Regimul responsabilității extinse a producătorului este reglementat în Legea nr. 209/2016, însă aplicarea acestuia prezintă dificultăți legate de acoperirea costurilor reale, transparența datelor, monitorizarea performanței sistemelor individuale și colective și corelarea cu obligațiile autorităților publice locale. În </w:t>
            </w:r>
            <w:r w:rsidRPr="008B2788">
              <w:lastRenderedPageBreak/>
              <w:t>lipsa unor reguli suplimentare privind obligațiile financiare, taxa pe produs, verificarea datelor și supravegherea sistemelor colective, există riscul ca responsabilitatea financiară și operațională pentru gestionarea deșeurilor să nu fie distribuită echitabil.</w:t>
            </w:r>
          </w:p>
          <w:p w14:paraId="0259845E" w14:textId="6C8AB4A3" w:rsidR="00B83275" w:rsidRPr="008B2788" w:rsidRDefault="00B83275" w:rsidP="008B2788">
            <w:pPr>
              <w:widowControl/>
              <w:autoSpaceDE/>
              <w:autoSpaceDN/>
              <w:ind w:left="450" w:right="166"/>
              <w:jc w:val="both"/>
            </w:pPr>
            <w:r>
              <w:t xml:space="preserve">La fel, se atestă necesitatea stabilirii unui </w:t>
            </w:r>
            <w:r w:rsidRPr="00B83275">
              <w:t xml:space="preserve">organism de supraveghere a responsabilității extinse a producătorului, independent de interesele private ale producătorilor, </w:t>
            </w:r>
            <w:r w:rsidR="000F3923">
              <w:t xml:space="preserve">care să </w:t>
            </w:r>
            <w:r w:rsidRPr="00B83275">
              <w:t>verific</w:t>
            </w:r>
            <w:r w:rsidR="000F3923">
              <w:t>e</w:t>
            </w:r>
            <w:r w:rsidRPr="00B83275">
              <w:t xml:space="preserve"> îndeplinirea țintelor de colectare, reutilizare, reciclare și valorificare, corectitudinea datelor raportate, acoperirea geografică și materială, modul de calcul și utilizare a contribuțiilor financiare, costurile necesare suportate din contribuțiile producătorilor, respectarea obligațiilor față de autoritățile administrației publice locale și operatorii autorizați, precum și transparența activității sistemelor colectiv</w:t>
            </w:r>
            <w:r w:rsidR="000F3923">
              <w:t>.</w:t>
            </w:r>
          </w:p>
          <w:p w14:paraId="40E9B595" w14:textId="77777777" w:rsidR="002045B4" w:rsidRPr="008B2788" w:rsidRDefault="002045B4" w:rsidP="008B2788">
            <w:pPr>
              <w:widowControl/>
              <w:autoSpaceDE/>
              <w:autoSpaceDN/>
              <w:ind w:left="450" w:right="166"/>
              <w:jc w:val="both"/>
            </w:pPr>
          </w:p>
          <w:p w14:paraId="280DF0DD" w14:textId="77777777" w:rsidR="00671F63" w:rsidRPr="008B2788" w:rsidRDefault="00671F63" w:rsidP="008B2788">
            <w:pPr>
              <w:widowControl/>
              <w:autoSpaceDE/>
              <w:autoSpaceDN/>
              <w:ind w:left="450" w:right="166"/>
              <w:jc w:val="both"/>
              <w:rPr>
                <w:i/>
                <w:iCs/>
              </w:rPr>
            </w:pPr>
            <w:r w:rsidRPr="008B2788">
              <w:rPr>
                <w:i/>
                <w:iCs/>
              </w:rPr>
              <w:t>Ambalajele, metalele grele și sistemul de depozit</w:t>
            </w:r>
          </w:p>
          <w:p w14:paraId="39DE152B" w14:textId="77777777" w:rsidR="00671F63" w:rsidRPr="008B2788" w:rsidRDefault="00671F63" w:rsidP="008B2788">
            <w:pPr>
              <w:widowControl/>
              <w:autoSpaceDE/>
              <w:autoSpaceDN/>
              <w:ind w:left="450" w:right="166"/>
              <w:jc w:val="both"/>
            </w:pPr>
          </w:p>
          <w:p w14:paraId="56D1C0ED" w14:textId="03EDE5B4" w:rsidR="00671F63" w:rsidRPr="008B2788" w:rsidRDefault="00671F63" w:rsidP="008B2788">
            <w:pPr>
              <w:widowControl/>
              <w:autoSpaceDE/>
              <w:autoSpaceDN/>
              <w:ind w:left="450" w:right="166"/>
              <w:jc w:val="both"/>
            </w:pPr>
            <w:r w:rsidRPr="008B2788">
              <w:t xml:space="preserve">Cadrul național privind ambalajele și deșeurile de ambalaje necesită completare pentru a asigura aplicarea condițiilor derogatorii privind nivelurile de concentrație a metalelor grele în anumite ambalaje. În lipsa unor prevederi explicite privind ambalajele din sticlă, lăzile din plastic și </w:t>
            </w:r>
            <w:proofErr w:type="spellStart"/>
            <w:r w:rsidRPr="008B2788">
              <w:t>paleții</w:t>
            </w:r>
            <w:proofErr w:type="spellEnd"/>
            <w:r w:rsidRPr="008B2788">
              <w:t xml:space="preserve"> din plastic utilizați în circuite închise și controlate, operatorii economici nu dispun de un cadru juridic clar pentru utilizarea materialelor reciclate în condiții compatibile cu cerințele de mediu. Această lacună poate descuraja utilizarea materialelor reciclate în producerea ambalajelor și poate conduce la eliminarea unor ambalaje care ar putea fi menținute în circuite de reutilizare sau reciclare. În același timp, lipsa unor cerințe de trasabilitate, marcare, raportare și control pentru ambalajele care beneficiază de derogări creează riscul aplicării neuniforme a normelor și al afectării obiectivelor de protecție a mediului.</w:t>
            </w:r>
          </w:p>
          <w:p w14:paraId="47E31877" w14:textId="77777777" w:rsidR="00671F63" w:rsidRPr="008B2788" w:rsidRDefault="00671F63" w:rsidP="008B2788">
            <w:pPr>
              <w:widowControl/>
              <w:autoSpaceDE/>
              <w:autoSpaceDN/>
              <w:ind w:left="450" w:right="166"/>
              <w:jc w:val="both"/>
            </w:pPr>
          </w:p>
          <w:p w14:paraId="2FDFB101" w14:textId="6E2E7B4C" w:rsidR="0039049C" w:rsidRPr="00FD1EB3" w:rsidRDefault="00671F63" w:rsidP="008B2788">
            <w:pPr>
              <w:widowControl/>
              <w:autoSpaceDE/>
              <w:autoSpaceDN/>
              <w:ind w:left="450" w:right="166"/>
              <w:jc w:val="both"/>
            </w:pPr>
            <w:r w:rsidRPr="008B2788">
              <w:t>În ceea ce privește sistemul de depozit pentru ambalaje, prevederile existente necesită clarificare pentru a acoperi atât ambalajele de unică folosință, cât și ambalajele reutilizabile, precum și pentru a delimita atribuțiile administratorului sistemului, obligațiile comercianților, raportarea, publicarea datelor și mecanismele de finanțare. Fără aceste completări, funcționarea sistemului poate fi afectată de neclarități privind acceptarea ambalajelor, rambursarea depozitului și atingerea țintelor de colectare.</w:t>
            </w:r>
          </w:p>
          <w:p w14:paraId="78772548" w14:textId="77777777" w:rsidR="00FD1EB3" w:rsidRPr="008B2788" w:rsidRDefault="00FD1EB3" w:rsidP="008B2788">
            <w:pPr>
              <w:widowControl/>
              <w:autoSpaceDE/>
              <w:autoSpaceDN/>
              <w:ind w:left="450" w:right="166"/>
              <w:jc w:val="both"/>
            </w:pPr>
          </w:p>
          <w:p w14:paraId="02131390" w14:textId="77777777" w:rsidR="00E35682" w:rsidRPr="008B2788" w:rsidRDefault="00E35682" w:rsidP="008B2788">
            <w:pPr>
              <w:widowControl/>
              <w:autoSpaceDE/>
              <w:autoSpaceDN/>
              <w:ind w:left="450" w:right="166"/>
              <w:jc w:val="both"/>
              <w:rPr>
                <w:i/>
                <w:iCs/>
              </w:rPr>
            </w:pPr>
            <w:proofErr w:type="spellStart"/>
            <w:r w:rsidRPr="008B2788">
              <w:rPr>
                <w:i/>
                <w:iCs/>
              </w:rPr>
              <w:t>Bio</w:t>
            </w:r>
            <w:proofErr w:type="spellEnd"/>
            <w:r w:rsidRPr="008B2788">
              <w:rPr>
                <w:i/>
                <w:iCs/>
              </w:rPr>
              <w:t>-deșeurile</w:t>
            </w:r>
          </w:p>
          <w:p w14:paraId="30E21FA7" w14:textId="77777777" w:rsidR="00E35682" w:rsidRPr="008B2788" w:rsidRDefault="00E35682" w:rsidP="008B2788">
            <w:pPr>
              <w:widowControl/>
              <w:autoSpaceDE/>
              <w:autoSpaceDN/>
              <w:ind w:left="450" w:right="166"/>
              <w:jc w:val="both"/>
            </w:pPr>
          </w:p>
          <w:p w14:paraId="6E192968" w14:textId="5A00C133" w:rsidR="00671F63" w:rsidRPr="008B2788" w:rsidRDefault="00E35682" w:rsidP="008B2788">
            <w:pPr>
              <w:widowControl/>
              <w:autoSpaceDE/>
              <w:autoSpaceDN/>
              <w:ind w:left="450" w:right="166"/>
              <w:jc w:val="both"/>
            </w:pPr>
            <w:r w:rsidRPr="008B2788">
              <w:t xml:space="preserve">Gestionarea </w:t>
            </w:r>
            <w:proofErr w:type="spellStart"/>
            <w:r w:rsidRPr="008B2788">
              <w:t>bio</w:t>
            </w:r>
            <w:proofErr w:type="spellEnd"/>
            <w:r w:rsidRPr="008B2788">
              <w:t xml:space="preserve">-deșeurilor este insuficient dezvoltată în cadrul normativ actual, deși această fracție are un potențial semnificativ de reducere a cantităților eliminate prin depozitare și de obținere a compostului, </w:t>
            </w:r>
            <w:proofErr w:type="spellStart"/>
            <w:r w:rsidRPr="008B2788">
              <w:t>digestatului</w:t>
            </w:r>
            <w:proofErr w:type="spellEnd"/>
            <w:r w:rsidRPr="008B2788">
              <w:t xml:space="preserve"> sau altor materiale utile. Lipsa unor reguli clare privind separarea și reciclarea la sursă, colectarea separată, compostarea, digestia anaerobă și calitatea materialelor rezultate limitează dezvoltarea infrastructurii și a practicilor de gestionare corespunzătoare. În lipsa colectării separate a </w:t>
            </w:r>
            <w:proofErr w:type="spellStart"/>
            <w:r w:rsidRPr="008B2788">
              <w:t>bio</w:t>
            </w:r>
            <w:proofErr w:type="spellEnd"/>
            <w:r w:rsidRPr="008B2788">
              <w:t>-deșeurilor, acestea ajung în deșeurile municipale mixte, contribuind la contaminarea fracțiilor reciclabile, la reducerea calității materialelor recuperate și la generarea de emisii în cazul depozitării. Totodată, lipsa unor condiții clare privind compostarea la locul generării, inclusiv în gospodării, poate conduce fie la nevalorificarea acestui potențial, fie la practici necontrolate care pot genera mirosuri, emisii necontrolate sau riscuri pentru sănătatea populației.</w:t>
            </w:r>
          </w:p>
          <w:p w14:paraId="35F8EF67" w14:textId="77777777" w:rsidR="00E35682" w:rsidRPr="008B2788" w:rsidRDefault="00E35682" w:rsidP="008B2788">
            <w:pPr>
              <w:widowControl/>
              <w:autoSpaceDE/>
              <w:autoSpaceDN/>
              <w:ind w:left="450" w:right="166"/>
              <w:jc w:val="both"/>
            </w:pPr>
          </w:p>
          <w:p w14:paraId="460CD1BA" w14:textId="77777777" w:rsidR="00E35682" w:rsidRPr="008B2788" w:rsidRDefault="00E35682" w:rsidP="008B2788">
            <w:pPr>
              <w:widowControl/>
              <w:autoSpaceDE/>
              <w:autoSpaceDN/>
              <w:ind w:left="450" w:right="166"/>
              <w:jc w:val="both"/>
              <w:rPr>
                <w:i/>
                <w:iCs/>
              </w:rPr>
            </w:pPr>
            <w:r w:rsidRPr="008B2788">
              <w:rPr>
                <w:i/>
                <w:iCs/>
              </w:rPr>
              <w:t>Deșeurile periculoase și fracțiile periculoase din gospodării</w:t>
            </w:r>
          </w:p>
          <w:p w14:paraId="74D6A1D6" w14:textId="77777777" w:rsidR="00E35682" w:rsidRPr="008B2788" w:rsidRDefault="00E35682" w:rsidP="008B2788">
            <w:pPr>
              <w:widowControl/>
              <w:autoSpaceDE/>
              <w:autoSpaceDN/>
              <w:ind w:left="450" w:right="166"/>
              <w:jc w:val="both"/>
            </w:pPr>
          </w:p>
          <w:p w14:paraId="690B83B4" w14:textId="77777777" w:rsidR="00E35682" w:rsidRPr="008B2788" w:rsidRDefault="00E35682" w:rsidP="008B2788">
            <w:pPr>
              <w:widowControl/>
              <w:autoSpaceDE/>
              <w:autoSpaceDN/>
              <w:ind w:left="450" w:right="166"/>
              <w:jc w:val="both"/>
            </w:pPr>
            <w:r w:rsidRPr="008B2788">
              <w:t>Cadrul normativ privind deșeurile periculoase necesită consolidare în ceea ce privește trasabilitatea, interdicția de amestecare, condițiile de ambalare și etichetare, precum și gestionarea fracțiilor periculoase provenite din gospodării. În practică, lipsa colectării separate a acestor fracții determină contaminarea deșeurilor municipale mixte și crește riscurile pentru operatorii serviciului de salubrizare, populație și mediu.</w:t>
            </w:r>
          </w:p>
          <w:p w14:paraId="79C87F0E" w14:textId="77777777" w:rsidR="00E35682" w:rsidRPr="008B2788" w:rsidRDefault="00E35682" w:rsidP="008B2788">
            <w:pPr>
              <w:widowControl/>
              <w:autoSpaceDE/>
              <w:autoSpaceDN/>
              <w:ind w:left="450" w:right="166"/>
              <w:jc w:val="both"/>
            </w:pPr>
          </w:p>
          <w:p w14:paraId="21A6BB50" w14:textId="1BBF4728" w:rsidR="00E35682" w:rsidRPr="008B2788" w:rsidRDefault="00E35682" w:rsidP="008B2788">
            <w:pPr>
              <w:widowControl/>
              <w:autoSpaceDE/>
              <w:autoSpaceDN/>
              <w:ind w:left="450" w:right="166"/>
              <w:jc w:val="both"/>
            </w:pPr>
            <w:r w:rsidRPr="008B2788">
              <w:t>Deșeurile periculoase provenite din gospodării, precum vopsele, solvenți, uleiuri, baterii, produse chimice de uz casnic sau alte materiale cu proprietăți periculoase, nu sunt întotdeauna colectate prin mecanisme organizate. Lipsa unor obligații explicite pentru autoritățile publice locale privind punctele fixe de colectare, centrele de aport voluntar, campaniile periodice sau colectarea mobilă reduce posibilitatea tratării acestor deșeuri în condiții sigure. Totodată, lipsa unor reguli clare privind predarea acestora către operatori autorizați poate conduce la eliminare necontrolată sau amestecare cu alte fluxuri de deșeuri.</w:t>
            </w:r>
          </w:p>
          <w:p w14:paraId="5659A68C" w14:textId="77777777" w:rsidR="00E25B1C" w:rsidRPr="008B2788" w:rsidRDefault="00E25B1C" w:rsidP="008B2788">
            <w:pPr>
              <w:widowControl/>
              <w:autoSpaceDE/>
              <w:autoSpaceDN/>
              <w:ind w:left="450" w:right="166"/>
              <w:jc w:val="both"/>
            </w:pPr>
          </w:p>
          <w:p w14:paraId="07EF81AE" w14:textId="77777777" w:rsidR="00D260BB" w:rsidRPr="008B2788" w:rsidRDefault="00D260BB" w:rsidP="008B2788">
            <w:pPr>
              <w:widowControl/>
              <w:autoSpaceDE/>
              <w:autoSpaceDN/>
              <w:ind w:left="450" w:right="166"/>
              <w:jc w:val="both"/>
              <w:rPr>
                <w:i/>
                <w:iCs/>
              </w:rPr>
            </w:pPr>
            <w:r w:rsidRPr="008B2788">
              <w:rPr>
                <w:i/>
                <w:iCs/>
              </w:rPr>
              <w:t>Deșeurile din construcții și demolări</w:t>
            </w:r>
          </w:p>
          <w:p w14:paraId="0A4EABDC" w14:textId="77777777" w:rsidR="00D260BB" w:rsidRPr="008B2788" w:rsidRDefault="00D260BB" w:rsidP="008B2788">
            <w:pPr>
              <w:widowControl/>
              <w:autoSpaceDE/>
              <w:autoSpaceDN/>
              <w:ind w:left="450" w:right="166"/>
              <w:jc w:val="both"/>
            </w:pPr>
          </w:p>
          <w:p w14:paraId="0723BA84" w14:textId="77777777" w:rsidR="00D260BB" w:rsidRPr="008B2788" w:rsidRDefault="00D260BB" w:rsidP="008B2788">
            <w:pPr>
              <w:widowControl/>
              <w:autoSpaceDE/>
              <w:autoSpaceDN/>
              <w:ind w:left="450" w:right="166"/>
              <w:jc w:val="both"/>
            </w:pPr>
            <w:r w:rsidRPr="008B2788">
              <w:t>Deșeurile din construcții și demolări reprezintă un flux important de deșeuri, cu potențial semnificativ de reutilizare, reciclare și valorificare materială. Cu toate acestea, cadrul normativ actual nu reglementează suficient obligațiile privind planificarea gestionării acestor deșeuri înainte de începerea lucrărilor, auditul anterior demolării, separarea materialelor la sursă, recuperarea elementelor de construcție și integrarea măsurilor de gestionare a deșeurilor în proiectele de execuție sau desființare.</w:t>
            </w:r>
          </w:p>
          <w:p w14:paraId="00B71826" w14:textId="77777777" w:rsidR="00D260BB" w:rsidRPr="008B2788" w:rsidRDefault="00D260BB" w:rsidP="008B2788">
            <w:pPr>
              <w:widowControl/>
              <w:autoSpaceDE/>
              <w:autoSpaceDN/>
              <w:ind w:left="450" w:right="166"/>
              <w:jc w:val="both"/>
            </w:pPr>
          </w:p>
          <w:p w14:paraId="17F1AC5D" w14:textId="0B261425" w:rsidR="0090112B" w:rsidRPr="008B2788" w:rsidRDefault="00D260BB" w:rsidP="008B2788">
            <w:pPr>
              <w:widowControl/>
              <w:autoSpaceDE/>
              <w:autoSpaceDN/>
              <w:ind w:left="450" w:right="166"/>
              <w:jc w:val="both"/>
            </w:pPr>
            <w:r w:rsidRPr="008B2788">
              <w:t>În lipsa unor cerințe clare, deșeurile din construcții și demolări sunt adesea colectate amestecat, contaminate cu materiale periculoase sau eliminate fără valorificarea potențialului de reutilizare și reciclare. Această situație afectează atingerea țintelor de valorificare materială, crește presiunea asupra depozitelor de deșeuri și reduce posibilitatea utilizării materialelor rezultate ca înlocuitori pentru materii prime primare.</w:t>
            </w:r>
          </w:p>
          <w:p w14:paraId="1FED6EDA" w14:textId="77777777" w:rsidR="00267E87" w:rsidRPr="008B2788" w:rsidRDefault="00267E87" w:rsidP="008B2788">
            <w:pPr>
              <w:widowControl/>
              <w:autoSpaceDE/>
              <w:autoSpaceDN/>
              <w:ind w:left="450" w:right="166"/>
              <w:jc w:val="both"/>
            </w:pPr>
          </w:p>
          <w:p w14:paraId="0E9BC0A9" w14:textId="335FC031" w:rsidR="00267E87" w:rsidRPr="008B2788" w:rsidRDefault="00267E87" w:rsidP="008B2788">
            <w:pPr>
              <w:widowControl/>
              <w:autoSpaceDE/>
              <w:autoSpaceDN/>
              <w:ind w:left="450" w:right="166"/>
              <w:jc w:val="both"/>
            </w:pPr>
            <w:r w:rsidRPr="008B2788">
              <w:t xml:space="preserve">Potrivit estimărilor utilizate în documentele de planificare și studiile recente, generarea anuală a deșeurilor din construcții și demolări poate fi de ordinul a 1,4–2,6 milioane tone/an, iar o estimare bazată pe media europeană de 0,68 tone/locuitor/an indică aproximativ 1,62 milioane tone/an. În același timp, datele raportate prin SIA MD indică pentru anul 2024 doar 3 539,61 tone de deșeuri din construcții și demolări generate, 8 651,04 tone colectate și 979,94 tone eliminate sau valorificate. (Sursa: </w:t>
            </w:r>
            <w:r w:rsidR="006257E1" w:rsidRPr="008B2788">
              <w:t>„Studiul privind deșeurile emergente în Republica Moldova”, proiectul UE „Facilitarea unei tranziții verzi incluzive în Republica Moldova”</w:t>
            </w:r>
            <w:r w:rsidRPr="008B2788">
              <w:t>)</w:t>
            </w:r>
          </w:p>
          <w:p w14:paraId="51DDCB54" w14:textId="77777777" w:rsidR="00267E87" w:rsidRPr="008B2788" w:rsidRDefault="00267E87" w:rsidP="008B2788">
            <w:pPr>
              <w:widowControl/>
              <w:autoSpaceDE/>
              <w:autoSpaceDN/>
              <w:ind w:left="450" w:right="166"/>
              <w:jc w:val="both"/>
            </w:pPr>
          </w:p>
          <w:p w14:paraId="37014808" w14:textId="77777777" w:rsidR="009E0680" w:rsidRPr="008B2788" w:rsidRDefault="009E0680" w:rsidP="008B2788">
            <w:pPr>
              <w:widowControl/>
              <w:autoSpaceDE/>
              <w:autoSpaceDN/>
              <w:ind w:left="450" w:right="166"/>
              <w:jc w:val="both"/>
            </w:pPr>
          </w:p>
          <w:p w14:paraId="654D9ADF" w14:textId="77777777" w:rsidR="00D260BB" w:rsidRPr="008B2788" w:rsidRDefault="00D260BB" w:rsidP="008B2788">
            <w:pPr>
              <w:widowControl/>
              <w:autoSpaceDE/>
              <w:autoSpaceDN/>
              <w:ind w:left="450" w:right="166"/>
              <w:jc w:val="both"/>
              <w:rPr>
                <w:i/>
                <w:iCs/>
              </w:rPr>
            </w:pPr>
            <w:r w:rsidRPr="008B2788">
              <w:rPr>
                <w:i/>
                <w:iCs/>
              </w:rPr>
              <w:t>Deșeurile de azbest și materialele care conțin azbest</w:t>
            </w:r>
          </w:p>
          <w:p w14:paraId="6D3B59C4" w14:textId="77777777" w:rsidR="00D260BB" w:rsidRPr="008B2788" w:rsidRDefault="00D260BB" w:rsidP="008B2788">
            <w:pPr>
              <w:widowControl/>
              <w:autoSpaceDE/>
              <w:autoSpaceDN/>
              <w:ind w:left="450" w:right="166"/>
              <w:jc w:val="both"/>
            </w:pPr>
          </w:p>
          <w:p w14:paraId="18EF9E9B" w14:textId="77777777" w:rsidR="00D260BB" w:rsidRPr="008B2788" w:rsidRDefault="00D260BB" w:rsidP="008B2788">
            <w:pPr>
              <w:widowControl/>
              <w:autoSpaceDE/>
              <w:autoSpaceDN/>
              <w:ind w:left="450" w:right="166"/>
              <w:jc w:val="both"/>
            </w:pPr>
            <w:r w:rsidRPr="008B2788">
              <w:t>Gestionarea deșeurilor de azbest necesită un regim juridic distinct, având în vedere riscurile ridicate pentru sănătatea populației și pentru mediu generate de eliberarea fibrelor sau prafului de azbest. Cadrul actual nu detaliază suficient obligațiile privind identificarea materialelor care conțin azbest înainte de lucrările de demolare, renovare sau reparație, elaborarea unui plan de lucru, colectarea separată, ambalarea, etichetarea, stocarea temporară, transportarea și eliminarea acestor deșeuri.</w:t>
            </w:r>
          </w:p>
          <w:p w14:paraId="3BA45116" w14:textId="77777777" w:rsidR="00D260BB" w:rsidRPr="008B2788" w:rsidRDefault="00D260BB" w:rsidP="008B2788">
            <w:pPr>
              <w:widowControl/>
              <w:autoSpaceDE/>
              <w:autoSpaceDN/>
              <w:ind w:left="450" w:right="166"/>
              <w:jc w:val="both"/>
            </w:pPr>
          </w:p>
          <w:p w14:paraId="6D89473E" w14:textId="29C79C59" w:rsidR="00D260BB" w:rsidRPr="008B2788" w:rsidRDefault="00D260BB" w:rsidP="008B2788">
            <w:pPr>
              <w:widowControl/>
              <w:autoSpaceDE/>
              <w:autoSpaceDN/>
              <w:ind w:left="450" w:right="166"/>
              <w:jc w:val="both"/>
            </w:pPr>
            <w:r w:rsidRPr="008B2788">
              <w:t xml:space="preserve">Lipsa unor cerințe clare privind manipularea deșeurilor de azbest poate conduce la spargerea, compactarea, mărunțirea sau transportarea acestora în condiții care favorizează dispersarea fibrelor în aer. Totodată, în lipsa unor reguli privind depozitarea în celule sau sectoare special amenajate și evidența separată a amplasării deșeurilor de azbest în depozite, se creează riscuri de expunere pe termen lung și de afectare a lucrărilor ulterioare de monitorizare </w:t>
            </w:r>
            <w:proofErr w:type="spellStart"/>
            <w:r w:rsidRPr="008B2788">
              <w:t>postînchidere</w:t>
            </w:r>
            <w:proofErr w:type="spellEnd"/>
            <w:r w:rsidRPr="008B2788">
              <w:t>.</w:t>
            </w:r>
          </w:p>
          <w:p w14:paraId="5DDC6493" w14:textId="77777777" w:rsidR="009E0680" w:rsidRPr="008B2788" w:rsidRDefault="009E0680" w:rsidP="008B2788">
            <w:pPr>
              <w:widowControl/>
              <w:autoSpaceDE/>
              <w:autoSpaceDN/>
              <w:ind w:left="450" w:right="166"/>
              <w:jc w:val="both"/>
            </w:pPr>
          </w:p>
          <w:p w14:paraId="4B06C627" w14:textId="77777777" w:rsidR="008C2696" w:rsidRPr="008B2788" w:rsidRDefault="008C2696" w:rsidP="008B2788">
            <w:pPr>
              <w:widowControl/>
              <w:autoSpaceDE/>
              <w:autoSpaceDN/>
              <w:ind w:left="450" w:right="166"/>
              <w:jc w:val="both"/>
              <w:rPr>
                <w:i/>
                <w:iCs/>
              </w:rPr>
            </w:pPr>
            <w:r w:rsidRPr="008B2788">
              <w:rPr>
                <w:i/>
                <w:iCs/>
              </w:rPr>
              <w:t>Produsele textile și deșeurile textile</w:t>
            </w:r>
          </w:p>
          <w:p w14:paraId="5DECAFE4" w14:textId="77777777" w:rsidR="008C2696" w:rsidRPr="008B2788" w:rsidRDefault="008C2696" w:rsidP="008B2788">
            <w:pPr>
              <w:widowControl/>
              <w:autoSpaceDE/>
              <w:autoSpaceDN/>
              <w:ind w:left="450" w:right="166"/>
              <w:jc w:val="both"/>
            </w:pPr>
          </w:p>
          <w:p w14:paraId="5C24A2FB" w14:textId="1F6B2F5B" w:rsidR="008C2696" w:rsidRPr="008B2788" w:rsidRDefault="00B634A2" w:rsidP="008B2788">
            <w:pPr>
              <w:widowControl/>
              <w:autoSpaceDE/>
              <w:autoSpaceDN/>
              <w:ind w:left="450" w:right="166"/>
              <w:jc w:val="both"/>
            </w:pPr>
            <w:r>
              <w:t>Până</w:t>
            </w:r>
            <w:r w:rsidR="000D1A7A">
              <w:t xml:space="preserve"> în prezent, nu a fost stabilit </w:t>
            </w:r>
            <w:r w:rsidR="008C2696" w:rsidRPr="008B2788">
              <w:t>un regim complet de responsabilitate extinsă a producătorului pentru produsele textile, deși acest flux generează presiuni tot mai mari asupra sistemului municipal de gestionare a deșeurilor. Produsele textile sunt plasate pe piață atât ca produse noi, cât și ca produse uzate destinate reutilizării, însă lipsa unui mecanism clar de trasabilitate, colectare separată, sortare și raportare determină ca o parte semnificativă a acestora să ajungă în deșeurile municipale mixte sau la depozitare.</w:t>
            </w:r>
          </w:p>
          <w:p w14:paraId="048D5945" w14:textId="77777777" w:rsidR="008C2696" w:rsidRPr="008B2788" w:rsidRDefault="008C2696" w:rsidP="008B2788">
            <w:pPr>
              <w:widowControl/>
              <w:autoSpaceDE/>
              <w:autoSpaceDN/>
              <w:ind w:left="450" w:right="166"/>
              <w:jc w:val="both"/>
            </w:pPr>
          </w:p>
          <w:p w14:paraId="332EAA15" w14:textId="7E86E909" w:rsidR="00C07D03" w:rsidRPr="008B2788" w:rsidRDefault="008C2696" w:rsidP="008B2788">
            <w:pPr>
              <w:widowControl/>
              <w:autoSpaceDE/>
              <w:autoSpaceDN/>
              <w:ind w:left="450" w:right="166"/>
              <w:jc w:val="both"/>
            </w:pPr>
            <w:r w:rsidRPr="008B2788">
              <w:t xml:space="preserve">O problemă distinctă </w:t>
            </w:r>
            <w:r w:rsidR="00C228CF">
              <w:t>reprezintă</w:t>
            </w:r>
            <w:r w:rsidRPr="008B2788">
              <w:t xml:space="preserve"> produse</w:t>
            </w:r>
            <w:r w:rsidR="00C228CF">
              <w:t>le</w:t>
            </w:r>
            <w:r w:rsidRPr="008B2788">
              <w:t xml:space="preserve"> textile </w:t>
            </w:r>
            <w:r w:rsidR="00C228CF">
              <w:t xml:space="preserve">plasate pe piață </w:t>
            </w:r>
            <w:r w:rsidRPr="008B2788">
              <w:t>prin contracte la distanță sau prin platforme online. În lipsa acestor prevederi, costurile de gestionare a deșeurilor textile sunt suportate în principal de autoritățile publice locale și de sistemul public de salubrizare, fără implicarea proporțională a producătorilor</w:t>
            </w:r>
            <w:r w:rsidR="000F3923">
              <w:t>.</w:t>
            </w:r>
          </w:p>
          <w:p w14:paraId="618F3EC5" w14:textId="77777777" w:rsidR="00E90BF6" w:rsidRPr="008B2788" w:rsidRDefault="00E90BF6" w:rsidP="008B2788">
            <w:pPr>
              <w:widowControl/>
              <w:autoSpaceDE/>
              <w:autoSpaceDN/>
              <w:ind w:left="450" w:right="166"/>
              <w:jc w:val="both"/>
            </w:pPr>
          </w:p>
          <w:p w14:paraId="2DF8448F" w14:textId="340501D9" w:rsidR="00E90BF6" w:rsidRPr="008B2788" w:rsidRDefault="00E90BF6" w:rsidP="008B2788">
            <w:pPr>
              <w:widowControl/>
              <w:autoSpaceDE/>
              <w:autoSpaceDN/>
              <w:ind w:left="450" w:right="166"/>
              <w:jc w:val="both"/>
            </w:pPr>
            <w:r w:rsidRPr="008B2788">
              <w:t>Relevanța acestui flux este confirmată și de cantitățile importante de produse textile care intră anual pe piața Republicii Moldova. Potrivit datelor vamale analizate în studiile recente, în anul 2024 au fost importate peste 54 000 tone de produse textile, iar în perioada 2020–2024 importurile totale de textile au constituit aproximativ 284 176 tone, ceea ce reprezintă o medie anuală de circa 56 835 tone. Suplimentar, în perioada 2019–2024 au fost importate aproximativ 23 322 tone de îmbrăcăminte și alte produse textile uzate, cu o medie anuală de aproximativ 3 887 tone. Aceste fluxuri constituie un indicator important al cantităților care pot deveni deșeuri textile în următorii ani.</w:t>
            </w:r>
            <w:r w:rsidR="00C16DE4" w:rsidRPr="008B2788">
              <w:t xml:space="preserve"> (Sursa: „Studiul privind deșeurile emergente în Republica Moldova”, proiectul UE „Facilitarea unei tranziții verzi incluzive în Republica Moldova”)</w:t>
            </w:r>
          </w:p>
          <w:p w14:paraId="286ADCFF" w14:textId="77777777" w:rsidR="00E90BF6" w:rsidRPr="008B2788" w:rsidRDefault="00E90BF6" w:rsidP="008B2788">
            <w:pPr>
              <w:widowControl/>
              <w:autoSpaceDE/>
              <w:autoSpaceDN/>
              <w:ind w:left="450" w:right="166"/>
              <w:jc w:val="both"/>
            </w:pPr>
          </w:p>
          <w:p w14:paraId="487C8CD6" w14:textId="09FBE8A6" w:rsidR="002E78CC" w:rsidRPr="008B2788" w:rsidRDefault="00E90BF6" w:rsidP="008B2788">
            <w:pPr>
              <w:widowControl/>
              <w:autoSpaceDE/>
              <w:autoSpaceDN/>
              <w:ind w:left="450" w:right="166"/>
              <w:jc w:val="both"/>
              <w:rPr>
                <w:lang w:eastAsia="ro-RO"/>
              </w:rPr>
            </w:pPr>
            <w:r w:rsidRPr="008B2788">
              <w:lastRenderedPageBreak/>
              <w:t>În aceste condiții, introducerea responsabilității extinse a producătorului pentru produsele textile este necesară pentru a asigura implicarea producătorilor în finanțarea și organizarea colectării separate, sortării, pregătirii pentru reutilizare, reciclării și raportării deșeurilor textile. Reglementarea propusă urmărește reducerea cantităților eliminate prin depozitare, dezvoltarea infrastructurii de colectare și sortare, creșterea trasabilității fluxurilor textile și integrarea acestora în mecanismele economiei circulare.</w:t>
            </w:r>
          </w:p>
        </w:tc>
      </w:tr>
      <w:tr w:rsidR="006A2864" w:rsidRPr="008B2788" w14:paraId="4948A3D2" w14:textId="77777777" w:rsidTr="00501964">
        <w:trPr>
          <w:trHeight w:val="20"/>
        </w:trPr>
        <w:tc>
          <w:tcPr>
            <w:tcW w:w="10170" w:type="dxa"/>
            <w:shd w:val="clear" w:color="auto" w:fill="D1D1D1"/>
          </w:tcPr>
          <w:p w14:paraId="582973B4" w14:textId="5238548C" w:rsidR="006A2864" w:rsidRPr="008B2788" w:rsidRDefault="006A2864" w:rsidP="008B2788">
            <w:pPr>
              <w:pStyle w:val="TableParagraph"/>
              <w:jc w:val="left"/>
              <w:rPr>
                <w:b/>
              </w:rPr>
            </w:pPr>
            <w:r w:rsidRPr="008B2788">
              <w:rPr>
                <w:b/>
              </w:rPr>
              <w:lastRenderedPageBreak/>
              <w:t>3. Obiectivele urmărite și soluțiile propuse</w:t>
            </w:r>
          </w:p>
        </w:tc>
      </w:tr>
      <w:tr w:rsidR="00C45531" w:rsidRPr="008B2788" w14:paraId="38049504" w14:textId="77777777" w:rsidTr="00501964">
        <w:trPr>
          <w:trHeight w:val="20"/>
        </w:trPr>
        <w:tc>
          <w:tcPr>
            <w:tcW w:w="10170" w:type="dxa"/>
            <w:shd w:val="clear" w:color="auto" w:fill="D1D1D1"/>
          </w:tcPr>
          <w:p w14:paraId="799DDBC2" w14:textId="77777777" w:rsidR="00C45531" w:rsidRPr="008B2788" w:rsidRDefault="00000000" w:rsidP="008B2788">
            <w:pPr>
              <w:pStyle w:val="TableParagraph"/>
              <w:jc w:val="left"/>
              <w:rPr>
                <w:b/>
                <w:i/>
                <w:iCs/>
              </w:rPr>
            </w:pPr>
            <w:r w:rsidRPr="008B2788">
              <w:rPr>
                <w:b/>
                <w:i/>
                <w:iCs/>
              </w:rPr>
              <w:t>3.1</w:t>
            </w:r>
            <w:r w:rsidRPr="008B2788">
              <w:rPr>
                <w:b/>
                <w:i/>
                <w:iCs/>
                <w:spacing w:val="-5"/>
              </w:rPr>
              <w:t xml:space="preserve"> </w:t>
            </w:r>
            <w:r w:rsidRPr="008B2788">
              <w:rPr>
                <w:b/>
                <w:i/>
                <w:iCs/>
              </w:rPr>
              <w:t>Principalele</w:t>
            </w:r>
            <w:r w:rsidRPr="008B2788">
              <w:rPr>
                <w:b/>
                <w:i/>
                <w:iCs/>
                <w:spacing w:val="-4"/>
              </w:rPr>
              <w:t xml:space="preserve"> </w:t>
            </w:r>
            <w:r w:rsidRPr="008B2788">
              <w:rPr>
                <w:b/>
                <w:i/>
                <w:iCs/>
              </w:rPr>
              <w:t>prevederi</w:t>
            </w:r>
            <w:r w:rsidRPr="008B2788">
              <w:rPr>
                <w:b/>
                <w:i/>
                <w:iCs/>
                <w:spacing w:val="-6"/>
              </w:rPr>
              <w:t xml:space="preserve"> </w:t>
            </w:r>
            <w:r w:rsidRPr="008B2788">
              <w:rPr>
                <w:b/>
                <w:i/>
                <w:iCs/>
              </w:rPr>
              <w:t>ale</w:t>
            </w:r>
            <w:r w:rsidRPr="008B2788">
              <w:rPr>
                <w:b/>
                <w:i/>
                <w:iCs/>
                <w:spacing w:val="-5"/>
              </w:rPr>
              <w:t xml:space="preserve"> </w:t>
            </w:r>
            <w:r w:rsidRPr="008B2788">
              <w:rPr>
                <w:b/>
                <w:i/>
                <w:iCs/>
              </w:rPr>
              <w:t>proiectului</w:t>
            </w:r>
            <w:r w:rsidRPr="008B2788">
              <w:rPr>
                <w:b/>
                <w:i/>
                <w:iCs/>
                <w:spacing w:val="-6"/>
              </w:rPr>
              <w:t xml:space="preserve"> </w:t>
            </w:r>
            <w:r w:rsidRPr="008B2788">
              <w:rPr>
                <w:b/>
                <w:i/>
                <w:iCs/>
              </w:rPr>
              <w:t>și</w:t>
            </w:r>
            <w:r w:rsidRPr="008B2788">
              <w:rPr>
                <w:b/>
                <w:i/>
                <w:iCs/>
                <w:spacing w:val="-5"/>
              </w:rPr>
              <w:t xml:space="preserve"> </w:t>
            </w:r>
            <w:r w:rsidRPr="008B2788">
              <w:rPr>
                <w:b/>
                <w:i/>
                <w:iCs/>
              </w:rPr>
              <w:t>evidențierea</w:t>
            </w:r>
            <w:r w:rsidRPr="008B2788">
              <w:rPr>
                <w:b/>
                <w:i/>
                <w:iCs/>
                <w:spacing w:val="-4"/>
              </w:rPr>
              <w:t xml:space="preserve"> </w:t>
            </w:r>
            <w:r w:rsidRPr="008B2788">
              <w:rPr>
                <w:b/>
                <w:i/>
                <w:iCs/>
              </w:rPr>
              <w:t>elementelor</w:t>
            </w:r>
            <w:r w:rsidRPr="008B2788">
              <w:rPr>
                <w:b/>
                <w:i/>
                <w:iCs/>
                <w:spacing w:val="-4"/>
              </w:rPr>
              <w:t xml:space="preserve"> </w:t>
            </w:r>
            <w:r w:rsidRPr="008B2788">
              <w:rPr>
                <w:b/>
                <w:i/>
                <w:iCs/>
                <w:spacing w:val="-5"/>
              </w:rPr>
              <w:t>noi</w:t>
            </w:r>
          </w:p>
        </w:tc>
      </w:tr>
      <w:tr w:rsidR="00F93A0E" w:rsidRPr="008B2788" w14:paraId="2C9BB147" w14:textId="77777777" w:rsidTr="008B2788">
        <w:trPr>
          <w:trHeight w:val="984"/>
        </w:trPr>
        <w:tc>
          <w:tcPr>
            <w:tcW w:w="10170" w:type="dxa"/>
            <w:shd w:val="clear" w:color="auto" w:fill="FFFFFF" w:themeFill="background1"/>
          </w:tcPr>
          <w:p w14:paraId="03F320D5" w14:textId="39038DE0" w:rsidR="00DC5C47" w:rsidRPr="008B2788" w:rsidRDefault="00645F69" w:rsidP="008B2788">
            <w:pPr>
              <w:pStyle w:val="NormalWeb"/>
              <w:spacing w:before="0" w:beforeAutospacing="0" w:after="0" w:afterAutospacing="0"/>
              <w:ind w:left="270" w:right="174"/>
              <w:jc w:val="both"/>
              <w:rPr>
                <w:sz w:val="22"/>
                <w:szCs w:val="22"/>
              </w:rPr>
            </w:pPr>
            <w:r w:rsidRPr="008B2788">
              <w:rPr>
                <w:sz w:val="22"/>
                <w:szCs w:val="22"/>
              </w:rPr>
              <w:t>Proiectul de lege urmărește consolidarea cadrului juridic instituit prin Legea nr. 209/2016 privind deșeurile, în vederea asigurării unui cadru normativ primar mai clar, coerent și compatibil cu cerințele acquis-ului Uniunii Europene în domeniul gestionării deșeurilor. Intervențiile legislative propuse vizează prevenirea generării deșeurilor, reducerea deșeurilor alimentare, aplicarea efectivă a ierarhiei deșeurilor, dezvoltarea colectării separate, pregătirea pentru reutilizare și reciclare, stabilirea regulilor de calculare a obiectivelor, reducerea eliminării prin depozitare, reglementarea produselor din plastic de unică folosință, consolidarea responsabilității extinse a producătorului, precum și clarificarea cerințelor de autorizare, raportare, trasabilitate și control.</w:t>
            </w:r>
            <w:r w:rsidR="00C036AE" w:rsidRPr="008B2788">
              <w:rPr>
                <w:sz w:val="22"/>
                <w:szCs w:val="22"/>
              </w:rPr>
              <w:t xml:space="preserve"> </w:t>
            </w:r>
          </w:p>
          <w:p w14:paraId="229DA188" w14:textId="77777777" w:rsidR="0018271B" w:rsidRPr="008B2788" w:rsidRDefault="0018271B" w:rsidP="008B2788">
            <w:pPr>
              <w:pStyle w:val="NormalWeb"/>
              <w:spacing w:before="0" w:beforeAutospacing="0" w:after="0" w:afterAutospacing="0"/>
              <w:ind w:left="270" w:right="174"/>
              <w:jc w:val="both"/>
              <w:rPr>
                <w:sz w:val="22"/>
                <w:szCs w:val="22"/>
              </w:rPr>
            </w:pPr>
          </w:p>
          <w:p w14:paraId="751B9348" w14:textId="6BF69D8B"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Proiectul introduce și completează un șir de noțiuni necesare pentru aplicarea uniformă a legii, inclusiv noțiuni precum </w:t>
            </w:r>
            <w:proofErr w:type="spellStart"/>
            <w:r w:rsidRPr="008B2788">
              <w:rPr>
                <w:sz w:val="22"/>
                <w:szCs w:val="22"/>
              </w:rPr>
              <w:t>bio</w:t>
            </w:r>
            <w:proofErr w:type="spellEnd"/>
            <w:r w:rsidRPr="008B2788">
              <w:rPr>
                <w:sz w:val="22"/>
                <w:szCs w:val="22"/>
              </w:rPr>
              <w:t>-deșeuri, deșeuri alimentare, valorificare materială, circuit închis, consumator și operator regional. Totodată, sunt revizuite anumite definiții existente, în vederea corelării acestora cu terminologia utilizată în legislația Uniunii Europene și în actele normative naționale conexe. Aceste completări au rolul de a asigura o interpretare unitară a prevederilor legii și de a facilita aplicarea normelor privind prevenirea, colectarea, tratarea, valorificarea și eliminarea deșeurilor.</w:t>
            </w:r>
          </w:p>
          <w:p w14:paraId="3DEE387A" w14:textId="77777777" w:rsidR="00645F69" w:rsidRPr="008B2788" w:rsidRDefault="00645F69" w:rsidP="008B2788">
            <w:pPr>
              <w:pStyle w:val="NormalWeb"/>
              <w:spacing w:before="0" w:beforeAutospacing="0"/>
              <w:ind w:left="270" w:right="174"/>
              <w:jc w:val="both"/>
              <w:rPr>
                <w:sz w:val="22"/>
                <w:szCs w:val="22"/>
              </w:rPr>
            </w:pPr>
            <w:r w:rsidRPr="008B2788">
              <w:rPr>
                <w:sz w:val="22"/>
                <w:szCs w:val="22"/>
              </w:rPr>
              <w:t>În domeniul prevenirii generării deșeurilor, proiectul reformulează prevederile privind prevenirea generării deșeurilor și stabilește un cadru mai amplu de măsuri orientate spre utilizarea eficientă a resurselor, reducerea conținutului de substanțe periculoase în materiale și produse, promovarea produselor durabile, reparabile, reutilizabile și reciclabile, precum și dezvoltarea sistemelor de reparare, reutilizare și pregătire pentru reutilizare. De asemenea, proiectul prevede utilizarea unor instrumente economice, financiare, fiscale, tarifare și de planificare, destinate stimulării aplicării ierarhiei deșeurilor și descurajării eliminării acestora.</w:t>
            </w:r>
          </w:p>
          <w:p w14:paraId="5C154576" w14:textId="64EAA171" w:rsidR="00645F69" w:rsidRPr="008B2788" w:rsidRDefault="0075478F" w:rsidP="008B2788">
            <w:pPr>
              <w:pStyle w:val="NormalWeb"/>
              <w:spacing w:before="0" w:beforeAutospacing="0"/>
              <w:ind w:left="270" w:right="174"/>
              <w:jc w:val="both"/>
              <w:rPr>
                <w:sz w:val="22"/>
                <w:szCs w:val="22"/>
              </w:rPr>
            </w:pPr>
            <w:r w:rsidRPr="008B2788">
              <w:rPr>
                <w:sz w:val="22"/>
                <w:szCs w:val="22"/>
              </w:rPr>
              <w:t xml:space="preserve">Suplimentar, se introduce un </w:t>
            </w:r>
            <w:r w:rsidR="00645F69" w:rsidRPr="008B2788">
              <w:rPr>
                <w:sz w:val="22"/>
                <w:szCs w:val="22"/>
              </w:rPr>
              <w:t>articol distinct privind prevenirea generării deșeurilor alimentare</w:t>
            </w:r>
            <w:r w:rsidRPr="008B2788">
              <w:rPr>
                <w:sz w:val="22"/>
                <w:szCs w:val="22"/>
              </w:rPr>
              <w:t>, care</w:t>
            </w:r>
            <w:r w:rsidR="00645F69" w:rsidRPr="008B2788">
              <w:rPr>
                <w:sz w:val="22"/>
                <w:szCs w:val="22"/>
              </w:rPr>
              <w:t xml:space="preserve"> stabilește obligații și măsuri aplicabile de-a lungul întregului lanț alimentar, inclusiv în producția primară, prelucrare, comerț, alimentație publică și gospodării. Sunt prevăzute obiective naționale de reducere a generării deșeurilor alimentare până la 31 decembrie 2030, respectiv reducerea cu cel puțin 10% în etapa de prelucrare și producție și reducerea cu cel puțin 30% pe cap de locuitor în comerțul cu amănuntul, serviciile de alimentație și gospodării. Proiectul stabilește, de asemenea, obligații de monitorizare, evidență și raportare a datelor privind deșeurile alimentare și alimentele donate.</w:t>
            </w:r>
          </w:p>
          <w:p w14:paraId="7B74EB01" w14:textId="18406390"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În vederea promovării economiei circulare, proiectul completează prevederile privind subprodusele și încetarea statutului de deșeu. Se propune dezvoltarea, în cadrul Sistemului informațional automatizat „Managementul deșeurilor”, a unui modul dedicat sub formă de Bursă de resurse, destinat evidenței ofertelor și cererilor de subproduse și materii prime secundare. </w:t>
            </w:r>
          </w:p>
          <w:p w14:paraId="79150F32" w14:textId="2A5AE6B3" w:rsidR="00645F69" w:rsidRPr="008B2788" w:rsidRDefault="00645F69" w:rsidP="008B2788">
            <w:pPr>
              <w:pStyle w:val="NormalWeb"/>
              <w:spacing w:before="0" w:beforeAutospacing="0"/>
              <w:ind w:left="270" w:right="174"/>
              <w:jc w:val="both"/>
              <w:rPr>
                <w:sz w:val="22"/>
                <w:szCs w:val="22"/>
              </w:rPr>
            </w:pPr>
            <w:r w:rsidRPr="008B2788">
              <w:rPr>
                <w:sz w:val="22"/>
                <w:szCs w:val="22"/>
              </w:rPr>
              <w:t>Proiectul consolidează regimul responsabilității extinse a producătorului. De asemenea, se introduce posibilitatea îndeplinirii unor obligații financiare prin achitarea unei taxe pe produs, în special pentru anumite categorii de produse din plastic de unică folosință. Proiectul instituie și cadrul pentru supravegherea sistemelor colective, prin prevederi referitoare la organismul de supraveghere a responsabilității extinse a producătorului, destinat verificării îndeplinirii țintelor, corectitudinii datelor raportate, utilizării contribuțiilor financiare și respectării obligațiilor față de autoritățile administrației publice locale și operatorii autorizați.</w:t>
            </w:r>
          </w:p>
          <w:p w14:paraId="4724FFA1" w14:textId="77777777"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În domeniul colectării separate, pregătirii pentru reutilizare și reciclării, proiectul reformulează prevederile privind valorificarea deșeurilor și introduce obligații mai clare de colectare separată cel puțin pentru hârtie, materiale plastice, sticlă, metale, textile și </w:t>
            </w:r>
            <w:proofErr w:type="spellStart"/>
            <w:r w:rsidRPr="008B2788">
              <w:rPr>
                <w:sz w:val="22"/>
                <w:szCs w:val="22"/>
              </w:rPr>
              <w:t>bio</w:t>
            </w:r>
            <w:proofErr w:type="spellEnd"/>
            <w:r w:rsidRPr="008B2788">
              <w:rPr>
                <w:sz w:val="22"/>
                <w:szCs w:val="22"/>
              </w:rPr>
              <w:t xml:space="preserve">-deșeuri. Sunt prevăzute condiții stricte în care poate fi permisă derogarea de la colectarea separată, în baza unei justificări tehnice, economice și de mediu. Totodată, proiectul introduce obiective etapizate privind pregătirea pentru reutilizare, reciclarea și valorificarea materială a deșeurilor, conform poziției de negociere a Republicii Moldova și ținând cont de necesitatea unei </w:t>
            </w:r>
            <w:r w:rsidRPr="008B2788">
              <w:rPr>
                <w:sz w:val="22"/>
                <w:szCs w:val="22"/>
              </w:rPr>
              <w:lastRenderedPageBreak/>
              <w:t>perioade de tranziție față de obiectivele stabilite la nivelul Uniunii Europene.</w:t>
            </w:r>
          </w:p>
          <w:p w14:paraId="5F55AF52" w14:textId="2C6E59D2" w:rsidR="00645F69" w:rsidRPr="008B2788" w:rsidRDefault="00645F69" w:rsidP="008B2788">
            <w:pPr>
              <w:pStyle w:val="NormalWeb"/>
              <w:spacing w:before="0" w:beforeAutospacing="0"/>
              <w:ind w:left="270" w:right="174"/>
              <w:jc w:val="both"/>
              <w:rPr>
                <w:sz w:val="22"/>
                <w:szCs w:val="22"/>
              </w:rPr>
            </w:pPr>
            <w:r w:rsidRPr="008B2788">
              <w:rPr>
                <w:sz w:val="22"/>
                <w:szCs w:val="22"/>
              </w:rPr>
              <w:t>Proiectul stabilește reguli detaliate pentru calcularea îndeplinirii obiectivelor privind pregătirea pentru reutilizare și reciclarea deșeurilor municipale. Aceste prevederi urmăresc asigurarea calității, comparabilității și trasabilității datelor raportate.</w:t>
            </w:r>
          </w:p>
          <w:p w14:paraId="5C0ECEDE" w14:textId="77777777"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În domeniul eliminării și depozitării deșeurilor, proiectul reformulează prevederile privind eliminarea deșeurilor și depozitele de deșeuri. Sunt introduse cerințe privind întregul ciclu de viață al depozitului, inclusiv proiectarea, construcția, exploatarea, acceptarea deșeurilor, monitorizarea, închiderea și urmărirea </w:t>
            </w:r>
            <w:proofErr w:type="spellStart"/>
            <w:r w:rsidRPr="008B2788">
              <w:rPr>
                <w:sz w:val="22"/>
                <w:szCs w:val="22"/>
              </w:rPr>
              <w:t>postînchidere</w:t>
            </w:r>
            <w:proofErr w:type="spellEnd"/>
            <w:r w:rsidRPr="008B2788">
              <w:rPr>
                <w:sz w:val="22"/>
                <w:szCs w:val="22"/>
              </w:rPr>
              <w:t>. De asemenea, proiectul prevede interdicții privind acceptarea la depozitare a anumitor categorii de deșeuri, inclusiv deșeuri colectate separat în vederea pregătirii pentru reutilizare sau reciclării. Un element important îl constituie introducerea obiectivului potrivit căruia, până la 31 decembrie 2045, cantitatea totală de deșeuri municipale eliminate prin depozitare se reduce la cel mult 10% din cantitatea totală de deșeuri municipale generate anual, calculată în greutate, în condițiile stabilite de Guvern. Acest obiectiv reflectă poziția de negociere a Republicii Moldova și perioada de tranziție necesară față de obiectivul prevăzut de acquis-</w:t>
            </w:r>
            <w:proofErr w:type="spellStart"/>
            <w:r w:rsidRPr="008B2788">
              <w:rPr>
                <w:sz w:val="22"/>
                <w:szCs w:val="22"/>
              </w:rPr>
              <w:t>ul</w:t>
            </w:r>
            <w:proofErr w:type="spellEnd"/>
            <w:r w:rsidRPr="008B2788">
              <w:rPr>
                <w:sz w:val="22"/>
                <w:szCs w:val="22"/>
              </w:rPr>
              <w:t xml:space="preserve"> Uniunii Europene.</w:t>
            </w:r>
          </w:p>
          <w:p w14:paraId="1CEF98D5" w14:textId="5A2DC6A8" w:rsidR="00645F69" w:rsidRPr="008B2788" w:rsidRDefault="00645F69" w:rsidP="008B2788">
            <w:pPr>
              <w:pStyle w:val="NormalWeb"/>
              <w:spacing w:before="0" w:beforeAutospacing="0"/>
              <w:ind w:left="270" w:right="174"/>
              <w:jc w:val="both"/>
              <w:rPr>
                <w:sz w:val="22"/>
                <w:szCs w:val="22"/>
              </w:rPr>
            </w:pPr>
            <w:r w:rsidRPr="008B2788">
              <w:rPr>
                <w:sz w:val="22"/>
                <w:szCs w:val="22"/>
              </w:rPr>
              <w:t>Proiectul clarifică regimul de autorizare a activităților și instalațiilor de gestionare a deșeurilor. Sunt completate prevederile privind colectarea, stocarea, tratarea, valorificarea și eliminarea deșeurilor, prin stabilirea condițiilor referitoare la amplasarea instalațiilor, existența actelor permisive în domeniul urbanismului și construcțiilor, autorizarea conform legii și respectarea condițiilor tehnice de funcționare.</w:t>
            </w:r>
          </w:p>
          <w:p w14:paraId="2EC6E11F" w14:textId="77777777" w:rsidR="00645F69" w:rsidRPr="008B2788" w:rsidRDefault="00645F69" w:rsidP="008B2788">
            <w:pPr>
              <w:pStyle w:val="NormalWeb"/>
              <w:spacing w:before="0" w:beforeAutospacing="0" w:after="0" w:afterAutospacing="0"/>
              <w:ind w:left="270" w:right="174"/>
              <w:jc w:val="both"/>
              <w:rPr>
                <w:sz w:val="22"/>
                <w:szCs w:val="22"/>
              </w:rPr>
            </w:pPr>
            <w:r w:rsidRPr="008B2788">
              <w:rPr>
                <w:sz w:val="22"/>
                <w:szCs w:val="22"/>
              </w:rPr>
              <w:t>În ceea ce privește deșeurile periculoase, proiectul reformulează prevederile referitoare la controlul, amestecarea, ambalarea, etichetarea, transportarea și trasabilitatea acestora. Se clarifică interdicția de amestecare a deșeurilor periculoase cu alte deșeuri, substanțe sau materiale, precum și condițiile limitative în care amestecarea poate fi permisă. Totodată, proiectul introduce reguli pentru colectarea separată a fracțiilor de deșeuri periculoase provenite din gospodării, prin puncte fixe de colectare, centre de aport voluntar, campanii periodice, colectare mobilă sau alte sisteme organizate de autoritățile administrației publice locale.</w:t>
            </w:r>
          </w:p>
          <w:p w14:paraId="74A698D7" w14:textId="292AFA7E"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Un alt element nou îl constituie instituirea raportării naționale privind gestionarea deșeurilor și verificarea calității datelor. Proiectul stabilește rolul Agenției de Mediu în colectarea, validarea, consolidarea și verificarea datelor prin Sistemul informațional automatizat „Managementul deșeurilor”, precum și obligația de elaborare a rapoartelor privind calitatea datelor. </w:t>
            </w:r>
          </w:p>
          <w:p w14:paraId="2E0F161F" w14:textId="4A7C0596"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Proiectul reformulează prevederile privind Programul național pentru gestionarea deșeurilor, stabilind un conținut mai detaliat al acestuia. </w:t>
            </w:r>
          </w:p>
          <w:p w14:paraId="3BF832AF" w14:textId="4034B9AC" w:rsidR="00645F69" w:rsidRPr="008B2788" w:rsidRDefault="00645F69" w:rsidP="008B2788">
            <w:pPr>
              <w:pStyle w:val="NormalWeb"/>
              <w:spacing w:before="0" w:beforeAutospacing="0"/>
              <w:ind w:left="270" w:right="174"/>
              <w:jc w:val="both"/>
              <w:rPr>
                <w:sz w:val="22"/>
                <w:szCs w:val="22"/>
              </w:rPr>
            </w:pPr>
            <w:r w:rsidRPr="008B2788">
              <w:rPr>
                <w:sz w:val="22"/>
                <w:szCs w:val="22"/>
              </w:rPr>
              <w:t>În domeniul produselor textile, proiectul introduce un cadru distinct de responsabilitate extinsă a producătorului. Sunt prevăzute obligații privind acoperirea costurilor de sortare, colectare, transport, tratare, cercetare și dezvoltare, precum și obligații aplicabile platformelor online și serviciilor de logistică pentru verificarea înregistrării producătorilor. De asemenea, proiectul prevede reguli privind colectarea separată a textilelor, expedierile profesionale de textile uzate, analiza compoziției deșeurilor municipale mixte și măsurile corective pentru extinderea rețelei de colectare.</w:t>
            </w:r>
          </w:p>
          <w:p w14:paraId="65DB7DD3" w14:textId="41C3DEB1" w:rsidR="00645F69" w:rsidRPr="008B2788" w:rsidRDefault="00645F69" w:rsidP="008B2788">
            <w:pPr>
              <w:pStyle w:val="NormalWeb"/>
              <w:spacing w:before="0" w:beforeAutospacing="0"/>
              <w:ind w:left="270" w:right="174"/>
              <w:jc w:val="both"/>
              <w:rPr>
                <w:sz w:val="22"/>
                <w:szCs w:val="22"/>
              </w:rPr>
            </w:pPr>
            <w:r w:rsidRPr="008B2788">
              <w:rPr>
                <w:sz w:val="22"/>
                <w:szCs w:val="22"/>
              </w:rPr>
              <w:t>În domeniul ambalajelor, proiectul introduce completări referitoare la ambalajele reutilizabile, metalele grele, introducerea intenționată și prezența accidentală a metalelor grele. De asemenea, proiectul clarifică funcționarea sistemului de depozit pentru ambalaje, inclusiv pentru ambalaje reutilizabile și de unică folosință, obligațiile comercianților, rolul administratorului sistemului, țintele de colectare, raportarea și publicarea datelor.</w:t>
            </w:r>
          </w:p>
          <w:p w14:paraId="7BAA1225" w14:textId="77777777" w:rsidR="003D3E5B" w:rsidRPr="008B2788" w:rsidRDefault="00645F69" w:rsidP="008B2788">
            <w:pPr>
              <w:pStyle w:val="NormalWeb"/>
              <w:spacing w:before="0" w:beforeAutospacing="0"/>
              <w:ind w:left="270" w:right="174"/>
              <w:jc w:val="both"/>
              <w:rPr>
                <w:sz w:val="22"/>
                <w:szCs w:val="22"/>
              </w:rPr>
            </w:pPr>
            <w:r w:rsidRPr="008B2788">
              <w:rPr>
                <w:sz w:val="22"/>
                <w:szCs w:val="22"/>
              </w:rPr>
              <w:t xml:space="preserve">În domeniul </w:t>
            </w:r>
            <w:proofErr w:type="spellStart"/>
            <w:r w:rsidRPr="008B2788">
              <w:rPr>
                <w:sz w:val="22"/>
                <w:szCs w:val="22"/>
              </w:rPr>
              <w:t>bio</w:t>
            </w:r>
            <w:proofErr w:type="spellEnd"/>
            <w:r w:rsidRPr="008B2788">
              <w:rPr>
                <w:sz w:val="22"/>
                <w:szCs w:val="22"/>
              </w:rPr>
              <w:t xml:space="preserve">-deșeurilor, proiectul reformulează prevederile existente, stabilind că </w:t>
            </w:r>
            <w:proofErr w:type="spellStart"/>
            <w:r w:rsidRPr="008B2788">
              <w:rPr>
                <w:sz w:val="22"/>
                <w:szCs w:val="22"/>
              </w:rPr>
              <w:t>bio</w:t>
            </w:r>
            <w:proofErr w:type="spellEnd"/>
            <w:r w:rsidRPr="008B2788">
              <w:rPr>
                <w:sz w:val="22"/>
                <w:szCs w:val="22"/>
              </w:rPr>
              <w:t xml:space="preserve">-deșeurile trebuie separate și reciclate la sursă sau colectate separat și să nu fie amestecate cu alte tipuri de deșeuri. Sunt prevăzute măsuri pentru compostare, digestie anaerobă, compostare la locul generării, promovarea utilizării compostului și </w:t>
            </w:r>
            <w:proofErr w:type="spellStart"/>
            <w:r w:rsidRPr="008B2788">
              <w:rPr>
                <w:sz w:val="22"/>
                <w:szCs w:val="22"/>
              </w:rPr>
              <w:t>digestatului</w:t>
            </w:r>
            <w:proofErr w:type="spellEnd"/>
            <w:r w:rsidRPr="008B2788">
              <w:rPr>
                <w:sz w:val="22"/>
                <w:szCs w:val="22"/>
              </w:rPr>
              <w:t xml:space="preserve">, precum și cerințe privind calitatea materialelor rezultate. </w:t>
            </w:r>
          </w:p>
          <w:p w14:paraId="62B4599A" w14:textId="74730595"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În ceea ce privește deșeurile de azbest, proiectul reformulează cadrul juridic aplicabil materialelor care conțin azbest și deșeurilor de azbest. Sunt introduse obligații privind identificarea materialelor cu conținut de azbest </w:t>
            </w:r>
            <w:r w:rsidRPr="008B2788">
              <w:rPr>
                <w:sz w:val="22"/>
                <w:szCs w:val="22"/>
              </w:rPr>
              <w:lastRenderedPageBreak/>
              <w:t>înainte de lucrările de demolare, renovare sau reparație, elaborarea planului de lucru pentru prevenirea poluării cu azbest, colectarea separată, ambalarea, etichetarea, stocarea temporară, transportarea și eliminarea acestora numai prin operatori autorizați și în depozite sau celule special amenajate.</w:t>
            </w:r>
          </w:p>
          <w:p w14:paraId="5E1B8C7C" w14:textId="77777777" w:rsidR="00645F69" w:rsidRPr="008B2788" w:rsidRDefault="00645F69" w:rsidP="008B2788">
            <w:pPr>
              <w:pStyle w:val="NormalWeb"/>
              <w:spacing w:before="0" w:beforeAutospacing="0"/>
              <w:ind w:left="270" w:right="174"/>
              <w:jc w:val="both"/>
              <w:rPr>
                <w:sz w:val="22"/>
                <w:szCs w:val="22"/>
              </w:rPr>
            </w:pPr>
            <w:r w:rsidRPr="008B2788">
              <w:rPr>
                <w:sz w:val="22"/>
                <w:szCs w:val="22"/>
              </w:rPr>
              <w:t>În domeniul deșeurilor din construcții și demolări, proiectul introduce prevederi privind aplicarea ierarhiei deșeurilor, integrarea măsurilor de gestionare a deșeurilor în proiectele de execuție și desființare, auditul anterior demolării pentru anumite categorii de clădiri, recuperarea și recondiționarea materialelor și elementelor de construcție, precum și atingerea obiectivelor de valorificare materială. Aceste măsuri urmăresc creșterea trasabilității și valorificării materialelor rezultate din construcții, renovări și demolări.</w:t>
            </w:r>
          </w:p>
          <w:p w14:paraId="4FBF430E" w14:textId="77777777"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Un capitol important al proiectului îl constituie reglementarea produselor din plastic de unică folosință. Proiectul introduce articole distincte privind domeniul de aplicare, reducerea consumului, restricțiile de plasare pe piață, cerințele legate de produs și marcarea acestuia, responsabilitatea extinsă a producătorului, măsurile de sensibilizare, raportarea și monitorizarea. Se propun interdicții privind plasarea pe piață a anumitor produse din plastic de unică folosință, inclusiv produse fabricate din materiale plastice </w:t>
            </w:r>
            <w:proofErr w:type="spellStart"/>
            <w:r w:rsidRPr="008B2788">
              <w:rPr>
                <w:sz w:val="22"/>
                <w:szCs w:val="22"/>
              </w:rPr>
              <w:t>oxodegradabile</w:t>
            </w:r>
            <w:proofErr w:type="spellEnd"/>
            <w:r w:rsidRPr="008B2788">
              <w:rPr>
                <w:sz w:val="22"/>
                <w:szCs w:val="22"/>
              </w:rPr>
              <w:t>, produse din polistiren expandat, pungi de transport din plastic și coroane sau ornamente funerare din plastic. Pentru recipientele pentru băuturi se introduc cerințe privind dopurile și capacele atașate, conținutul minim de plastic reciclat și colectarea separată prin sistemul de depozit.</w:t>
            </w:r>
          </w:p>
          <w:p w14:paraId="78ED1B15" w14:textId="3620EA74" w:rsidR="00645F69" w:rsidRPr="008B2788" w:rsidRDefault="00645F69" w:rsidP="008B2788">
            <w:pPr>
              <w:pStyle w:val="NormalWeb"/>
              <w:spacing w:before="0" w:beforeAutospacing="0"/>
              <w:ind w:left="270" w:right="174"/>
              <w:jc w:val="both"/>
              <w:rPr>
                <w:sz w:val="22"/>
                <w:szCs w:val="22"/>
              </w:rPr>
            </w:pPr>
            <w:r w:rsidRPr="008B2788">
              <w:rPr>
                <w:sz w:val="22"/>
                <w:szCs w:val="22"/>
              </w:rPr>
              <w:t>Pentru produsele din plastic de unică folosință, proiectul introduce și obligații de marcare, aplicabile unor produse precum absorbantele, tampoanele igienice, șervețelele umede, produsele din tutun cu filtre și paharele pentru băuturi. Totodată, proiectul prevede măsuri de sensibilizare a consumatorilor și utilizatorilor, inclusiv în domeniul educației, al gestionării bazinelor hidrografice și al protecției mediului acvatic.</w:t>
            </w:r>
          </w:p>
          <w:p w14:paraId="77BE76D9" w14:textId="27CF4014" w:rsidR="00645F69" w:rsidRPr="008B2788" w:rsidRDefault="00645F69" w:rsidP="008B2788">
            <w:pPr>
              <w:pStyle w:val="NormalWeb"/>
              <w:spacing w:before="0" w:beforeAutospacing="0"/>
              <w:ind w:left="270" w:right="174"/>
              <w:jc w:val="both"/>
              <w:rPr>
                <w:sz w:val="22"/>
                <w:szCs w:val="22"/>
              </w:rPr>
            </w:pPr>
            <w:r w:rsidRPr="008B2788">
              <w:rPr>
                <w:sz w:val="22"/>
                <w:szCs w:val="22"/>
              </w:rPr>
              <w:t xml:space="preserve">În final, proiectul reformulează prevederile privind interdicțiile și răspunderea pentru încălcarea legislației privind deșeurile. Se interzice abandonarea, aruncarea, deversarea, împrăștierea, incendierea neautorizată, depozitarea în locuri neautorizate și orice altă formă de gestionare necontrolată a deșeurilor. </w:t>
            </w:r>
          </w:p>
          <w:p w14:paraId="73F31237" w14:textId="77777777" w:rsidR="0018271B" w:rsidRPr="008B2788" w:rsidRDefault="00645F69" w:rsidP="008B2788">
            <w:pPr>
              <w:pStyle w:val="NormalWeb"/>
              <w:spacing w:before="0" w:beforeAutospacing="0" w:after="0" w:afterAutospacing="0"/>
              <w:ind w:left="270" w:right="174"/>
              <w:jc w:val="both"/>
              <w:rPr>
                <w:sz w:val="22"/>
                <w:szCs w:val="22"/>
              </w:rPr>
            </w:pPr>
            <w:r w:rsidRPr="008B2788">
              <w:rPr>
                <w:sz w:val="22"/>
                <w:szCs w:val="22"/>
              </w:rPr>
              <w:t>Prin ansamblul acestor prevederi, proiectul de lege introduce un cadru legislativ extins și actualizat, orientat spre prevenirea generării deșeurilor, creșterea gradului de colectare separată și reciclare, reducerea depozitării, responsabilizarea producătorilor, îmbunătățirea trasabilității și a calității datelor, precum și crearea premiselor pentru elaborarea și aplicarea actelor normative subsecvente necesare implementării efective a cerințelor europene în domeniul gestionării deșeurilor.</w:t>
            </w:r>
            <w:r w:rsidR="0018271B" w:rsidRPr="008B2788">
              <w:rPr>
                <w:sz w:val="22"/>
                <w:szCs w:val="22"/>
              </w:rPr>
              <w:t xml:space="preserve"> </w:t>
            </w:r>
          </w:p>
          <w:p w14:paraId="66F2350E" w14:textId="77777777" w:rsidR="00A31AA6" w:rsidRPr="008B2788" w:rsidRDefault="00A31AA6" w:rsidP="008B2788">
            <w:pPr>
              <w:pStyle w:val="NormalWeb"/>
              <w:spacing w:before="0" w:beforeAutospacing="0" w:after="0" w:afterAutospacing="0"/>
              <w:ind w:left="274" w:right="173"/>
              <w:contextualSpacing/>
              <w:jc w:val="both"/>
              <w:rPr>
                <w:sz w:val="22"/>
                <w:szCs w:val="22"/>
              </w:rPr>
            </w:pPr>
          </w:p>
          <w:p w14:paraId="00CBFC53" w14:textId="498E6C04" w:rsidR="00F93A0E" w:rsidRPr="008B2788" w:rsidRDefault="0018271B" w:rsidP="008B2788">
            <w:pPr>
              <w:pStyle w:val="NormalWeb"/>
              <w:spacing w:before="0" w:beforeAutospacing="0" w:after="0" w:afterAutospacing="0"/>
              <w:ind w:left="274" w:right="173"/>
              <w:contextualSpacing/>
              <w:jc w:val="both"/>
              <w:rPr>
                <w:b/>
                <w:bCs/>
                <w:sz w:val="22"/>
                <w:szCs w:val="22"/>
              </w:rPr>
            </w:pPr>
            <w:r w:rsidRPr="008B2788">
              <w:rPr>
                <w:sz w:val="22"/>
                <w:szCs w:val="22"/>
              </w:rPr>
              <w:t>Totodată, proiectul creează premisele necesare pentru elaborarea și aplicarea actelor normative subsecvente și asigură alinierea graduală a cadrului normativ național la cerințele acquis-ului Uniunii Europene, în conformitate cu angajamentele asumate prin Programul național de aderare a Republicii Moldova la Uniunea Europeană pentru anii 2025–2029.</w:t>
            </w:r>
          </w:p>
        </w:tc>
      </w:tr>
    </w:tbl>
    <w:p w14:paraId="22D597E4" w14:textId="77777777" w:rsidR="00C45531" w:rsidRPr="008B2788" w:rsidRDefault="00C45531" w:rsidP="008B2788">
      <w:pPr>
        <w:pStyle w:val="TableParagraph"/>
        <w:ind w:left="0"/>
        <w:jc w:val="left"/>
        <w:rPr>
          <w:b/>
        </w:rPr>
        <w:sectPr w:rsidR="00C45531" w:rsidRPr="008B2788" w:rsidSect="008B2788">
          <w:type w:val="continuous"/>
          <w:pgSz w:w="11910" w:h="16840" w:code="9"/>
          <w:pgMar w:top="1094" w:right="706" w:bottom="1080" w:left="1699" w:header="432" w:footer="432" w:gutter="0"/>
          <w:cols w:space="720"/>
        </w:sectPr>
      </w:pPr>
    </w:p>
    <w:tbl>
      <w:tblPr>
        <w:tblStyle w:val="TableNormal1"/>
        <w:tblW w:w="101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501964" w:rsidRPr="008B2788" w14:paraId="0BECDDD4" w14:textId="77777777" w:rsidTr="008B2788">
        <w:trPr>
          <w:trHeight w:val="20"/>
        </w:trPr>
        <w:tc>
          <w:tcPr>
            <w:tcW w:w="10170" w:type="dxa"/>
          </w:tcPr>
          <w:p w14:paraId="171496E0" w14:textId="77777777" w:rsidR="00501964" w:rsidRPr="008B2788" w:rsidRDefault="00501964" w:rsidP="008B2788">
            <w:pPr>
              <w:pStyle w:val="TableParagraph"/>
              <w:jc w:val="left"/>
              <w:rPr>
                <w:b/>
                <w:i/>
                <w:iCs/>
              </w:rPr>
            </w:pPr>
            <w:r w:rsidRPr="008B2788">
              <w:rPr>
                <w:b/>
                <w:i/>
                <w:iCs/>
              </w:rPr>
              <w:t>3.2</w:t>
            </w:r>
            <w:r w:rsidRPr="008B2788">
              <w:rPr>
                <w:b/>
                <w:i/>
                <w:iCs/>
                <w:spacing w:val="-6"/>
              </w:rPr>
              <w:t xml:space="preserve"> </w:t>
            </w:r>
            <w:r w:rsidRPr="008B2788">
              <w:rPr>
                <w:b/>
                <w:i/>
                <w:iCs/>
              </w:rPr>
              <w:t>Opțiunile</w:t>
            </w:r>
            <w:r w:rsidRPr="008B2788">
              <w:rPr>
                <w:b/>
                <w:i/>
                <w:iCs/>
                <w:spacing w:val="-3"/>
              </w:rPr>
              <w:t xml:space="preserve"> </w:t>
            </w:r>
            <w:r w:rsidRPr="008B2788">
              <w:rPr>
                <w:b/>
                <w:i/>
                <w:iCs/>
              </w:rPr>
              <w:t>alternative</w:t>
            </w:r>
            <w:r w:rsidRPr="008B2788">
              <w:rPr>
                <w:b/>
                <w:i/>
                <w:iCs/>
                <w:spacing w:val="-6"/>
              </w:rPr>
              <w:t xml:space="preserve"> </w:t>
            </w:r>
            <w:r w:rsidRPr="008B2788">
              <w:rPr>
                <w:b/>
                <w:i/>
                <w:iCs/>
              </w:rPr>
              <w:t>analizate</w:t>
            </w:r>
            <w:r w:rsidRPr="008B2788">
              <w:rPr>
                <w:b/>
                <w:i/>
                <w:iCs/>
                <w:spacing w:val="-3"/>
              </w:rPr>
              <w:t xml:space="preserve"> </w:t>
            </w:r>
            <w:r w:rsidRPr="008B2788">
              <w:rPr>
                <w:b/>
                <w:i/>
                <w:iCs/>
              </w:rPr>
              <w:t>și</w:t>
            </w:r>
            <w:r w:rsidRPr="008B2788">
              <w:rPr>
                <w:b/>
                <w:i/>
                <w:iCs/>
                <w:spacing w:val="-3"/>
              </w:rPr>
              <w:t xml:space="preserve"> </w:t>
            </w:r>
            <w:r w:rsidRPr="008B2788">
              <w:rPr>
                <w:b/>
                <w:i/>
                <w:iCs/>
              </w:rPr>
              <w:t>motivele</w:t>
            </w:r>
            <w:r w:rsidRPr="008B2788">
              <w:rPr>
                <w:b/>
                <w:i/>
                <w:iCs/>
                <w:spacing w:val="-3"/>
              </w:rPr>
              <w:t xml:space="preserve"> </w:t>
            </w:r>
            <w:r w:rsidRPr="008B2788">
              <w:rPr>
                <w:b/>
                <w:i/>
                <w:iCs/>
              </w:rPr>
              <w:t>pentru</w:t>
            </w:r>
            <w:r w:rsidRPr="008B2788">
              <w:rPr>
                <w:b/>
                <w:i/>
                <w:iCs/>
                <w:spacing w:val="-4"/>
              </w:rPr>
              <w:t xml:space="preserve"> </w:t>
            </w:r>
            <w:r w:rsidRPr="008B2788">
              <w:rPr>
                <w:b/>
                <w:i/>
                <w:iCs/>
              </w:rPr>
              <w:t>care</w:t>
            </w:r>
            <w:r w:rsidRPr="008B2788">
              <w:rPr>
                <w:b/>
                <w:i/>
                <w:iCs/>
                <w:spacing w:val="-3"/>
              </w:rPr>
              <w:t xml:space="preserve"> </w:t>
            </w:r>
            <w:r w:rsidRPr="008B2788">
              <w:rPr>
                <w:b/>
                <w:i/>
                <w:iCs/>
              </w:rPr>
              <w:t>acestea</w:t>
            </w:r>
            <w:r w:rsidRPr="008B2788">
              <w:rPr>
                <w:b/>
                <w:i/>
                <w:iCs/>
                <w:spacing w:val="-4"/>
              </w:rPr>
              <w:t xml:space="preserve"> </w:t>
            </w:r>
            <w:r w:rsidRPr="008B2788">
              <w:rPr>
                <w:b/>
                <w:i/>
                <w:iCs/>
              </w:rPr>
              <w:t>nu</w:t>
            </w:r>
            <w:r w:rsidRPr="008B2788">
              <w:rPr>
                <w:b/>
                <w:i/>
                <w:iCs/>
                <w:spacing w:val="-4"/>
              </w:rPr>
              <w:t xml:space="preserve"> </w:t>
            </w:r>
            <w:r w:rsidRPr="008B2788">
              <w:rPr>
                <w:b/>
                <w:i/>
                <w:iCs/>
              </w:rPr>
              <w:t>au</w:t>
            </w:r>
            <w:r w:rsidRPr="008B2788">
              <w:rPr>
                <w:b/>
                <w:i/>
                <w:iCs/>
                <w:spacing w:val="-6"/>
              </w:rPr>
              <w:t xml:space="preserve"> </w:t>
            </w:r>
            <w:r w:rsidRPr="008B2788">
              <w:rPr>
                <w:b/>
                <w:i/>
                <w:iCs/>
              </w:rPr>
              <w:t>fost</w:t>
            </w:r>
            <w:r w:rsidRPr="008B2788">
              <w:rPr>
                <w:b/>
                <w:i/>
                <w:iCs/>
                <w:spacing w:val="-6"/>
              </w:rPr>
              <w:t xml:space="preserve"> </w:t>
            </w:r>
            <w:r w:rsidRPr="008B2788">
              <w:rPr>
                <w:b/>
                <w:i/>
                <w:iCs/>
              </w:rPr>
              <w:t>luate</w:t>
            </w:r>
            <w:r w:rsidRPr="008B2788">
              <w:rPr>
                <w:b/>
                <w:i/>
                <w:iCs/>
                <w:spacing w:val="-5"/>
              </w:rPr>
              <w:t xml:space="preserve"> </w:t>
            </w:r>
            <w:r w:rsidRPr="008B2788">
              <w:rPr>
                <w:b/>
                <w:i/>
                <w:iCs/>
              </w:rPr>
              <w:t>în</w:t>
            </w:r>
            <w:r w:rsidRPr="008B2788">
              <w:rPr>
                <w:b/>
                <w:i/>
                <w:iCs/>
                <w:spacing w:val="-6"/>
              </w:rPr>
              <w:t xml:space="preserve"> </w:t>
            </w:r>
            <w:r w:rsidRPr="008B2788">
              <w:rPr>
                <w:b/>
                <w:i/>
                <w:iCs/>
                <w:spacing w:val="-2"/>
              </w:rPr>
              <w:t>considerare</w:t>
            </w:r>
          </w:p>
        </w:tc>
      </w:tr>
      <w:tr w:rsidR="00501964" w:rsidRPr="008B2788" w14:paraId="3F402260" w14:textId="77777777" w:rsidTr="008B2788">
        <w:trPr>
          <w:trHeight w:val="20"/>
        </w:trPr>
        <w:tc>
          <w:tcPr>
            <w:tcW w:w="10170" w:type="dxa"/>
          </w:tcPr>
          <w:p w14:paraId="1906C850" w14:textId="77777777" w:rsidR="00501964" w:rsidRPr="008B2788" w:rsidRDefault="00501964" w:rsidP="008B2788">
            <w:pPr>
              <w:pStyle w:val="TableParagraph"/>
              <w:ind w:left="170" w:right="140"/>
            </w:pPr>
            <w:r w:rsidRPr="008B2788">
              <w:t>În procesul de elaborare a proiectului de lege, au fost analizate următoarele opțiuni alternative:</w:t>
            </w:r>
          </w:p>
          <w:p w14:paraId="343F64AD" w14:textId="77777777" w:rsidR="00501964" w:rsidRPr="008B2788" w:rsidRDefault="00501964" w:rsidP="008B2788">
            <w:pPr>
              <w:pStyle w:val="TableParagraph"/>
              <w:ind w:left="170" w:right="140"/>
              <w:rPr>
                <w:b/>
                <w:bCs/>
              </w:rPr>
            </w:pPr>
          </w:p>
          <w:p w14:paraId="7F0622DA" w14:textId="77777777" w:rsidR="00501964" w:rsidRPr="008B2788" w:rsidRDefault="00501964" w:rsidP="008B2788">
            <w:pPr>
              <w:pStyle w:val="TableParagraph"/>
              <w:ind w:left="170" w:right="140"/>
              <w:rPr>
                <w:b/>
                <w:bCs/>
              </w:rPr>
            </w:pPr>
            <w:r w:rsidRPr="008B2788">
              <w:rPr>
                <w:b/>
                <w:bCs/>
              </w:rPr>
              <w:t>Opțiunile alternative și riscurile lipsei de intervenție</w:t>
            </w:r>
          </w:p>
          <w:p w14:paraId="2973F584" w14:textId="77777777" w:rsidR="00501964" w:rsidRPr="008B2788" w:rsidRDefault="00501964" w:rsidP="008B2788">
            <w:pPr>
              <w:pStyle w:val="TableParagraph"/>
              <w:ind w:left="170" w:right="140"/>
              <w:rPr>
                <w:b/>
                <w:bCs/>
              </w:rPr>
            </w:pPr>
          </w:p>
          <w:p w14:paraId="609E8738" w14:textId="77777777" w:rsidR="00501964" w:rsidRPr="008B2788" w:rsidRDefault="00501964" w:rsidP="008B2788">
            <w:pPr>
              <w:pStyle w:val="TableParagraph"/>
              <w:ind w:left="170" w:right="140"/>
            </w:pPr>
            <w:r w:rsidRPr="008B2788">
              <w:t>În procesul de analizare a soluțiilor posibile pentru alinierea la actele normative UE au fost evaluate mai multe opțiuni alternative, inclusiv scenariul lipsei de intervenție. Analiza acestora este necesară pentru a determina nivelul de eficiență, fezabilitate și compatibilitate cu obiectivele de mediu, economice și sociale, precum și cu obligațiile interne ale Republicii Moldova în procesul de armonizare la acquis‑</w:t>
            </w:r>
            <w:proofErr w:type="spellStart"/>
            <w:r w:rsidRPr="008B2788">
              <w:t>ul</w:t>
            </w:r>
            <w:proofErr w:type="spellEnd"/>
            <w:r w:rsidRPr="008B2788">
              <w:t xml:space="preserve"> Uniunii Europene.</w:t>
            </w:r>
          </w:p>
          <w:p w14:paraId="3CB64703" w14:textId="77777777" w:rsidR="00501964" w:rsidRPr="008B2788" w:rsidRDefault="00501964" w:rsidP="008B2788">
            <w:pPr>
              <w:pStyle w:val="TableParagraph"/>
              <w:ind w:left="170" w:right="140"/>
            </w:pPr>
          </w:p>
          <w:p w14:paraId="37CF057F" w14:textId="77777777" w:rsidR="00501964" w:rsidRPr="008B2788" w:rsidRDefault="00501964" w:rsidP="008B2788">
            <w:pPr>
              <w:pStyle w:val="TableParagraph"/>
              <w:ind w:left="170" w:right="140"/>
              <w:rPr>
                <w:b/>
                <w:bCs/>
                <w:i/>
                <w:iCs/>
              </w:rPr>
            </w:pPr>
            <w:r w:rsidRPr="008B2788">
              <w:rPr>
                <w:b/>
                <w:bCs/>
                <w:i/>
                <w:iCs/>
              </w:rPr>
              <w:t>Opțiunea „status quo” – lipsa de intervenție normativă</w:t>
            </w:r>
          </w:p>
          <w:p w14:paraId="1C12B6F3" w14:textId="77777777" w:rsidR="00501964" w:rsidRPr="008B2788" w:rsidRDefault="00501964" w:rsidP="008B2788">
            <w:pPr>
              <w:pStyle w:val="TableParagraph"/>
              <w:ind w:left="170" w:right="140"/>
            </w:pPr>
          </w:p>
          <w:p w14:paraId="15014BA4" w14:textId="77777777" w:rsidR="00501964" w:rsidRPr="008B2788" w:rsidRDefault="00501964" w:rsidP="008B2788">
            <w:pPr>
              <w:pStyle w:val="TableParagraph"/>
              <w:ind w:left="170" w:right="140"/>
            </w:pPr>
            <w:r w:rsidRPr="008B2788">
              <w:t>Prima opțiune analizată constă în menținerea cadrului normativ actual, fără modificarea Legii nr. 209/2016 privind deșeurile. Această opțiune ar presupune continuarea aplicării prevederilor existente privind gestionarea deșeurilor, fără completarea acestora cu norme noi privind prevenirea generării deșeurilor alimentare, responsabilitatea extinsă a producătorului pentru textile, produsele din plastic de unică folosință, consolidarea colectării separate, regulile de calculare a obiectivelor de reciclare, reducerea depozitării deșeurilor municipale, raportarea și verificarea calității datelor.</w:t>
            </w:r>
          </w:p>
          <w:p w14:paraId="6DBF915E" w14:textId="77777777" w:rsidR="00501964" w:rsidRPr="008B2788" w:rsidRDefault="00501964" w:rsidP="008B2788">
            <w:pPr>
              <w:pStyle w:val="TableParagraph"/>
              <w:ind w:left="170" w:right="140"/>
            </w:pPr>
          </w:p>
          <w:p w14:paraId="6938A53A" w14:textId="77777777" w:rsidR="00501964" w:rsidRPr="008B2788" w:rsidRDefault="00501964" w:rsidP="008B2788">
            <w:pPr>
              <w:pStyle w:val="TableParagraph"/>
              <w:ind w:left="170" w:right="140"/>
            </w:pPr>
            <w:r w:rsidRPr="008B2788">
              <w:lastRenderedPageBreak/>
              <w:t>Această opțiune nu poate fi reținută, deoarece nu ar permite realizarea angajamentelor asumate de Republica Moldova în procesul de aderare la Uniunea Europeană și nu ar asigura alinierea cadrului normativ național la cerințele acquis-ului Uniunii Europene în domeniul deșeurilor. Menținerea situației actuale ar perpetua lacunele de reglementare existente, inclusiv lipsa unor obiective etapizate pentru reciclare și reducerea depozitării, lipsa unor reguli clare pentru produsele din plastic de unică folosință, insuficiența cadrului privind deșeurile textile și lipsa unui mecanism consolidat de raportare și verificare a calității datelor.</w:t>
            </w:r>
          </w:p>
          <w:p w14:paraId="3D27996E" w14:textId="77777777" w:rsidR="00501964" w:rsidRPr="008B2788" w:rsidRDefault="00501964" w:rsidP="008B2788">
            <w:pPr>
              <w:pStyle w:val="TableParagraph"/>
              <w:ind w:left="170" w:right="140"/>
            </w:pPr>
          </w:p>
          <w:p w14:paraId="3335F85D" w14:textId="77777777" w:rsidR="00501964" w:rsidRPr="008B2788" w:rsidRDefault="00501964" w:rsidP="008B2788">
            <w:pPr>
              <w:pStyle w:val="TableParagraph"/>
              <w:ind w:left="170" w:right="140"/>
            </w:pPr>
            <w:r w:rsidRPr="008B2788">
              <w:t>Totodată, lipsa intervenției legislative ar menține presiunea asupra depozitelor de deșeuri, ar limita dezvoltarea colectării separate și a reciclării, ar reduce posibilitatea aplicării efective a principiului „poluatorul plătește” și ar menține o repartizare inechitabilă a costurilor între producători, autorități publice locale, operatori și populație. Din aceste considerente, opțiunea lipsei de intervenție normativă nu constituie o soluție viabilă.</w:t>
            </w:r>
          </w:p>
          <w:p w14:paraId="3885D4BD" w14:textId="77777777" w:rsidR="00501964" w:rsidRPr="008B2788" w:rsidRDefault="00501964" w:rsidP="008B2788">
            <w:pPr>
              <w:pStyle w:val="TableParagraph"/>
              <w:ind w:left="170" w:right="140"/>
            </w:pPr>
          </w:p>
          <w:p w14:paraId="013F1F0C" w14:textId="77777777" w:rsidR="00501964" w:rsidRPr="008B2788" w:rsidRDefault="00501964" w:rsidP="008B2788">
            <w:pPr>
              <w:pStyle w:val="TableParagraph"/>
              <w:ind w:left="170" w:right="140"/>
              <w:rPr>
                <w:b/>
                <w:bCs/>
                <w:i/>
                <w:iCs/>
              </w:rPr>
            </w:pPr>
            <w:r w:rsidRPr="008B2788">
              <w:rPr>
                <w:b/>
                <w:bCs/>
                <w:i/>
                <w:iCs/>
              </w:rPr>
              <w:t>Riscuri ale lipsei de intervenție:</w:t>
            </w:r>
          </w:p>
          <w:p w14:paraId="6D96AE4D" w14:textId="77777777" w:rsidR="00501964" w:rsidRPr="008B2788" w:rsidRDefault="00501964" w:rsidP="008B2788">
            <w:pPr>
              <w:pStyle w:val="TableParagraph"/>
              <w:ind w:left="170" w:right="140"/>
            </w:pPr>
          </w:p>
          <w:p w14:paraId="48A9C0DA" w14:textId="77777777" w:rsidR="00501964" w:rsidRPr="008B2788" w:rsidRDefault="00501964" w:rsidP="008B2788">
            <w:pPr>
              <w:pStyle w:val="TableParagraph"/>
              <w:ind w:left="170" w:right="140"/>
            </w:pPr>
            <w:r w:rsidRPr="008B2788">
              <w:t>Persistența tendinței de creștere a generării deșeurilor, în lipsa unor instrumente specifice de prevenire, reducere și control, aspect evidențiat în Directiva - cadru vor provoca riscurile de mediu prin creșterea cantităților de deșeuri eliminate necorespunzător, fapt ce va duce la poluarea solului, apei și aerului, dar și pierdere resurselor valoroase, cum ar fi materiilor prime nerecuperate prin acțiuni de reciclare.</w:t>
            </w:r>
          </w:p>
          <w:p w14:paraId="33583A65" w14:textId="77777777" w:rsidR="00501964" w:rsidRPr="008B2788" w:rsidRDefault="00501964" w:rsidP="008B2788">
            <w:pPr>
              <w:pStyle w:val="TableParagraph"/>
              <w:ind w:left="170" w:right="140"/>
            </w:pPr>
          </w:p>
          <w:p w14:paraId="5AC50E4E" w14:textId="77777777" w:rsidR="00501964" w:rsidRPr="008B2788" w:rsidRDefault="00501964" w:rsidP="008B2788">
            <w:pPr>
              <w:pStyle w:val="TableParagraph"/>
              <w:ind w:left="170" w:right="140"/>
            </w:pPr>
            <w:r w:rsidRPr="008B2788">
              <w:t>Neconformitatea cadrului național cu standardele europene,  poate afecta credibilitatea angajamentelor Republicii Moldova privind armonizarea legislativă și integrarea în piața europeană, dar și tergiversarea procesului de integrare europeană.</w:t>
            </w:r>
          </w:p>
          <w:p w14:paraId="54C2A977" w14:textId="77777777" w:rsidR="00501964" w:rsidRPr="008B2788" w:rsidRDefault="00501964" w:rsidP="008B2788">
            <w:pPr>
              <w:pStyle w:val="TableParagraph"/>
              <w:ind w:left="170" w:right="140"/>
            </w:pPr>
          </w:p>
          <w:p w14:paraId="4AEC1FFC" w14:textId="22BC4814" w:rsidR="00501964" w:rsidRPr="008B2788" w:rsidRDefault="00501964" w:rsidP="008B2788">
            <w:pPr>
              <w:pStyle w:val="TableParagraph"/>
              <w:ind w:left="170" w:right="140"/>
            </w:pPr>
            <w:r w:rsidRPr="008B2788">
              <w:t xml:space="preserve">Menținerea barierelor în calea tranziției către economia circulară, prin neimpunerea cerințelor privind proiectarea produselor, colectarea separată, conținutul minim de plastic reciclat și marcarea obligatorie. Impact negativ persistent asupra ecosistemelor, biodiversității și sănătății populației, în special din cauza </w:t>
            </w:r>
            <w:proofErr w:type="spellStart"/>
            <w:r w:rsidRPr="008B2788">
              <w:t>microplasticelor</w:t>
            </w:r>
            <w:proofErr w:type="spellEnd"/>
            <w:r w:rsidRPr="008B2788">
              <w:t xml:space="preserve"> și a dispersiei </w:t>
            </w:r>
            <w:r w:rsidR="002E0158" w:rsidRPr="008B2788">
              <w:t>acestora</w:t>
            </w:r>
            <w:r w:rsidRPr="008B2788">
              <w:t>. Lipsa stimulentelor pentru inovarea în industria ambalajelor, ceea ce poate afecta competitivitatea agenților economici în raport cu piața UE.</w:t>
            </w:r>
          </w:p>
          <w:p w14:paraId="5F93D3A6" w14:textId="77777777" w:rsidR="00501964" w:rsidRPr="008B2788" w:rsidRDefault="00501964" w:rsidP="008B2788">
            <w:pPr>
              <w:pStyle w:val="TableParagraph"/>
              <w:ind w:left="170" w:right="140"/>
            </w:pPr>
          </w:p>
          <w:p w14:paraId="452B5D9F" w14:textId="77777777" w:rsidR="00501964" w:rsidRPr="008B2788" w:rsidRDefault="00501964" w:rsidP="008B2788">
            <w:pPr>
              <w:pStyle w:val="TableParagraph"/>
              <w:ind w:left="170" w:right="140"/>
              <w:rPr>
                <w:u w:val="single"/>
              </w:rPr>
            </w:pPr>
            <w:r w:rsidRPr="008B2788">
              <w:rPr>
                <w:u w:val="single"/>
              </w:rPr>
              <w:t>Prin urmare, opțiunea lipsei de intervenție nu poate fi considerată o soluție viabilă.</w:t>
            </w:r>
          </w:p>
          <w:p w14:paraId="2BB38031" w14:textId="77777777" w:rsidR="00501964" w:rsidRPr="008B2788" w:rsidRDefault="00501964" w:rsidP="008B2788">
            <w:pPr>
              <w:pStyle w:val="TableParagraph"/>
              <w:ind w:left="170" w:right="140"/>
            </w:pPr>
          </w:p>
          <w:p w14:paraId="2049B311" w14:textId="77777777" w:rsidR="00501964" w:rsidRPr="008B2788" w:rsidRDefault="00501964" w:rsidP="008B2788">
            <w:pPr>
              <w:pStyle w:val="TableParagraph"/>
              <w:ind w:left="170" w:right="140"/>
              <w:rPr>
                <w:b/>
                <w:bCs/>
                <w:i/>
                <w:iCs/>
              </w:rPr>
            </w:pPr>
            <w:r w:rsidRPr="008B2788">
              <w:rPr>
                <w:b/>
                <w:bCs/>
                <w:i/>
                <w:iCs/>
              </w:rPr>
              <w:t>Opțiunea alternativă I: Amânarea intrării în vigoare a unor măsuri</w:t>
            </w:r>
          </w:p>
          <w:p w14:paraId="46674FCB" w14:textId="77777777" w:rsidR="00501964" w:rsidRPr="008B2788" w:rsidRDefault="00501964" w:rsidP="008B2788">
            <w:pPr>
              <w:pStyle w:val="TableParagraph"/>
              <w:ind w:left="170" w:right="140"/>
              <w:rPr>
                <w:b/>
                <w:bCs/>
                <w:i/>
                <w:iCs/>
              </w:rPr>
            </w:pPr>
          </w:p>
          <w:p w14:paraId="046CF691" w14:textId="77777777" w:rsidR="00501964" w:rsidRPr="008B2788" w:rsidRDefault="00501964" w:rsidP="008B2788">
            <w:pPr>
              <w:pStyle w:val="TableParagraph"/>
              <w:ind w:left="170" w:right="140"/>
            </w:pPr>
            <w:r w:rsidRPr="008B2788">
              <w:t xml:space="preserve">Această opțiune ar presupune adoptarea modificărilor legislative, dar cu amânarea aplicării unor prevederi esențiale, inclusiv a celor privind reducerea consumului și restricțiile de plasare pe piață pentru produsele din plastic de unică folosință, cerințele de marcare, conținutul minim de plastic reciclat, responsabilitatea extinsă a producătorului, colectarea separată a textilelor, prevenirea deșeurilor alimentare, colectarea separată a </w:t>
            </w:r>
            <w:proofErr w:type="spellStart"/>
            <w:r w:rsidRPr="008B2788">
              <w:t>bio</w:t>
            </w:r>
            <w:proofErr w:type="spellEnd"/>
            <w:r w:rsidRPr="008B2788">
              <w:t>-deșeurilor și a fracțiilor periculoase din gospodării, gestionarea deșeurilor din construcții și demolări, gestionarea deșeurilor de azbest, raportarea și verificarea calității datelor, precum și obiectivele privind reciclarea și reducerea eliminării prin depozitare.</w:t>
            </w:r>
          </w:p>
          <w:p w14:paraId="633BC7A7" w14:textId="77777777" w:rsidR="00501964" w:rsidRPr="008B2788" w:rsidRDefault="00501964" w:rsidP="008B2788">
            <w:pPr>
              <w:pStyle w:val="TableParagraph"/>
              <w:ind w:left="170" w:right="140"/>
            </w:pPr>
          </w:p>
          <w:p w14:paraId="07674D9A" w14:textId="77777777" w:rsidR="00501964" w:rsidRPr="008B2788" w:rsidRDefault="00501964" w:rsidP="008B2788">
            <w:pPr>
              <w:pStyle w:val="TableParagraph"/>
              <w:ind w:left="170" w:right="140"/>
            </w:pPr>
            <w:r w:rsidRPr="008B2788">
              <w:t>Această opțiune ar permite o perioadă mai lungă de adaptare pentru autorități, producători, comercianți și operatorii de gestionare a deșeurilor. Totuși, amânarea generalizată a măsurilor ar întârzia alinierea cadrului normativ național la acquis-</w:t>
            </w:r>
            <w:proofErr w:type="spellStart"/>
            <w:r w:rsidRPr="008B2788">
              <w:t>ul</w:t>
            </w:r>
            <w:proofErr w:type="spellEnd"/>
            <w:r w:rsidRPr="008B2788">
              <w:t xml:space="preserve"> Uniunii Europene, ar menține lacunele existente în aplicarea ierarhiei deșeurilor și ar reduce eficiența intervenției legislative.</w:t>
            </w:r>
          </w:p>
          <w:p w14:paraId="2118D10F" w14:textId="77777777" w:rsidR="00501964" w:rsidRPr="008B2788" w:rsidRDefault="00501964" w:rsidP="008B2788">
            <w:pPr>
              <w:pStyle w:val="TableParagraph"/>
              <w:ind w:left="170" w:right="140"/>
            </w:pPr>
          </w:p>
          <w:p w14:paraId="5018E432" w14:textId="77777777" w:rsidR="00501964" w:rsidRPr="008B2788" w:rsidRDefault="00501964" w:rsidP="008B2788">
            <w:pPr>
              <w:pStyle w:val="TableParagraph"/>
              <w:ind w:left="170" w:right="140"/>
              <w:rPr>
                <w:b/>
                <w:bCs/>
                <w:i/>
                <w:iCs/>
              </w:rPr>
            </w:pPr>
            <w:r w:rsidRPr="008B2788">
              <w:rPr>
                <w:b/>
                <w:bCs/>
                <w:i/>
                <w:iCs/>
              </w:rPr>
              <w:t>Opțiunea alternativă II: Implementarea doar a măsurilor non-legislative</w:t>
            </w:r>
          </w:p>
          <w:p w14:paraId="65F73165" w14:textId="77777777" w:rsidR="00501964" w:rsidRPr="008B2788" w:rsidRDefault="00501964" w:rsidP="008B2788">
            <w:pPr>
              <w:pStyle w:val="TableParagraph"/>
              <w:ind w:left="170" w:right="140"/>
              <w:rPr>
                <w:b/>
                <w:bCs/>
                <w:i/>
                <w:iCs/>
              </w:rPr>
            </w:pPr>
          </w:p>
          <w:p w14:paraId="572EEAB9" w14:textId="77777777" w:rsidR="00501964" w:rsidRPr="008B2788" w:rsidRDefault="00501964" w:rsidP="008B2788">
            <w:pPr>
              <w:pStyle w:val="TableParagraph"/>
              <w:ind w:left="170" w:right="140"/>
            </w:pPr>
            <w:r w:rsidRPr="008B2788">
              <w:t>Această opțiune ar presupune utilizarea exclusivă a unor măsuri de informare, educare, consultare, ghidare, stimulente economice sau acorduri voluntare, fără modificarea Legii nr. 209/2016. Măsurile respective ar putea contribui la creșterea gradului de conștientizare a publicului, la promovarea consumului responsabil, a colectării separate, a reutilizării și a prevenirii generării deșeurilor.</w:t>
            </w:r>
          </w:p>
          <w:p w14:paraId="3DEF9ECA" w14:textId="77777777" w:rsidR="00501964" w:rsidRPr="008B2788" w:rsidRDefault="00501964" w:rsidP="008B2788">
            <w:pPr>
              <w:pStyle w:val="TableParagraph"/>
              <w:ind w:left="170" w:right="140"/>
            </w:pPr>
          </w:p>
          <w:p w14:paraId="2CAB6E38" w14:textId="77777777" w:rsidR="00501964" w:rsidRPr="008B2788" w:rsidRDefault="00501964" w:rsidP="008B2788">
            <w:pPr>
              <w:pStyle w:val="TableParagraph"/>
              <w:ind w:left="170" w:right="140"/>
            </w:pPr>
            <w:r w:rsidRPr="008B2788">
              <w:t xml:space="preserve">Aplicarea exclusivă a măsurilor voluntare ar menține caracterul fragmentar al intervențiilor și ar transfera în continuare o parte semnificativă a costurilor de gestionare a deșeurilor asupra autorităților publice locale și populației. Totodată, în lipsa unui cadru normativ obligatoriu, producătorii și operatorii economici nu ar avea obligații clare privind prevenirea generării deșeurilor, finanțarea costurilor de gestionare, raportarea cantităților </w:t>
            </w:r>
            <w:r w:rsidRPr="008B2788">
              <w:lastRenderedPageBreak/>
              <w:t>plasate pe piață și participarea la sisteme de colectare, reutilizare sau reciclare. Din aceste motive, măsurile non-legislative pot avea doar un rol complementar, dar nu pot constitui opțiunea principală de intervenție.</w:t>
            </w:r>
          </w:p>
          <w:p w14:paraId="47B03515" w14:textId="4744E5A8" w:rsidR="00501964" w:rsidRPr="008B2788" w:rsidRDefault="00501964" w:rsidP="008B2788">
            <w:pPr>
              <w:pStyle w:val="TableParagraph"/>
              <w:ind w:left="170" w:right="140"/>
            </w:pPr>
            <w:r w:rsidRPr="008B2788">
              <w:t xml:space="preserve">Această opțiune nu </w:t>
            </w:r>
            <w:r w:rsidRPr="002E0158">
              <w:t>poate fi considerată o soluție viabilă</w:t>
            </w:r>
            <w:r w:rsidRPr="008B2788">
              <w:t>, deoarece măsurile non-legislative nu pot substitui obligațiile juridice necesare pentru alinierea la acquis-</w:t>
            </w:r>
            <w:proofErr w:type="spellStart"/>
            <w:r w:rsidRPr="008B2788">
              <w:t>ul</w:t>
            </w:r>
            <w:proofErr w:type="spellEnd"/>
            <w:r w:rsidRPr="008B2788">
              <w:t xml:space="preserve"> Uniunii Europene și pentru aplicarea efectivă a politicii de stat în domeniul deșeurilor. Informarea și educarea publicului sunt importante, însă nu pot institui interdicții de plasare pe piață, cerințe privind produsul și marcarea, obiective de reducere a deșeurilor alimentare, responsabilitatea extinsă a producătorului pentru textile și produse din plastic de unică folosință, reguli privind colectarea separată, criterii de calculare a obiectivelor de reciclare, interdicții privind depozitarea deșeurilor reciclabile sau valorificabile și obligații de raportare și verificare a calității datelor.</w:t>
            </w:r>
          </w:p>
          <w:p w14:paraId="4DF13F32" w14:textId="77777777" w:rsidR="00501964" w:rsidRPr="008B2788" w:rsidRDefault="00501964" w:rsidP="008B2788">
            <w:pPr>
              <w:pStyle w:val="TableParagraph"/>
              <w:ind w:left="170" w:right="140"/>
            </w:pPr>
          </w:p>
          <w:p w14:paraId="3B122F77" w14:textId="77777777" w:rsidR="00501964" w:rsidRPr="008B2788" w:rsidRDefault="00501964" w:rsidP="008B2788">
            <w:pPr>
              <w:pStyle w:val="TableParagraph"/>
              <w:ind w:left="170" w:right="140"/>
              <w:rPr>
                <w:b/>
                <w:bCs/>
                <w:i/>
                <w:iCs/>
              </w:rPr>
            </w:pPr>
            <w:r w:rsidRPr="008B2788">
              <w:rPr>
                <w:b/>
                <w:bCs/>
                <w:i/>
                <w:iCs/>
              </w:rPr>
              <w:t>Opțiunea alternativă III: Implementarea etapizată diferențiată pe categorii de produse și fluxuri de deșeuri</w:t>
            </w:r>
          </w:p>
          <w:p w14:paraId="43B3BAF4" w14:textId="77777777" w:rsidR="00501964" w:rsidRPr="008B2788" w:rsidRDefault="00501964" w:rsidP="008B2788">
            <w:pPr>
              <w:pStyle w:val="TableParagraph"/>
              <w:ind w:left="170" w:right="140"/>
              <w:rPr>
                <w:b/>
                <w:bCs/>
                <w:i/>
                <w:iCs/>
              </w:rPr>
            </w:pPr>
          </w:p>
          <w:p w14:paraId="6117EA7F" w14:textId="77777777" w:rsidR="00501964" w:rsidRPr="008B2788" w:rsidRDefault="00501964" w:rsidP="008B2788">
            <w:pPr>
              <w:pStyle w:val="TableParagraph"/>
              <w:ind w:left="170" w:right="140"/>
            </w:pPr>
            <w:r w:rsidRPr="008B2788">
              <w:t>Această opțiune ar presupune introducerea măsurilor legislative în mod diferențiat, în funcție de categoria de produse sau fluxul de deșeuri vizat, existența alternativelor durabile, nivelul de dezvoltare a infrastructurii, capacitatea de raportare și control, impactul asupra mediului și capacitatea de adaptare a producătorilor, operatorilor economici și autorităților publice.</w:t>
            </w:r>
          </w:p>
          <w:p w14:paraId="6D8BEB64" w14:textId="77777777" w:rsidR="00501964" w:rsidRPr="008B2788" w:rsidRDefault="00501964" w:rsidP="008B2788">
            <w:pPr>
              <w:pStyle w:val="TableParagraph"/>
              <w:ind w:left="170" w:right="140"/>
            </w:pPr>
          </w:p>
          <w:p w14:paraId="2BD252B1" w14:textId="77777777" w:rsidR="00501964" w:rsidRPr="008B2788" w:rsidRDefault="00501964" w:rsidP="008B2788">
            <w:pPr>
              <w:pStyle w:val="TableParagraph"/>
              <w:ind w:left="170" w:right="140"/>
            </w:pPr>
            <w:r w:rsidRPr="008B2788">
              <w:t xml:space="preserve">Această opțiune permite o tranziție mai ordonată și adaptată realităților naționale, în special pentru fluxurile care necesită infrastructură, mecanisme financiare și acte normative subsecvente, cum ar fi produsele textile, produsele din plastic de unică folosință, sistemele de responsabilitate extinsă a producătorului, colectarea separată, reciclarea, gestionarea </w:t>
            </w:r>
            <w:proofErr w:type="spellStart"/>
            <w:r w:rsidRPr="008B2788">
              <w:t>bio</w:t>
            </w:r>
            <w:proofErr w:type="spellEnd"/>
            <w:r w:rsidRPr="008B2788">
              <w:t>-deșeurilor și reducerea depozitării deșeurilor municipale. Implementarea etapizată permite, de asemenea, corelarea măsurilor legislative cu dezvoltarea treptată a infrastructurii regionale de gestionare a deșeurilor, a Sistemului informațional automatizat „Managementul deșeurilor” și a capacităților administrative de monitorizare și control.</w:t>
            </w:r>
          </w:p>
          <w:p w14:paraId="3EBB116A" w14:textId="77777777" w:rsidR="00501964" w:rsidRPr="008B2788" w:rsidRDefault="00501964" w:rsidP="008B2788">
            <w:pPr>
              <w:pStyle w:val="TableParagraph"/>
              <w:ind w:left="170" w:right="140"/>
            </w:pPr>
          </w:p>
          <w:p w14:paraId="2997E36E" w14:textId="77777777" w:rsidR="00501964" w:rsidRPr="008B2788" w:rsidRDefault="00501964" w:rsidP="008B2788">
            <w:pPr>
              <w:pStyle w:val="TableParagraph"/>
              <w:ind w:left="170" w:right="140"/>
            </w:pPr>
            <w:r w:rsidRPr="008B2788">
              <w:t>Totuși, aplicarea acestei opțiuni presupune necesitatea unei coordonări clare între lege și actele normative subsecvente, pentru a evita neclaritățile privind termenele, obligațiile și responsabilitățile actorilor implicați. De asemenea, este necesară monitorizarea continuă a implementării, astfel încât etapizarea să nu conducă la amânarea nejustificată a măsurilor esențiale sau la aplicarea neuniformă a cerințelor.</w:t>
            </w:r>
          </w:p>
          <w:p w14:paraId="42FCB739" w14:textId="77777777" w:rsidR="00501964" w:rsidRPr="008B2788" w:rsidRDefault="00501964" w:rsidP="008B2788">
            <w:pPr>
              <w:pStyle w:val="TableParagraph"/>
              <w:ind w:left="170" w:right="140"/>
            </w:pPr>
          </w:p>
          <w:p w14:paraId="740DCB63" w14:textId="4CF975EE" w:rsidR="00501964" w:rsidRPr="008B2788" w:rsidRDefault="00501964" w:rsidP="008B2788">
            <w:pPr>
              <w:pStyle w:val="TableParagraph"/>
              <w:ind w:left="170" w:right="140"/>
            </w:pPr>
            <w:r w:rsidRPr="008B2788">
              <w:t xml:space="preserve">Această </w:t>
            </w:r>
            <w:r w:rsidRPr="00530BF7">
              <w:t>opțiune nu poate fi considerată</w:t>
            </w:r>
            <w:r w:rsidRPr="008B2788">
              <w:t xml:space="preserve"> o soluție viabilă.</w:t>
            </w:r>
          </w:p>
          <w:p w14:paraId="50409252" w14:textId="77777777" w:rsidR="00501964" w:rsidRPr="008B2788" w:rsidRDefault="00501964" w:rsidP="008B2788">
            <w:pPr>
              <w:pStyle w:val="TableParagraph"/>
              <w:ind w:left="170" w:right="140"/>
            </w:pPr>
          </w:p>
          <w:p w14:paraId="583A2948" w14:textId="77777777" w:rsidR="00501964" w:rsidRPr="008B2788" w:rsidRDefault="00501964" w:rsidP="008B2788">
            <w:pPr>
              <w:pStyle w:val="TableParagraph"/>
              <w:ind w:left="170" w:right="140"/>
              <w:rPr>
                <w:b/>
                <w:bCs/>
                <w:i/>
                <w:iCs/>
              </w:rPr>
            </w:pPr>
            <w:r w:rsidRPr="008B2788">
              <w:rPr>
                <w:b/>
                <w:bCs/>
                <w:i/>
                <w:iCs/>
              </w:rPr>
              <w:t>Opțiunea optimă</w:t>
            </w:r>
          </w:p>
          <w:p w14:paraId="4A4E92A9" w14:textId="77777777" w:rsidR="00501964" w:rsidRPr="008B2788" w:rsidRDefault="00501964" w:rsidP="008B2788">
            <w:pPr>
              <w:pStyle w:val="TableParagraph"/>
              <w:ind w:left="170" w:right="140"/>
              <w:rPr>
                <w:b/>
                <w:bCs/>
                <w:i/>
                <w:iCs/>
              </w:rPr>
            </w:pPr>
          </w:p>
          <w:p w14:paraId="435D3FA0" w14:textId="36AD03C6" w:rsidR="00501964" w:rsidRPr="008B2788" w:rsidRDefault="00247E82" w:rsidP="008B2788">
            <w:pPr>
              <w:pStyle w:val="TableParagraph"/>
              <w:ind w:left="170" w:right="140"/>
            </w:pPr>
            <w:r w:rsidRPr="008B2788">
              <w:t>În procesul de analizare a soluțiilor posibile pentru alinierea la actele normative UE</w:t>
            </w:r>
            <w:r w:rsidR="00501964" w:rsidRPr="008B2788">
              <w:t>, opțiunea optimă este:</w:t>
            </w:r>
          </w:p>
          <w:p w14:paraId="6B5EBBFB" w14:textId="77777777" w:rsidR="00501964" w:rsidRPr="008B2788" w:rsidRDefault="00501964" w:rsidP="008B2788">
            <w:pPr>
              <w:pStyle w:val="TableParagraph"/>
              <w:ind w:left="170" w:right="140"/>
            </w:pPr>
            <w:r w:rsidRPr="008B2788">
              <w:t>Adoptarea modificărilor legislative obligatorii, cu posibilitatea etapizării termenelor de aplicare, acolo unde acest lucru este justificat de realitățile pieței și/sau necesită dezvoltare cadrului normativ secundar, pregătirea infrastructurii, etc. și capacitățile naționale.</w:t>
            </w:r>
          </w:p>
          <w:p w14:paraId="2C5E8ABD" w14:textId="77777777" w:rsidR="00501964" w:rsidRPr="008B2788" w:rsidRDefault="00501964" w:rsidP="008B2788">
            <w:pPr>
              <w:pStyle w:val="TableParagraph"/>
              <w:ind w:left="170" w:right="140"/>
            </w:pPr>
          </w:p>
          <w:p w14:paraId="41FD468F" w14:textId="77777777" w:rsidR="00501964" w:rsidRPr="008B2788" w:rsidRDefault="00501964" w:rsidP="008B2788">
            <w:pPr>
              <w:pStyle w:val="TableParagraph"/>
              <w:ind w:left="170" w:right="140"/>
              <w:rPr>
                <w:i/>
                <w:iCs/>
                <w:u w:val="single"/>
              </w:rPr>
            </w:pPr>
            <w:r w:rsidRPr="008B2788">
              <w:rPr>
                <w:i/>
                <w:iCs/>
                <w:u w:val="single"/>
              </w:rPr>
              <w:t>Această opțiune:</w:t>
            </w:r>
          </w:p>
          <w:p w14:paraId="2C88A3E2" w14:textId="77777777" w:rsidR="00501964" w:rsidRPr="008B2788" w:rsidRDefault="00501964" w:rsidP="008B2788">
            <w:pPr>
              <w:pStyle w:val="TableParagraph"/>
              <w:ind w:left="170" w:right="140"/>
            </w:pPr>
            <w:r w:rsidRPr="008B2788">
              <w:t>asigură conformitatea cu acquis‑</w:t>
            </w:r>
            <w:proofErr w:type="spellStart"/>
            <w:r w:rsidRPr="008B2788">
              <w:t>ul</w:t>
            </w:r>
            <w:proofErr w:type="spellEnd"/>
            <w:r w:rsidRPr="008B2788">
              <w:t xml:space="preserve"> european;</w:t>
            </w:r>
          </w:p>
          <w:p w14:paraId="1103D6F7" w14:textId="77777777" w:rsidR="00501964" w:rsidRPr="008B2788" w:rsidRDefault="00501964" w:rsidP="008B2788">
            <w:pPr>
              <w:pStyle w:val="TableParagraph"/>
              <w:ind w:left="170" w:right="140"/>
            </w:pPr>
            <w:r w:rsidRPr="008B2788">
              <w:t>permite implementarea unor măsuri eficiente și realiste;</w:t>
            </w:r>
          </w:p>
          <w:p w14:paraId="5B5A8E9B" w14:textId="77777777" w:rsidR="00501964" w:rsidRPr="008B2788" w:rsidRDefault="00501964" w:rsidP="008B2788">
            <w:pPr>
              <w:pStyle w:val="TableParagraph"/>
              <w:ind w:left="170" w:right="140"/>
            </w:pPr>
            <w:r w:rsidRPr="008B2788">
              <w:t>echilibrează interesele economice și de mediu;</w:t>
            </w:r>
          </w:p>
          <w:p w14:paraId="3C1DB816" w14:textId="77777777" w:rsidR="00501964" w:rsidRPr="008B2788" w:rsidRDefault="00501964" w:rsidP="008B2788">
            <w:pPr>
              <w:pStyle w:val="TableParagraph"/>
              <w:ind w:left="170" w:right="140"/>
            </w:pPr>
            <w:r w:rsidRPr="008B2788">
              <w:t>minimizează riscurile asociate nereglementării;</w:t>
            </w:r>
          </w:p>
          <w:p w14:paraId="5B2BED6C" w14:textId="77777777" w:rsidR="00501964" w:rsidRPr="008B2788" w:rsidRDefault="00501964" w:rsidP="008B2788">
            <w:pPr>
              <w:pStyle w:val="TableParagraph"/>
              <w:ind w:left="170" w:right="140"/>
            </w:pPr>
            <w:r w:rsidRPr="008B2788">
              <w:t>garantează impactul real asupra reducerii deșeurilor provenite  din produse din plastic de unică folosință și tranziției către economia circulară.</w:t>
            </w:r>
          </w:p>
        </w:tc>
      </w:tr>
      <w:tr w:rsidR="00C45531" w:rsidRPr="008B2788" w14:paraId="45B0D14A" w14:textId="77777777" w:rsidTr="008B2788">
        <w:tblPrEx>
          <w:tblLook w:val="01E0" w:firstRow="1" w:lastRow="1" w:firstColumn="1" w:lastColumn="1" w:noHBand="0" w:noVBand="0"/>
        </w:tblPrEx>
        <w:trPr>
          <w:trHeight w:val="323"/>
        </w:trPr>
        <w:tc>
          <w:tcPr>
            <w:tcW w:w="10170" w:type="dxa"/>
            <w:shd w:val="clear" w:color="auto" w:fill="D1D1D1"/>
          </w:tcPr>
          <w:p w14:paraId="7EFCDCD5" w14:textId="77777777" w:rsidR="00C45531" w:rsidRPr="008B2788" w:rsidRDefault="00000000" w:rsidP="008B2788">
            <w:pPr>
              <w:pStyle w:val="TableParagraph"/>
              <w:jc w:val="left"/>
              <w:rPr>
                <w:b/>
              </w:rPr>
            </w:pPr>
            <w:r w:rsidRPr="008B2788">
              <w:rPr>
                <w:b/>
              </w:rPr>
              <w:lastRenderedPageBreak/>
              <w:t>4.</w:t>
            </w:r>
            <w:r w:rsidRPr="008B2788">
              <w:rPr>
                <w:b/>
                <w:spacing w:val="-4"/>
              </w:rPr>
              <w:t xml:space="preserve"> </w:t>
            </w:r>
            <w:r w:rsidRPr="008B2788">
              <w:rPr>
                <w:b/>
              </w:rPr>
              <w:t>Analiza</w:t>
            </w:r>
            <w:r w:rsidRPr="008B2788">
              <w:rPr>
                <w:b/>
                <w:spacing w:val="-3"/>
              </w:rPr>
              <w:t xml:space="preserve"> </w:t>
            </w:r>
            <w:r w:rsidRPr="008B2788">
              <w:rPr>
                <w:b/>
              </w:rPr>
              <w:t>impactului</w:t>
            </w:r>
            <w:r w:rsidRPr="008B2788">
              <w:rPr>
                <w:b/>
                <w:spacing w:val="-3"/>
              </w:rPr>
              <w:t xml:space="preserve"> </w:t>
            </w:r>
            <w:r w:rsidRPr="008B2788">
              <w:rPr>
                <w:b/>
              </w:rPr>
              <w:t>de</w:t>
            </w:r>
            <w:r w:rsidRPr="008B2788">
              <w:rPr>
                <w:b/>
                <w:spacing w:val="-3"/>
              </w:rPr>
              <w:t xml:space="preserve"> </w:t>
            </w:r>
            <w:r w:rsidRPr="008B2788">
              <w:rPr>
                <w:b/>
                <w:spacing w:val="-2"/>
              </w:rPr>
              <w:t>reglementare</w:t>
            </w:r>
          </w:p>
        </w:tc>
      </w:tr>
      <w:tr w:rsidR="00C45531" w:rsidRPr="008B2788" w14:paraId="2EE9F2EB" w14:textId="77777777" w:rsidTr="008B2788">
        <w:tblPrEx>
          <w:tblLook w:val="01E0" w:firstRow="1" w:lastRow="1" w:firstColumn="1" w:lastColumn="1" w:noHBand="0" w:noVBand="0"/>
        </w:tblPrEx>
        <w:trPr>
          <w:trHeight w:val="350"/>
        </w:trPr>
        <w:tc>
          <w:tcPr>
            <w:tcW w:w="10170" w:type="dxa"/>
            <w:shd w:val="clear" w:color="auto" w:fill="D1D1D1"/>
          </w:tcPr>
          <w:p w14:paraId="2B59CBBE" w14:textId="77777777" w:rsidR="00C45531" w:rsidRPr="008B2788" w:rsidRDefault="00000000" w:rsidP="008B2788">
            <w:pPr>
              <w:pStyle w:val="TableParagraph"/>
              <w:jc w:val="left"/>
              <w:rPr>
                <w:b/>
                <w:bCs/>
                <w:i/>
                <w:iCs/>
              </w:rPr>
            </w:pPr>
            <w:r w:rsidRPr="008B2788">
              <w:rPr>
                <w:b/>
                <w:bCs/>
                <w:i/>
                <w:iCs/>
              </w:rPr>
              <w:t>4.1</w:t>
            </w:r>
            <w:r w:rsidRPr="008B2788">
              <w:rPr>
                <w:b/>
                <w:bCs/>
                <w:i/>
                <w:iCs/>
                <w:spacing w:val="-5"/>
              </w:rPr>
              <w:t xml:space="preserve"> </w:t>
            </w:r>
            <w:r w:rsidRPr="008B2788">
              <w:rPr>
                <w:b/>
                <w:bCs/>
                <w:i/>
                <w:iCs/>
              </w:rPr>
              <w:t>Impactul</w:t>
            </w:r>
            <w:r w:rsidRPr="008B2788">
              <w:rPr>
                <w:b/>
                <w:bCs/>
                <w:i/>
                <w:iCs/>
                <w:spacing w:val="-3"/>
              </w:rPr>
              <w:t xml:space="preserve"> </w:t>
            </w:r>
            <w:r w:rsidRPr="008B2788">
              <w:rPr>
                <w:b/>
                <w:bCs/>
                <w:i/>
                <w:iCs/>
              </w:rPr>
              <w:t>asupra</w:t>
            </w:r>
            <w:r w:rsidRPr="008B2788">
              <w:rPr>
                <w:b/>
                <w:bCs/>
                <w:i/>
                <w:iCs/>
                <w:spacing w:val="-6"/>
              </w:rPr>
              <w:t xml:space="preserve"> </w:t>
            </w:r>
            <w:r w:rsidRPr="008B2788">
              <w:rPr>
                <w:b/>
                <w:bCs/>
                <w:i/>
                <w:iCs/>
              </w:rPr>
              <w:t>sectorului</w:t>
            </w:r>
            <w:r w:rsidRPr="008B2788">
              <w:rPr>
                <w:b/>
                <w:bCs/>
                <w:i/>
                <w:iCs/>
                <w:spacing w:val="-3"/>
              </w:rPr>
              <w:t xml:space="preserve"> </w:t>
            </w:r>
            <w:r w:rsidRPr="008B2788">
              <w:rPr>
                <w:b/>
                <w:bCs/>
                <w:i/>
                <w:iCs/>
                <w:spacing w:val="-2"/>
              </w:rPr>
              <w:t>public</w:t>
            </w:r>
          </w:p>
        </w:tc>
      </w:tr>
      <w:tr w:rsidR="00C45531" w:rsidRPr="008B2788" w14:paraId="3816E78D" w14:textId="77777777" w:rsidTr="008B2788">
        <w:tblPrEx>
          <w:tblLook w:val="01E0" w:firstRow="1" w:lastRow="1" w:firstColumn="1" w:lastColumn="1" w:noHBand="0" w:noVBand="0"/>
        </w:tblPrEx>
        <w:trPr>
          <w:trHeight w:val="350"/>
        </w:trPr>
        <w:tc>
          <w:tcPr>
            <w:tcW w:w="10170" w:type="dxa"/>
          </w:tcPr>
          <w:p w14:paraId="71C29273" w14:textId="4E71D662" w:rsidR="009475D7" w:rsidRPr="008B2788" w:rsidRDefault="005A401D" w:rsidP="008B2788">
            <w:pPr>
              <w:pStyle w:val="TableParagraph"/>
              <w:ind w:left="260" w:right="140"/>
              <w:rPr>
                <w:color w:val="000000" w:themeColor="text1"/>
                <w:lang w:val="ro-MD"/>
              </w:rPr>
            </w:pPr>
            <w:r w:rsidRPr="008B2788">
              <w:rPr>
                <w:color w:val="000000" w:themeColor="text1"/>
                <w:lang w:val="ro-MD"/>
              </w:rPr>
              <w:t>Implementarea p</w:t>
            </w:r>
            <w:r w:rsidR="00FF46E1" w:rsidRPr="008B2788">
              <w:rPr>
                <w:color w:val="000000" w:themeColor="text1"/>
                <w:lang w:val="ro-MD"/>
              </w:rPr>
              <w:t>roiectul</w:t>
            </w:r>
            <w:r w:rsidRPr="008B2788">
              <w:rPr>
                <w:color w:val="000000" w:themeColor="text1"/>
                <w:lang w:val="ro-MD"/>
              </w:rPr>
              <w:t xml:space="preserve"> presupune un impact organizațional progresiv asupra autorităților și instituțiilor publice</w:t>
            </w:r>
            <w:r w:rsidR="002945D5" w:rsidRPr="008B2788">
              <w:rPr>
                <w:color w:val="000000" w:themeColor="text1"/>
                <w:lang w:val="ro-MD"/>
              </w:rPr>
              <w:t>,</w:t>
            </w:r>
            <w:r w:rsidR="002945D5" w:rsidRPr="008B2788">
              <w:t xml:space="preserve"> destul de amplu asupra sectorului public, pentru că instituțiile statului devin principalele responsabile de implementare, control și coordonare.</w:t>
            </w:r>
            <w:r w:rsidR="002945D5" w:rsidRPr="008B2788">
              <w:rPr>
                <w:color w:val="000000" w:themeColor="text1"/>
                <w:lang w:val="ro-MD"/>
              </w:rPr>
              <w:t xml:space="preserve"> </w:t>
            </w:r>
            <w:r w:rsidRPr="008B2788">
              <w:rPr>
                <w:color w:val="000000" w:themeColor="text1"/>
                <w:lang w:val="ro-MD"/>
              </w:rPr>
              <w:t xml:space="preserve"> </w:t>
            </w:r>
            <w:r w:rsidR="009475D7" w:rsidRPr="008B2788">
              <w:rPr>
                <w:color w:val="000000" w:themeColor="text1"/>
                <w:lang w:val="ro-MD"/>
              </w:rPr>
              <w:t>Impactul vizează, în principal, Ministerul Mediului, Agenția de Mediu, Inspectoratul pentru Protecția Mediului, autoritățile administrației publice locale, precum și alte autorități publice cu atribuții conexe în domeniul fiscal, vamal, al sănătății publice, siguranței alimentelor, standardizării, infrastructurii și protecției consumatorilor.</w:t>
            </w:r>
          </w:p>
          <w:p w14:paraId="559E7574" w14:textId="77777777" w:rsidR="009475D7" w:rsidRPr="008B2788" w:rsidRDefault="009475D7" w:rsidP="008B2788">
            <w:pPr>
              <w:pStyle w:val="TableParagraph"/>
              <w:ind w:left="260" w:right="140"/>
              <w:rPr>
                <w:color w:val="000000" w:themeColor="text1"/>
                <w:lang w:val="ro-MD"/>
              </w:rPr>
            </w:pPr>
          </w:p>
          <w:p w14:paraId="2A2835C3" w14:textId="7E62F580" w:rsidR="00711AB5" w:rsidRPr="008B2788" w:rsidRDefault="00711AB5" w:rsidP="008B2788">
            <w:pPr>
              <w:pStyle w:val="TableParagraph"/>
              <w:ind w:left="260" w:right="140"/>
              <w:rPr>
                <w:color w:val="000000" w:themeColor="text1"/>
                <w:lang w:val="ro-MD"/>
              </w:rPr>
            </w:pPr>
            <w:r w:rsidRPr="008B2788">
              <w:rPr>
                <w:color w:val="000000" w:themeColor="text1"/>
                <w:lang w:val="ro-MD"/>
              </w:rPr>
              <w:t xml:space="preserve">Elaborarea cadrului normativ se va face prin completarea legislației existente, fără a implica costuri </w:t>
            </w:r>
            <w:r w:rsidRPr="008B2788">
              <w:rPr>
                <w:color w:val="000000" w:themeColor="text1"/>
                <w:lang w:val="ro-MD"/>
              </w:rPr>
              <w:lastRenderedPageBreak/>
              <w:t>suplimentare pentru sectorul public.</w:t>
            </w:r>
            <w:r w:rsidR="009475D7" w:rsidRPr="008B2788">
              <w:t xml:space="preserve"> </w:t>
            </w:r>
            <w:r w:rsidR="009475D7" w:rsidRPr="008B2788">
              <w:rPr>
                <w:color w:val="000000" w:themeColor="text1"/>
                <w:lang w:val="ro-MD"/>
              </w:rPr>
              <w:t>Totodată, implementarea ulterioară a prevederilor va necesita ajustări administrative și tehnice, inclusiv elaborarea sau revizuirea actelor normative subsecvente, actualizarea procedurilor de autorizare, dezvoltarea metodologiilor de raportare și calculare a obiectivelor, adaptarea Sistemului informațional automatizat „Managementul deșeurilor”, precum și consolidarea capacităților instituționale pentru verificarea datelor și monitorizarea progresului.</w:t>
            </w:r>
          </w:p>
          <w:p w14:paraId="434777AE" w14:textId="77777777" w:rsidR="00FF46E1" w:rsidRPr="008B2788" w:rsidRDefault="00FF46E1" w:rsidP="008B2788">
            <w:pPr>
              <w:pStyle w:val="TableParagraph"/>
              <w:ind w:left="260" w:right="140"/>
              <w:rPr>
                <w:color w:val="000000" w:themeColor="text1"/>
                <w:lang w:val="ro-MD"/>
              </w:rPr>
            </w:pPr>
          </w:p>
          <w:p w14:paraId="744CA7B6" w14:textId="24A7CE97" w:rsidR="001B0C39" w:rsidRPr="008B2788" w:rsidRDefault="001B0C39" w:rsidP="008B2788">
            <w:pPr>
              <w:pStyle w:val="TableParagraph"/>
              <w:ind w:left="260" w:right="140"/>
            </w:pPr>
            <w:r w:rsidRPr="008B2788">
              <w:t>Pe termen scurt, impactul asupra sectorului public va consta în creșterea volumului de activități administrative, de reglementare, monitorizare și control. Pe termen mediu și lung, implementarea proiectului va contribui la eficientizarea sistemului public de gestionare a deșeurilor, creșterea calității datelor, îmbunătățirea trasabilității, reducerea depozitării și a abandonării deșeurilor, precum și la diminuarea costurilor suportate de autorități pentru curățarea spațiilor publice și gestionarea deșeurilor necontrolate.</w:t>
            </w:r>
          </w:p>
          <w:p w14:paraId="16797FCC" w14:textId="77777777" w:rsidR="001B0C39" w:rsidRPr="008B2788" w:rsidRDefault="001B0C39" w:rsidP="008B2788">
            <w:pPr>
              <w:pStyle w:val="TableParagraph"/>
              <w:ind w:left="260" w:right="140"/>
            </w:pPr>
          </w:p>
          <w:p w14:paraId="088F1802" w14:textId="192E036E" w:rsidR="00C87FC6" w:rsidRPr="008B2788" w:rsidRDefault="00C87FC6" w:rsidP="008B2788">
            <w:pPr>
              <w:pStyle w:val="TableParagraph"/>
              <w:ind w:left="260" w:right="140"/>
            </w:pPr>
            <w:r w:rsidRPr="008B2788">
              <w:t xml:space="preserve">Pe termen lung, </w:t>
            </w:r>
            <w:r w:rsidR="00FF46E1" w:rsidRPr="008B2788">
              <w:t xml:space="preserve">implementarea prevederilor proiectului de lege </w:t>
            </w:r>
            <w:r w:rsidRPr="008B2788">
              <w:t>poate genera economii semnificative prin reducerea costurilor de curățare a spațiilor publice și crearea de noi locuri de muncă în industriile verzi – reciclare, tehnologii pentru produse reutilizabile și cercetare în materiale durabile. Impactul pozitiv se va resimți și asupra consumatorilor, care vor avea acces la produse mai sigure, mai durabile și lipsite de substanțe toxice, concomitent cu creșterea gradului de informare și responsabilizare privind consumul și gestionarea deșeurilor.</w:t>
            </w:r>
          </w:p>
          <w:p w14:paraId="457011C2" w14:textId="77777777" w:rsidR="00FF46E1" w:rsidRPr="008B2788" w:rsidRDefault="00FF46E1" w:rsidP="008B2788">
            <w:pPr>
              <w:pStyle w:val="TableParagraph"/>
              <w:ind w:left="260" w:right="140"/>
            </w:pPr>
          </w:p>
          <w:p w14:paraId="7498BD72" w14:textId="77777777" w:rsidR="00C87FC6" w:rsidRPr="008B2788" w:rsidRDefault="00C87FC6" w:rsidP="008B2788">
            <w:pPr>
              <w:pStyle w:val="TableParagraph"/>
              <w:ind w:left="260" w:right="140"/>
            </w:pPr>
            <w:r w:rsidRPr="008B2788">
              <w:t xml:space="preserve">Totodată, opțiunea de reglementare implică și anumite </w:t>
            </w:r>
            <w:r w:rsidRPr="008B2788">
              <w:rPr>
                <w:i/>
                <w:iCs/>
              </w:rPr>
              <w:t>costuri pentru sectorul public</w:t>
            </w:r>
            <w:r w:rsidRPr="008B2788">
              <w:t xml:space="preserve">, în special pentru autoritățile responsabile de implementare, monitorizare și control. Aceste costuri sunt legate de dezvoltarea legislației secundare, adaptarea mecanismelor existente de supraveghere, efectuarea inspecțiilor, aplicarea sancțiunilor și derularea campaniilor naționale de informare și educare. Deși eforturile administrative vor crește în faza inițială, acestea sunt justificate prin efectele pe termen mediu și lung, deoarece responsabilitatea financiară va fi transferată gradual către producători prin mecanismele de răspundere extinsă. În paralel, implementarea reglementărilor necesită modernizarea fluxurilor de raportare, alinierea sistemelor de colectare separată și, după caz, integrarea unor sisteme noi precum schemele de garanție‑returnare pentru recipiente de băuturi. Aceste procese vor </w:t>
            </w:r>
            <w:r w:rsidRPr="008B2788">
              <w:rPr>
                <w:i/>
                <w:iCs/>
              </w:rPr>
              <w:t xml:space="preserve">consolida capacitatea instituțiilor </w:t>
            </w:r>
            <w:r w:rsidRPr="008B2788">
              <w:t>de a gestiona eficient fluxurile de deșeuri, fără a crea suprapuneri nejustificate de competențe.</w:t>
            </w:r>
          </w:p>
          <w:p w14:paraId="2971266D" w14:textId="77777777" w:rsidR="005A401D" w:rsidRPr="008B2788" w:rsidRDefault="005A401D" w:rsidP="008B2788">
            <w:pPr>
              <w:pStyle w:val="TableParagraph"/>
              <w:ind w:left="260" w:right="140"/>
            </w:pPr>
          </w:p>
          <w:p w14:paraId="47ADE4D1" w14:textId="77777777" w:rsidR="00C45531" w:rsidRPr="008B2788" w:rsidRDefault="00C87FC6" w:rsidP="008B2788">
            <w:pPr>
              <w:pStyle w:val="TableParagraph"/>
              <w:ind w:left="260" w:right="140"/>
            </w:pPr>
            <w:r w:rsidRPr="008B2788">
              <w:t>De asemenea, este necesară dezvoltarea unui mecanism clar de coordonare interinstituțională între autoritățile de mediu, autoritățile fiscale, instituțiile de control sanitar și autoritățile responsabile de standardizare, pentru a asigura coerența aplicării cerințelor europene. Pe termen scurt, aceste ajustări vor necesita resurse și creșterea capacității tehnice, însă pe termen mediu și lung vor conduce la eficientizarea sistemului național de gestionare a deșeurilor, creșterea transparenței, clarificarea atribuțiilor și reducerea presiunii asupra administrației centrale prin transferul responsabilităților financiare și operaționale către agenții economici, în spiritul principiului „poluatorul plătește”.</w:t>
            </w:r>
          </w:p>
          <w:p w14:paraId="6018F25E" w14:textId="4A62248F" w:rsidR="005A401D" w:rsidRPr="008B2788" w:rsidRDefault="005A401D" w:rsidP="008B2788">
            <w:pPr>
              <w:pStyle w:val="TableParagraph"/>
              <w:ind w:left="720" w:right="140"/>
            </w:pPr>
          </w:p>
        </w:tc>
      </w:tr>
      <w:tr w:rsidR="00C45531" w:rsidRPr="008B2788" w14:paraId="4B415BBA" w14:textId="77777777" w:rsidTr="008B2788">
        <w:tblPrEx>
          <w:tblLook w:val="01E0" w:firstRow="1" w:lastRow="1" w:firstColumn="1" w:lastColumn="1" w:noHBand="0" w:noVBand="0"/>
        </w:tblPrEx>
        <w:trPr>
          <w:trHeight w:val="350"/>
        </w:trPr>
        <w:tc>
          <w:tcPr>
            <w:tcW w:w="10170" w:type="dxa"/>
            <w:shd w:val="clear" w:color="auto" w:fill="D1D1D1"/>
          </w:tcPr>
          <w:p w14:paraId="61BDD92C" w14:textId="77777777" w:rsidR="00C45531" w:rsidRPr="008B2788" w:rsidRDefault="00000000" w:rsidP="008B2788">
            <w:pPr>
              <w:pStyle w:val="TableParagraph"/>
              <w:jc w:val="left"/>
              <w:rPr>
                <w:b/>
                <w:bCs/>
                <w:i/>
                <w:iCs/>
              </w:rPr>
            </w:pPr>
            <w:r w:rsidRPr="008B2788">
              <w:rPr>
                <w:b/>
                <w:bCs/>
                <w:i/>
                <w:iCs/>
              </w:rPr>
              <w:lastRenderedPageBreak/>
              <w:t>4.2</w:t>
            </w:r>
            <w:r w:rsidRPr="008B2788">
              <w:rPr>
                <w:b/>
                <w:bCs/>
                <w:i/>
                <w:iCs/>
                <w:spacing w:val="-6"/>
              </w:rPr>
              <w:t xml:space="preserve"> </w:t>
            </w:r>
            <w:r w:rsidRPr="008B2788">
              <w:rPr>
                <w:b/>
                <w:bCs/>
                <w:i/>
                <w:iCs/>
              </w:rPr>
              <w:t>Impactul</w:t>
            </w:r>
            <w:r w:rsidRPr="008B2788">
              <w:rPr>
                <w:b/>
                <w:bCs/>
                <w:i/>
                <w:iCs/>
                <w:spacing w:val="-4"/>
              </w:rPr>
              <w:t xml:space="preserve"> </w:t>
            </w:r>
            <w:r w:rsidRPr="008B2788">
              <w:rPr>
                <w:b/>
                <w:bCs/>
                <w:i/>
                <w:iCs/>
              </w:rPr>
              <w:t>financiar</w:t>
            </w:r>
            <w:r w:rsidRPr="008B2788">
              <w:rPr>
                <w:b/>
                <w:bCs/>
                <w:i/>
                <w:iCs/>
                <w:spacing w:val="-5"/>
              </w:rPr>
              <w:t xml:space="preserve"> </w:t>
            </w:r>
            <w:r w:rsidRPr="008B2788">
              <w:rPr>
                <w:b/>
                <w:bCs/>
                <w:i/>
                <w:iCs/>
              </w:rPr>
              <w:t>și</w:t>
            </w:r>
            <w:r w:rsidRPr="008B2788">
              <w:rPr>
                <w:b/>
                <w:bCs/>
                <w:i/>
                <w:iCs/>
                <w:spacing w:val="-4"/>
              </w:rPr>
              <w:t xml:space="preserve"> </w:t>
            </w:r>
            <w:r w:rsidRPr="008B2788">
              <w:rPr>
                <w:b/>
                <w:bCs/>
                <w:i/>
                <w:iCs/>
              </w:rPr>
              <w:t>argumentarea</w:t>
            </w:r>
            <w:r w:rsidRPr="008B2788">
              <w:rPr>
                <w:b/>
                <w:bCs/>
                <w:i/>
                <w:iCs/>
                <w:spacing w:val="-7"/>
              </w:rPr>
              <w:t xml:space="preserve"> </w:t>
            </w:r>
            <w:r w:rsidRPr="008B2788">
              <w:rPr>
                <w:b/>
                <w:bCs/>
                <w:i/>
                <w:iCs/>
              </w:rPr>
              <w:t>costurilor</w:t>
            </w:r>
            <w:r w:rsidRPr="008B2788">
              <w:rPr>
                <w:b/>
                <w:bCs/>
                <w:i/>
                <w:iCs/>
                <w:spacing w:val="-7"/>
              </w:rPr>
              <w:t xml:space="preserve"> </w:t>
            </w:r>
            <w:r w:rsidRPr="008B2788">
              <w:rPr>
                <w:b/>
                <w:bCs/>
                <w:i/>
                <w:iCs/>
                <w:spacing w:val="-2"/>
              </w:rPr>
              <w:t>estimative</w:t>
            </w:r>
          </w:p>
        </w:tc>
      </w:tr>
      <w:tr w:rsidR="00C45531" w:rsidRPr="008B2788" w14:paraId="42895709" w14:textId="77777777" w:rsidTr="008B2788">
        <w:tblPrEx>
          <w:tblLook w:val="01E0" w:firstRow="1" w:lastRow="1" w:firstColumn="1" w:lastColumn="1" w:noHBand="0" w:noVBand="0"/>
        </w:tblPrEx>
        <w:trPr>
          <w:trHeight w:val="981"/>
        </w:trPr>
        <w:tc>
          <w:tcPr>
            <w:tcW w:w="10170" w:type="dxa"/>
          </w:tcPr>
          <w:p w14:paraId="18103B03" w14:textId="77777777" w:rsidR="00BE5B8F" w:rsidRPr="008B2788" w:rsidRDefault="00BE5B8F" w:rsidP="008B2788">
            <w:pPr>
              <w:pStyle w:val="TableParagraph"/>
              <w:ind w:left="350" w:right="166"/>
            </w:pPr>
            <w:r w:rsidRPr="008B2788">
              <w:t>Implementarea proiectului de lege va avea un impact financiar gradual asupra sectorului public, mediului de afaceri și populației, determinat de extinderea cerințelor privind prevenirea generării deșeurilor, colectarea separată, reciclarea, reducerea depozitării, responsabilitatea extinsă a producătorului, raportarea și trasabilitatea fluxurilor de deșeuri.</w:t>
            </w:r>
          </w:p>
          <w:p w14:paraId="41B4B2F0" w14:textId="77777777" w:rsidR="00BE5B8F" w:rsidRPr="008B2788" w:rsidRDefault="00BE5B8F" w:rsidP="008B2788">
            <w:pPr>
              <w:pStyle w:val="TableParagraph"/>
              <w:ind w:left="350" w:right="166"/>
            </w:pPr>
          </w:p>
          <w:p w14:paraId="4C417AA7" w14:textId="77777777" w:rsidR="00BE5B8F" w:rsidRPr="008B2788" w:rsidRDefault="00BE5B8F" w:rsidP="008B2788">
            <w:pPr>
              <w:pStyle w:val="TableParagraph"/>
              <w:ind w:left="350" w:right="166"/>
            </w:pPr>
            <w:r w:rsidRPr="008B2788">
              <w:t>La etapa adoptării proiectului, modificarea Legii nr. 209/2016 privind deșeurile nu presupune instituirea unor cheltuieli bugetare directe imediate, întrucât proiectul stabilește cadrul juridic primar necesar pentru aplicarea ulterioară a măsurilor. Totodată, implementarea efectivă a prevederilor va necesita, în mod etapizat, resurse administrative, tehnice și financiare pentru elaborarea actelor normative subsecvente, ajustarea procedurilor instituționale, dezvoltarea sau adaptarea Sistemului informațional automatizat „Managementul deșeurilor”, consolidarea capacităților de raportare, monitorizare și control, precum și desfășurarea activităților de informare și sensibilizare.</w:t>
            </w:r>
          </w:p>
          <w:p w14:paraId="070B2DDE" w14:textId="77777777" w:rsidR="00BE5B8F" w:rsidRPr="008B2788" w:rsidRDefault="00BE5B8F" w:rsidP="008B2788">
            <w:pPr>
              <w:pStyle w:val="TableParagraph"/>
              <w:ind w:left="350" w:right="166"/>
            </w:pPr>
          </w:p>
          <w:p w14:paraId="52EB3EEA" w14:textId="77777777" w:rsidR="00BE5B8F" w:rsidRPr="008B2788" w:rsidRDefault="00BE5B8F" w:rsidP="008B2788">
            <w:pPr>
              <w:pStyle w:val="TableParagraph"/>
              <w:ind w:left="350" w:right="166"/>
            </w:pPr>
            <w:r w:rsidRPr="008B2788">
              <w:t xml:space="preserve">Pentru sectorul public, costurile estimative vor viza, în principal, elaborarea și revizuirea cadrului normativ secundar, dezvoltarea metodologiilor de calculare și raportare a obiectivelor, ajustarea formatelor de raportare, instruirea personalului autorităților responsabile, consolidarea activităților de control și supraveghere, precum și actualizarea instrumentelor digitale necesare pentru colectarea, validarea și </w:t>
            </w:r>
            <w:r w:rsidRPr="008B2788">
              <w:lastRenderedPageBreak/>
              <w:t>verificarea datelor. Aceste costuri vor fi suportate în limita alocațiilor bugetare aprobate, precum și, după caz, prin valorificarea programelor de asistență externă, inclusiv a instrumentelor disponibile în contextul procesului de aderare la Uniunea Europeană.</w:t>
            </w:r>
          </w:p>
          <w:p w14:paraId="4ADF182B" w14:textId="77777777" w:rsidR="00695930" w:rsidRPr="008B2788" w:rsidRDefault="00695930" w:rsidP="008B2788">
            <w:pPr>
              <w:pStyle w:val="TableParagraph"/>
              <w:ind w:left="350" w:right="166"/>
            </w:pPr>
            <w:r w:rsidRPr="008B2788">
              <w:t xml:space="preserve">Efortul bugetar inițial este conceput să scadă pe termen mediu pe măsură ce se consolidează mecanismele de răspundere extinsă a producătorului (REP): costurile pentru gestionarea deșeurilor generate, curățarea spațiilor publice aferente produselor vizate, precum și acțiunile de sensibilizare vor fi treptat transferate către producători, în spiritul principiului „poluatorul plătește”. </w:t>
            </w:r>
          </w:p>
          <w:p w14:paraId="6BAF1032" w14:textId="77777777" w:rsidR="00695930" w:rsidRPr="008B2788" w:rsidRDefault="00695930" w:rsidP="008B2788">
            <w:pPr>
              <w:pStyle w:val="TableParagraph"/>
              <w:ind w:left="350" w:right="166"/>
            </w:pPr>
            <w:r w:rsidRPr="008B2788">
              <w:t>În acest context, pe orizontul 2026–2029, cheltuielile publice sunt în principal nerecurente (cadru secundar, dezvoltări IT, formare, campanii inițiale), iar după stabilizare, începând cu anul 2030 cheltuielile recurente (inspecții, analize, guvernanță de date) rămân moderate și pot fi parțial acoperite din tarife administrative, redevențe de autorizare/înregistrare și penalități pentru neconformare.</w:t>
            </w:r>
          </w:p>
          <w:p w14:paraId="360D418E" w14:textId="77777777" w:rsidR="00695930" w:rsidRPr="008B2788" w:rsidRDefault="00695930" w:rsidP="008B2788">
            <w:pPr>
              <w:pStyle w:val="TableParagraph"/>
              <w:ind w:left="350" w:right="166"/>
            </w:pPr>
            <w:r w:rsidRPr="008B2788">
              <w:t xml:space="preserve">Argumentarea costurilor estimative se bazează pe unități de cost și volume realist proiectate, compatibile cu bugetele anuale și cadrul bugetar pe termen mediu. </w:t>
            </w:r>
          </w:p>
          <w:p w14:paraId="3598B3F0" w14:textId="77777777" w:rsidR="00695930" w:rsidRPr="008B2788" w:rsidRDefault="00695930" w:rsidP="008B2788">
            <w:pPr>
              <w:pStyle w:val="TableParagraph"/>
              <w:ind w:left="350" w:right="166"/>
            </w:pPr>
            <w:r w:rsidRPr="008B2788">
              <w:t>Suma estimărilor se prezintă în fișa financiară conform metodologiei de analiză a impactului de reglementare, cu descifrarea calculelor astfel:</w:t>
            </w:r>
          </w:p>
          <w:p w14:paraId="3E3BBF60" w14:textId="77777777" w:rsidR="00695930" w:rsidRPr="008B2788" w:rsidRDefault="00695930" w:rsidP="008B2788">
            <w:pPr>
              <w:pStyle w:val="TableParagraph"/>
              <w:ind w:left="350" w:right="166"/>
            </w:pPr>
            <w:r w:rsidRPr="008B2788">
              <w:t>Legislație secundară și standardizare: nr. de acte subordonate × ore expertiză (juridic/tehnic) × tarif orar + cost consultări publice (evenimente, sinteze).</w:t>
            </w:r>
          </w:p>
          <w:p w14:paraId="1529A0C4" w14:textId="77777777" w:rsidR="00695930" w:rsidRPr="008B2788" w:rsidRDefault="00695930" w:rsidP="008B2788">
            <w:pPr>
              <w:pStyle w:val="TableParagraph"/>
              <w:ind w:left="350" w:right="166"/>
            </w:pPr>
            <w:r w:rsidRPr="008B2788">
              <w:t xml:space="preserve">Sistem IT: analiză + dezvoltare + testare + găzduire/mentenanță </w:t>
            </w:r>
            <w:proofErr w:type="spellStart"/>
            <w:r w:rsidRPr="00247E82">
              <w:t>multi</w:t>
            </w:r>
            <w:proofErr w:type="spellEnd"/>
            <w:r w:rsidRPr="00247E82">
              <w:t>‑an</w:t>
            </w:r>
            <w:r w:rsidRPr="008B2788">
              <w:t xml:space="preserve">; integrare cu raportările </w:t>
            </w:r>
            <w:r w:rsidRPr="00247E82">
              <w:t>operatorilor</w:t>
            </w:r>
            <w:r w:rsidRPr="008B2788">
              <w:t xml:space="preserve"> REP.</w:t>
            </w:r>
          </w:p>
          <w:p w14:paraId="79093F57" w14:textId="77777777" w:rsidR="00695930" w:rsidRPr="008B2788" w:rsidRDefault="00695930" w:rsidP="008B2788">
            <w:pPr>
              <w:pStyle w:val="TableParagraph"/>
              <w:ind w:left="350" w:right="166"/>
            </w:pPr>
            <w:r w:rsidRPr="008B2788">
              <w:t>Control și supraveghere: (nr. inspecții suplimentare/an × cost personal × cost deplasare × logistică) + programe de formare (nr. participanți × cost/curs).</w:t>
            </w:r>
          </w:p>
          <w:p w14:paraId="72CFD906" w14:textId="77777777" w:rsidR="00695930" w:rsidRPr="008B2788" w:rsidRDefault="00695930" w:rsidP="008B2788">
            <w:pPr>
              <w:pStyle w:val="TableParagraph"/>
              <w:ind w:left="350" w:right="166"/>
            </w:pPr>
            <w:r w:rsidRPr="008B2788">
              <w:t>Campanii de informare și educare: (număr valuri media/an × cost producție spoturi/materiale) + (bugete difuzare TV/radio/online/outdoor pe GRP/ținte) + evaluare impact (sondaje, audit de brand/mesaj).</w:t>
            </w:r>
          </w:p>
          <w:p w14:paraId="2AC5B517" w14:textId="77777777" w:rsidR="00695930" w:rsidRPr="008B2788" w:rsidRDefault="00695930" w:rsidP="008B2788">
            <w:pPr>
              <w:pStyle w:val="TableParagraph"/>
              <w:ind w:left="350" w:right="166"/>
            </w:pPr>
            <w:r w:rsidRPr="008B2788">
              <w:t>APL – infrastructură minimală pentru  gestionarea fluxuri REP: (nr. puncte sensibile × kit coșuri/containere semnalizate × cost unitar) + (servicii salubrizare suplimentară sezon × tarif), diminuate anual pe măsura preluării costurilor prin REP.</w:t>
            </w:r>
          </w:p>
          <w:p w14:paraId="7DC0FB35" w14:textId="77777777" w:rsidR="00695930" w:rsidRPr="008B2788" w:rsidRDefault="00695930" w:rsidP="008B2788">
            <w:pPr>
              <w:pStyle w:val="TableParagraph"/>
              <w:ind w:left="350" w:right="166"/>
            </w:pPr>
            <w:r w:rsidRPr="008B2788">
              <w:t>Economii bugetare: linia curentă de curățare aferentă produselor SUP × rata de reducere prognozată (ca urmare a interdicțiilor, marcării, REP, campaniilor).</w:t>
            </w:r>
          </w:p>
          <w:p w14:paraId="3DF21CBB" w14:textId="77777777" w:rsidR="00695930" w:rsidRPr="008B2788" w:rsidRDefault="00695930" w:rsidP="008B2788">
            <w:pPr>
              <w:pStyle w:val="TableParagraph"/>
              <w:ind w:left="350" w:right="166"/>
            </w:pPr>
          </w:p>
          <w:p w14:paraId="6F7227DF" w14:textId="09708D87" w:rsidR="00695930" w:rsidRPr="008B2788" w:rsidRDefault="00695930" w:rsidP="008B2788">
            <w:pPr>
              <w:pStyle w:val="TableParagraph"/>
              <w:ind w:left="350" w:right="166"/>
            </w:pPr>
            <w:r w:rsidRPr="008B2788">
              <w:t>Venituri: tarife administrative/înregistrare pentru operatori REP și producători, sancțiuni aplicate pentru neconformitate; venituri ratate potențiale: impact marginal pe TVA din scăderea volumelor anumitor SUP interzise, care se poate compensa prin migrarea consumului către alternative.</w:t>
            </w:r>
          </w:p>
          <w:p w14:paraId="25D989BA" w14:textId="77777777" w:rsidR="00BE5B8F" w:rsidRPr="008B2788" w:rsidRDefault="00BE5B8F" w:rsidP="008B2788">
            <w:pPr>
              <w:pStyle w:val="TableParagraph"/>
              <w:ind w:left="350" w:right="166"/>
            </w:pPr>
          </w:p>
          <w:p w14:paraId="25855B92" w14:textId="66309B87" w:rsidR="00BE5B8F" w:rsidRPr="008B2788" w:rsidRDefault="00BE5B8F" w:rsidP="008B2788">
            <w:pPr>
              <w:pStyle w:val="TableParagraph"/>
              <w:ind w:left="350" w:right="166"/>
            </w:pPr>
            <w:r w:rsidRPr="008B2788">
              <w:t xml:space="preserve">La nivelul autorităților administrației publice locale, impactul financiar va fi asociat cu necesitatea dezvoltării treptate a infrastructurii de colectare separată pentru deșeurile municipale, </w:t>
            </w:r>
            <w:proofErr w:type="spellStart"/>
            <w:r w:rsidRPr="008B2788">
              <w:t>bio</w:t>
            </w:r>
            <w:proofErr w:type="spellEnd"/>
            <w:r w:rsidRPr="008B2788">
              <w:t>-deșeuri, textile, fracțiile periculoase provenite din gospodării și alte fluxuri specifice. Totodată, APL vor avea responsabilități privind integrarea noilor cerințe în programele locale de gestionare a deșeurilor, contractele de salubrizare și mecanismele de cooperare cu operatorii autorizați și sistemele de responsabilitate extinsă a producătorului</w:t>
            </w:r>
            <w:r w:rsidR="003E6CEA" w:rsidRPr="008B2788">
              <w:t>, inclusiv crearea centrelor de aport voluntar</w:t>
            </w:r>
            <w:r w:rsidRPr="008B2788">
              <w:t>. Pe termen mediu și lung, aceste costuri pot fi diminuate prin transferarea graduală a unei părți din povara financiară către producători, în conformitate cu principiul „poluatorul plătește”.</w:t>
            </w:r>
          </w:p>
          <w:p w14:paraId="0816AFF5" w14:textId="77777777" w:rsidR="00BE5B8F" w:rsidRPr="008B2788" w:rsidRDefault="00BE5B8F" w:rsidP="008B2788">
            <w:pPr>
              <w:pStyle w:val="TableParagraph"/>
              <w:ind w:left="350" w:right="166"/>
            </w:pPr>
          </w:p>
          <w:p w14:paraId="6968FB28" w14:textId="77777777" w:rsidR="00BE5B8F" w:rsidRPr="008B2788" w:rsidRDefault="00BE5B8F" w:rsidP="008B2788">
            <w:pPr>
              <w:pStyle w:val="TableParagraph"/>
              <w:ind w:left="350" w:right="166"/>
            </w:pPr>
            <w:r w:rsidRPr="008B2788">
              <w:t>Pentru mediul de afaceri, impactul financiar va fi resimțit în special de producătorii și importatorii de produse supuse responsabilității extinse a producătorului, inclusiv produse textile, ambalaje și produse din plastic de unică folosință. Aceștia vor suporta costuri aferente înregistrării, raportării, participării la sisteme individuale sau colective, achitării contribuțiilor financiare sau, după caz, taxei pe produs, precum și costuri legate de marcarea produselor, adaptarea produselor la cerințele legale, organizarea colectării separate, tratarea deșeurilor și acoperirea costurilor de informare și sensibilizare. Pentru anumite categorii de produse, costurile vor fi determinate de necesitatea trecerii la alternative reutilizabile, reciclabile sau cu impact redus asupra mediului.</w:t>
            </w:r>
          </w:p>
          <w:p w14:paraId="7B780D5C" w14:textId="77777777" w:rsidR="00BE5B8F" w:rsidRPr="008B2788" w:rsidRDefault="00BE5B8F" w:rsidP="008B2788">
            <w:pPr>
              <w:pStyle w:val="TableParagraph"/>
              <w:ind w:left="350" w:right="166"/>
            </w:pPr>
          </w:p>
          <w:p w14:paraId="47A58ED6" w14:textId="77777777" w:rsidR="00BE5B8F" w:rsidRPr="008B2788" w:rsidRDefault="00BE5B8F" w:rsidP="008B2788">
            <w:pPr>
              <w:pStyle w:val="TableParagraph"/>
              <w:ind w:left="350" w:right="166"/>
            </w:pPr>
            <w:r w:rsidRPr="008B2788">
              <w:t xml:space="preserve">În cazul produselor din plastic de unică folosință, impactul financiar asupra producătorilor va include costurile aferente reducerii consumului, respectării restricțiilor de plasare pe piață, aplicării cerințelor de marcare, asigurării conținutului minim de plastic reciclat pentru recipientele pentru băuturi, participării la sistemul de depozit și acoperirii costurilor aferente deșeurilor generate după consumul produselor. În cazul produselor textile, costurile vor viza organizarea și finanțarea colectării separate, sortării, pregătirii pentru reutilizare, reciclării, raportării și, după caz, acoperirea costurilor aferente activităților entităților implicate în </w:t>
            </w:r>
            <w:r w:rsidRPr="008B2788">
              <w:lastRenderedPageBreak/>
              <w:t>reutilizare și economie socială.</w:t>
            </w:r>
          </w:p>
          <w:p w14:paraId="0CDE477D" w14:textId="77777777" w:rsidR="00695930" w:rsidRPr="008B2788" w:rsidRDefault="00695930" w:rsidP="008B2788">
            <w:pPr>
              <w:pStyle w:val="TableParagraph"/>
              <w:ind w:left="350" w:right="166"/>
            </w:pPr>
          </w:p>
          <w:p w14:paraId="7370949A" w14:textId="105E58AB" w:rsidR="00695930" w:rsidRPr="008B2788" w:rsidRDefault="00695930" w:rsidP="008B2788">
            <w:pPr>
              <w:pStyle w:val="TableParagraph"/>
              <w:ind w:left="350" w:right="166"/>
            </w:pPr>
            <w:r w:rsidRPr="008B2788">
              <w:t xml:space="preserve">Pentru întreprinderi mici și mijlocii (în continuare IMM), retail mic, comercianți ambulanți și sectorul </w:t>
            </w:r>
            <w:proofErr w:type="spellStart"/>
            <w:r w:rsidRPr="008B2788">
              <w:t>HoReCa</w:t>
            </w:r>
            <w:proofErr w:type="spellEnd"/>
            <w:r w:rsidRPr="008B2788">
              <w:t xml:space="preserve"> (utilizatori intensivi de SUP), pot apărea costuri de conformare (achiziție de alternative, ajustarea contractelor de aprovizionare, adaptări operaționale), cu posibil efect de transfer parțial în prețurile finale. În fișa financiară, se vor reflecta doar impacturile asupra bugetelor publice, iar pentru atenuarea riscului de șoc de piață, se pot prevedea măsuri de etapizare a termenelor de conformare (strict în sfera SUP), campanii de sprijin informativ pentru IMM și ghiduri tehnice de implementare, fără subvenționare directă din bugetul public, astfel încât să se mențină neutralitatea fiscală și să se respecte principiul responsabilității producătorilor.</w:t>
            </w:r>
          </w:p>
          <w:p w14:paraId="52E2AD71" w14:textId="77777777" w:rsidR="00695930" w:rsidRPr="008B2788" w:rsidRDefault="00695930" w:rsidP="008B2788">
            <w:pPr>
              <w:pStyle w:val="TableParagraph"/>
              <w:ind w:left="350" w:right="166"/>
            </w:pPr>
          </w:p>
          <w:p w14:paraId="1473686C" w14:textId="77777777" w:rsidR="00BE5B8F" w:rsidRPr="008B2788" w:rsidRDefault="00BE5B8F" w:rsidP="008B2788">
            <w:pPr>
              <w:pStyle w:val="TableParagraph"/>
              <w:ind w:left="350" w:right="166"/>
            </w:pPr>
            <w:r w:rsidRPr="008B2788">
              <w:t xml:space="preserve">Pentru operatorii depozitelor de deșeuri, proiectul poate genera costuri suplimentare legate de respectarea cerințelor privind exploatarea, monitorizarea, raportarea, constituirea fondului pentru închiderea și urmărirea </w:t>
            </w:r>
            <w:proofErr w:type="spellStart"/>
            <w:r w:rsidRPr="008B2788">
              <w:t>postînchidere</w:t>
            </w:r>
            <w:proofErr w:type="spellEnd"/>
            <w:r w:rsidRPr="008B2788">
              <w:t xml:space="preserve"> a depozitului, precum și includerea costurilor reale ale depozitării în tarifele aplicate. Aceste costuri sunt justificate de necesitatea asigurării finanțării obligațiilor de mediu pe întreaga durată de viață a depozitului, inclusiv în etapa de </w:t>
            </w:r>
            <w:proofErr w:type="spellStart"/>
            <w:r w:rsidRPr="008B2788">
              <w:t>postînchidere</w:t>
            </w:r>
            <w:proofErr w:type="spellEnd"/>
            <w:r w:rsidRPr="008B2788">
              <w:t>.</w:t>
            </w:r>
          </w:p>
          <w:p w14:paraId="2A79AD8F" w14:textId="77777777" w:rsidR="00BE5B8F" w:rsidRPr="008B2788" w:rsidRDefault="00BE5B8F" w:rsidP="008B2788">
            <w:pPr>
              <w:pStyle w:val="TableParagraph"/>
              <w:ind w:left="350" w:right="166"/>
            </w:pPr>
          </w:p>
          <w:p w14:paraId="7141A8DB" w14:textId="77777777" w:rsidR="00BE5B8F" w:rsidRPr="008B2788" w:rsidRDefault="00BE5B8F" w:rsidP="008B2788">
            <w:pPr>
              <w:pStyle w:val="TableParagraph"/>
              <w:ind w:left="350" w:right="166"/>
            </w:pPr>
            <w:r w:rsidRPr="008B2788">
              <w:t>Totodată, implementarea proiectului poate genera economii pe termen mediu și lung pentru sectorul public, prin reducerea cantităților de deșeuri abandonate, diminuarea costurilor de curățare a spațiilor publice, creșterea gradului de colectare separată, reducerea presiunii asupra depozitelor și transferarea unei părți din costurile de gestionare către producători. Aplicarea responsabilității extinse a producătorului, a taxei pe produs și a sistemului de depozit va contribui la o repartizare mai echitabilă a costurilor, astfel încât acestea să fie suportate de operatorii economici care plasează produsele pe piață, și nu exclusiv de autoritățile publice locale sau de populație.</w:t>
            </w:r>
          </w:p>
          <w:p w14:paraId="7EF7DF4D" w14:textId="77777777" w:rsidR="00BE5B8F" w:rsidRPr="008B2788" w:rsidRDefault="00BE5B8F" w:rsidP="008B2788">
            <w:pPr>
              <w:pStyle w:val="TableParagraph"/>
              <w:ind w:left="350" w:right="166"/>
            </w:pPr>
          </w:p>
          <w:p w14:paraId="063E9605" w14:textId="77777777" w:rsidR="00BE5B8F" w:rsidRPr="008B2788" w:rsidRDefault="00BE5B8F" w:rsidP="008B2788">
            <w:pPr>
              <w:pStyle w:val="TableParagraph"/>
              <w:ind w:left="350" w:right="166"/>
            </w:pPr>
            <w:r w:rsidRPr="008B2788">
              <w:t>Pentru populație, impactul financiar poate fi indirect, prin eventuala reflectare a unor costuri de conformare în prețul produselor. Totuși, acest impact este compensat de beneficiile de mediu și sănătate publică, de accesul la produse mai durabile și mai sigure, de îmbunătățirea calității serviciilor de colectare separată și de reducerea poluării spațiilor publice. În cazul sistemului de depozit, sumele achitate cu titlu de depozit au caracter rambursabil, fiind restituite consumatorului la returnarea ambalajului.</w:t>
            </w:r>
          </w:p>
          <w:p w14:paraId="2A0DF9D6" w14:textId="77777777" w:rsidR="00BE5B8F" w:rsidRPr="008B2788" w:rsidRDefault="00BE5B8F" w:rsidP="008B2788">
            <w:pPr>
              <w:pStyle w:val="TableParagraph"/>
              <w:ind w:left="350" w:right="166"/>
            </w:pPr>
          </w:p>
          <w:p w14:paraId="303E7F4D" w14:textId="77777777" w:rsidR="00C45531" w:rsidRPr="008B2788" w:rsidRDefault="00BE5B8F" w:rsidP="008B2788">
            <w:pPr>
              <w:pStyle w:val="TableParagraph"/>
              <w:ind w:left="350" w:right="166"/>
            </w:pPr>
            <w:r w:rsidRPr="008B2788">
              <w:t>În concluzie, impactul financiar al proiectului este unul etapizat și proporțional cu obiectivele urmărite. Costurile inițiale vor fi legate în principal de ajustarea cadrului normativ, dezvoltarea capacităților instituționale, modernizarea raportării și pregătirea sistemelor de implementare. Pe termen mediu și lung, proiectul va contribui la eficientizarea utilizării resurselor publice, reducerea costurilor de gestionare necontrolată a deșeurilor, stimularea investițiilor în reciclare și valorificare, precum și la aplicarea efectivă a principiului „poluatorul plătește”.</w:t>
            </w:r>
          </w:p>
          <w:p w14:paraId="2568DA3F" w14:textId="46694E44" w:rsidR="00775B2F" w:rsidRPr="008B2788" w:rsidRDefault="00775B2F" w:rsidP="008B2788">
            <w:pPr>
              <w:pStyle w:val="TableParagraph"/>
              <w:ind w:left="350" w:right="166"/>
            </w:pPr>
          </w:p>
        </w:tc>
      </w:tr>
    </w:tbl>
    <w:p w14:paraId="29DCDE4B" w14:textId="77777777" w:rsidR="00C45531" w:rsidRPr="008B2788" w:rsidRDefault="00C45531" w:rsidP="008B2788">
      <w:pPr>
        <w:pStyle w:val="TableParagraph"/>
        <w:sectPr w:rsidR="00C45531" w:rsidRPr="008B2788" w:rsidSect="008B2788">
          <w:type w:val="continuous"/>
          <w:pgSz w:w="11910" w:h="16840"/>
          <w:pgMar w:top="1100" w:right="708" w:bottom="1238" w:left="1700" w:header="720" w:footer="720" w:gutter="0"/>
          <w:cols w:space="720"/>
        </w:sectPr>
      </w:pPr>
    </w:p>
    <w:tbl>
      <w:tblPr>
        <w:tblStyle w:val="TableNormal1"/>
        <w:tblW w:w="101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0"/>
      </w:tblGrid>
      <w:tr w:rsidR="00C45531" w:rsidRPr="008B2788" w14:paraId="16AA653F" w14:textId="77777777" w:rsidTr="008B2788">
        <w:trPr>
          <w:trHeight w:val="20"/>
        </w:trPr>
        <w:tc>
          <w:tcPr>
            <w:tcW w:w="10170" w:type="dxa"/>
            <w:shd w:val="clear" w:color="auto" w:fill="D1D1D1"/>
          </w:tcPr>
          <w:p w14:paraId="1948BDE9" w14:textId="05FCCD28" w:rsidR="00C45531" w:rsidRPr="008B2788" w:rsidRDefault="00000000" w:rsidP="008B2788">
            <w:pPr>
              <w:pStyle w:val="TableParagraph"/>
              <w:ind w:left="129"/>
              <w:jc w:val="left"/>
              <w:rPr>
                <w:b/>
                <w:bCs/>
                <w:i/>
                <w:iCs/>
              </w:rPr>
            </w:pPr>
            <w:r w:rsidRPr="008B2788">
              <w:rPr>
                <w:b/>
                <w:bCs/>
                <w:i/>
                <w:iCs/>
              </w:rPr>
              <w:t>4.</w:t>
            </w:r>
            <w:r w:rsidR="00535488" w:rsidRPr="008B2788">
              <w:rPr>
                <w:b/>
                <w:bCs/>
                <w:i/>
                <w:iCs/>
              </w:rPr>
              <w:t>3</w:t>
            </w:r>
            <w:r w:rsidRPr="008B2788">
              <w:rPr>
                <w:b/>
                <w:bCs/>
                <w:i/>
                <w:iCs/>
                <w:spacing w:val="-4"/>
              </w:rPr>
              <w:t xml:space="preserve"> </w:t>
            </w:r>
            <w:r w:rsidR="003630B9" w:rsidRPr="008B2788">
              <w:rPr>
                <w:b/>
                <w:bCs/>
                <w:i/>
                <w:iCs/>
              </w:rPr>
              <w:t>Impactul asupra sectorului privat</w:t>
            </w:r>
          </w:p>
        </w:tc>
      </w:tr>
      <w:tr w:rsidR="00C45531" w:rsidRPr="008B2788" w14:paraId="2DBB8F43" w14:textId="77777777" w:rsidTr="008B2788">
        <w:trPr>
          <w:trHeight w:val="20"/>
        </w:trPr>
        <w:tc>
          <w:tcPr>
            <w:tcW w:w="10170" w:type="dxa"/>
          </w:tcPr>
          <w:p w14:paraId="098F97E8" w14:textId="77777777" w:rsidR="00FE6DFA" w:rsidRPr="008B2788" w:rsidRDefault="00FE6DFA" w:rsidP="008B2788">
            <w:pPr>
              <w:pStyle w:val="TableParagraph"/>
              <w:ind w:left="350" w:right="140"/>
            </w:pPr>
            <w:r w:rsidRPr="008B2788">
              <w:t xml:space="preserve">Implementarea proiectului de lege va avea impact asupra sectorului privat, în special asupra producătorilor, importatorilor, distribuitorilor, comercianților, operatorilor economici care plasează pe piață produse supuse responsabilității extinse a producătorului, operatorilor de gestionare a deșeurilor, operatorilor depozitelor de deșeuri, precum și agenților economici din domeniul construcțiilor, comerțului, </w:t>
            </w:r>
            <w:proofErr w:type="spellStart"/>
            <w:r w:rsidRPr="008B2788">
              <w:t>HoReCa</w:t>
            </w:r>
            <w:proofErr w:type="spellEnd"/>
            <w:r w:rsidRPr="008B2788">
              <w:t>, textilelor și ambalajelor.</w:t>
            </w:r>
          </w:p>
          <w:p w14:paraId="64C367BC" w14:textId="77777777" w:rsidR="00FE6DFA" w:rsidRPr="008B2788" w:rsidRDefault="00FE6DFA" w:rsidP="008B2788">
            <w:pPr>
              <w:pStyle w:val="TableParagraph"/>
              <w:ind w:left="350" w:right="140"/>
            </w:pPr>
          </w:p>
          <w:p w14:paraId="376F89F0" w14:textId="156F616A" w:rsidR="00FE6DFA" w:rsidRPr="008B2788" w:rsidRDefault="00FE6DFA" w:rsidP="008B2788">
            <w:pPr>
              <w:pStyle w:val="TableParagraph"/>
              <w:ind w:left="350" w:right="140"/>
            </w:pPr>
            <w:r w:rsidRPr="008B2788">
              <w:t xml:space="preserve">În cazul produselor din plastic de unică folosință, impactul va fi resimțit de producătorii, importatorii și distribuitorii produselor vizate, precum și de unitățile </w:t>
            </w:r>
            <w:proofErr w:type="spellStart"/>
            <w:r w:rsidRPr="008B2788">
              <w:t>HoReCa</w:t>
            </w:r>
            <w:proofErr w:type="spellEnd"/>
            <w:r w:rsidRPr="008B2788">
              <w:t xml:space="preserve">, comercianții și prestatorii de servicii care utilizează frecvent astfel de produse. Aceștia vor suporta costuri de conformare legate de identificarea alternativelor, aplicarea cerințelor de marcare, asigurarea conținutului minim de plastic reciclat, raportarea cantităților plasate pe piață și participarea la mecanismele de responsabilitate extinsă a producătorului sau la sistemul de depozit, după caz. Pentru IMM-uri, în special cele din sectorul </w:t>
            </w:r>
            <w:proofErr w:type="spellStart"/>
            <w:r w:rsidRPr="008B2788">
              <w:t>HoReCa</w:t>
            </w:r>
            <w:proofErr w:type="spellEnd"/>
            <w:r w:rsidRPr="008B2788">
              <w:t>, comerț ambulant și retail mic, impactul poate fi mai pronunțat, având în vedere capacitatea mai redusă de absorbție a costurilor de tranziție și accesul limitat la furnizori de alternative.</w:t>
            </w:r>
          </w:p>
          <w:p w14:paraId="4D0B9294" w14:textId="77777777" w:rsidR="00FE6DFA" w:rsidRPr="008B2788" w:rsidRDefault="00FE6DFA" w:rsidP="008B2788">
            <w:pPr>
              <w:pStyle w:val="TableParagraph"/>
              <w:ind w:left="350" w:right="140"/>
            </w:pPr>
          </w:p>
          <w:p w14:paraId="5003222A" w14:textId="55973ED6" w:rsidR="00FE6DFA" w:rsidRPr="008B2788" w:rsidRDefault="00FE6DFA" w:rsidP="008B2788">
            <w:pPr>
              <w:pStyle w:val="TableParagraph"/>
              <w:ind w:left="350" w:right="140"/>
            </w:pPr>
            <w:r w:rsidRPr="008B2788">
              <w:t xml:space="preserve">În același timp, proiectul poate genera oportunități pentru dezvoltarea unor activități economice noi sau extinse, inclusiv producerea și distribuirea alternativelor reutilizabile, reciclabile sau biodegradabile, colectarea separată, sortarea, reciclarea, pregătirea pentru reutilizare, repararea și valorificarea materialelor. </w:t>
            </w:r>
          </w:p>
          <w:p w14:paraId="23427C67" w14:textId="77777777" w:rsidR="00FE6DFA" w:rsidRPr="008B2788" w:rsidRDefault="00FE6DFA" w:rsidP="008B2788">
            <w:pPr>
              <w:pStyle w:val="TableParagraph"/>
              <w:ind w:left="350" w:right="140"/>
            </w:pPr>
          </w:p>
          <w:p w14:paraId="48AB3869" w14:textId="1F12FF97" w:rsidR="00FE6DFA" w:rsidRPr="008B2788" w:rsidRDefault="00FE6DFA" w:rsidP="008B2788">
            <w:pPr>
              <w:pStyle w:val="TableParagraph"/>
              <w:ind w:left="350" w:right="140"/>
            </w:pPr>
            <w:r w:rsidRPr="008B2788">
              <w:t>În domeniul produselor textile, proiectul va avea impact asupra producătorilor, importatorilor, comercianților, platformelor online și furnizorilor de servicii de logistică. Aceștia vor fi obligați să respecte cerințele aferente responsabilității extinse a producătorului, inclusiv înregistrarea, raportarea, finanțarea colectării separate, sortării, pregătirii pentru reutilizare și reciclării.</w:t>
            </w:r>
          </w:p>
          <w:p w14:paraId="6B9FE870" w14:textId="77777777" w:rsidR="00FE6DFA" w:rsidRPr="008B2788" w:rsidRDefault="00FE6DFA" w:rsidP="008B2788">
            <w:pPr>
              <w:pStyle w:val="TableParagraph"/>
              <w:ind w:left="350" w:right="140"/>
            </w:pPr>
          </w:p>
          <w:p w14:paraId="70A4F7C9" w14:textId="6F65E948" w:rsidR="00FE6DFA" w:rsidRPr="008B2788" w:rsidRDefault="00FE6DFA" w:rsidP="008B2788">
            <w:pPr>
              <w:pStyle w:val="TableParagraph"/>
              <w:ind w:left="350" w:right="140"/>
            </w:pPr>
            <w:r w:rsidRPr="008B2788">
              <w:t xml:space="preserve">În </w:t>
            </w:r>
            <w:r w:rsidR="00F87CA2" w:rsidRPr="008B2788">
              <w:t>cazul</w:t>
            </w:r>
            <w:r w:rsidRPr="008B2788">
              <w:t xml:space="preserve"> ambalajelor, operatorii economici vor fi afectați prin clarificarea cerințelor privind ambalajele reutilizabile, sistemul de depozit, raportarea cantităților plasate pe piață, returnarea ambalajelor și respectarea condițiilor derogatorii privind nivelurile de concentrație a metalelor grele în anumite ambalaje din sticlă, lăzi din plastic și </w:t>
            </w:r>
            <w:proofErr w:type="spellStart"/>
            <w:r w:rsidRPr="008B2788">
              <w:t>paleți</w:t>
            </w:r>
            <w:proofErr w:type="spellEnd"/>
            <w:r w:rsidRPr="008B2788">
              <w:t xml:space="preserve"> din plastic. </w:t>
            </w:r>
          </w:p>
          <w:p w14:paraId="03C2D7D4" w14:textId="77777777" w:rsidR="00FE6DFA" w:rsidRPr="008B2788" w:rsidRDefault="00FE6DFA" w:rsidP="008B2788">
            <w:pPr>
              <w:pStyle w:val="TableParagraph"/>
              <w:ind w:left="350" w:right="140"/>
            </w:pPr>
          </w:p>
          <w:p w14:paraId="64DE9297" w14:textId="33B355A9" w:rsidR="00FE6DFA" w:rsidRPr="008B2788" w:rsidRDefault="00FE6DFA" w:rsidP="008B2788">
            <w:pPr>
              <w:pStyle w:val="TableParagraph"/>
              <w:ind w:left="350" w:right="140"/>
            </w:pPr>
            <w:r w:rsidRPr="008B2788">
              <w:t>Pentru operatorii de gestionare a deșeurilor, proiectul poate genera cerințe suplimentare privind autorizarea, evidența, raportarea, trasabilitatea, colectarea separată, tratarea și respectarea condițiilor tehnice de funcționare. Aceste cerințe pot implica costuri administrative și tehnice, dar pot crea și oportunități pentru extinderea serviciilor de colectare separată, sortare, reciclare și valorificare materială.</w:t>
            </w:r>
          </w:p>
          <w:p w14:paraId="49AA9BFF" w14:textId="77777777" w:rsidR="00FE6DFA" w:rsidRPr="008B2788" w:rsidRDefault="00FE6DFA" w:rsidP="008B2788">
            <w:pPr>
              <w:pStyle w:val="TableParagraph"/>
              <w:ind w:left="350" w:right="140"/>
            </w:pPr>
          </w:p>
          <w:p w14:paraId="312F6A1E" w14:textId="09F4B3B3" w:rsidR="00FE6DFA" w:rsidRPr="008B2788" w:rsidRDefault="00FE6DFA" w:rsidP="008B2788">
            <w:pPr>
              <w:pStyle w:val="TableParagraph"/>
              <w:ind w:left="350" w:right="140"/>
            </w:pPr>
            <w:r w:rsidRPr="008B2788">
              <w:t xml:space="preserve">Pentru operatorii depozitelor de deșeuri, impactul va consta în aplicarea unor cerințe mai stricte privind acceptarea deșeurilor, monitorizarea, raportarea, constituirea fondului pentru închiderea și urmărirea </w:t>
            </w:r>
            <w:proofErr w:type="spellStart"/>
            <w:r w:rsidRPr="008B2788">
              <w:t>postînchidere</w:t>
            </w:r>
            <w:proofErr w:type="spellEnd"/>
            <w:r w:rsidRPr="008B2788">
              <w:t xml:space="preserve"> a depozitului și includerea costurilor reale ale depozitării în tarifele aplicate.</w:t>
            </w:r>
          </w:p>
          <w:p w14:paraId="0306CAA2" w14:textId="77777777" w:rsidR="00FE6DFA" w:rsidRPr="008B2788" w:rsidRDefault="00FE6DFA" w:rsidP="008B2788">
            <w:pPr>
              <w:pStyle w:val="TableParagraph"/>
              <w:ind w:left="350" w:right="140"/>
            </w:pPr>
          </w:p>
          <w:p w14:paraId="36985223" w14:textId="77777777" w:rsidR="00FE6DFA" w:rsidRPr="008B2788" w:rsidRDefault="00FE6DFA" w:rsidP="008B2788">
            <w:pPr>
              <w:pStyle w:val="TableParagraph"/>
              <w:ind w:left="350" w:right="140"/>
            </w:pPr>
            <w:r w:rsidRPr="008B2788">
              <w:t>În domeniul construcțiilor, proiectul va avea impact asupra dezvoltatorilor, antreprenorilor, executanților de lucrări, operatorilor de demolare și companiilor care gestionează deșeuri din construcții și demolări. Aceștia vor trebui să integreze măsuri de gestionare a deșeurilor în proiectele de execuție sau desființare, să asigure separarea materialelor, auditul anterior demolării în cazurile prevăzute de lege și predarea deșeurilor către operatori autorizați. Deși aceste cerințe pot genera costuri suplimentare de planificare și organizare, ele pot contribui la recuperarea materialelor, reducerea eliminării necontrolate și dezvoltarea pieței materialelor reciclate pentru construcții.</w:t>
            </w:r>
          </w:p>
          <w:p w14:paraId="0C93E5C8" w14:textId="77777777" w:rsidR="00FE6DFA" w:rsidRPr="008B2788" w:rsidRDefault="00FE6DFA" w:rsidP="008B2788">
            <w:pPr>
              <w:pStyle w:val="TableParagraph"/>
              <w:ind w:left="350" w:right="140"/>
            </w:pPr>
          </w:p>
          <w:p w14:paraId="20E2E4B4" w14:textId="77777777" w:rsidR="00FE6DFA" w:rsidRPr="008B2788" w:rsidRDefault="00FE6DFA" w:rsidP="008B2788">
            <w:pPr>
              <w:pStyle w:val="TableParagraph"/>
              <w:ind w:left="350" w:right="140"/>
            </w:pPr>
            <w:r w:rsidRPr="008B2788">
              <w:t>Impactul asupra întreprinderilor mici și mijlocii va fi diferit în funcție de domeniul de activitate. IMM-urile pot suporta costuri de conformare mai ridicate proporțional cu capacitatea lor financiară, în special în ceea ce privește raportarea, adaptarea produselor, identificarea alternativelor și participarea la sistemele de responsabilitate extinsă a producătorului. Pentru reducerea acestui impact, aplicarea etapizată a anumitor obligații, elaborarea ghidurilor tehnice și organizarea activităților de informare pot facilita conformarea fără instituirea unor măsuri de sprijin financiar direct.</w:t>
            </w:r>
          </w:p>
          <w:p w14:paraId="3B6C85F6" w14:textId="77777777" w:rsidR="00FE6DFA" w:rsidRPr="008B2788" w:rsidRDefault="00FE6DFA" w:rsidP="008B2788">
            <w:pPr>
              <w:pStyle w:val="TableParagraph"/>
              <w:ind w:left="350" w:right="140"/>
            </w:pPr>
          </w:p>
          <w:p w14:paraId="62B742FB" w14:textId="54EB6EB4" w:rsidR="002508B6" w:rsidRPr="008B2788" w:rsidRDefault="002508B6" w:rsidP="008B2788">
            <w:pPr>
              <w:pStyle w:val="TableParagraph"/>
              <w:ind w:left="350" w:right="140"/>
            </w:pPr>
            <w:r w:rsidRPr="008B2788">
              <w:t>I</w:t>
            </w:r>
            <w:r w:rsidR="00FE6DFA" w:rsidRPr="008B2788">
              <w:t>mpactul asupra sectorului privat va include costuri inițiale de conformare, adaptare tehnologică, raportare și participare la mecanismele de responsabilitate extinsă a producătorului, dar și beneficii pe termen mediu și lung prin crearea unor piețe noi pentru produse reutilizabile, materiale reciclate, servicii de colectare separată, sortare, reciclare, reparare și valorificare. Proiectul contribuie la transferarea costurilor de gestionare a deșeurilor către operatorii economici care plasează produse pe piață, în conformitate cu principiul „poluatorul plătește”, și la consolidarea tranziției către economia circulară.</w:t>
            </w:r>
          </w:p>
          <w:p w14:paraId="074D71F9" w14:textId="77777777" w:rsidR="002508B6" w:rsidRPr="008B2788" w:rsidRDefault="002508B6" w:rsidP="008B2788">
            <w:pPr>
              <w:pStyle w:val="TableParagraph"/>
              <w:ind w:left="350" w:right="140"/>
            </w:pPr>
          </w:p>
          <w:p w14:paraId="45C37059" w14:textId="77777777" w:rsidR="002508B6" w:rsidRPr="008B2788" w:rsidRDefault="002508B6" w:rsidP="008B2788">
            <w:pPr>
              <w:pStyle w:val="TableParagraph"/>
              <w:ind w:left="350" w:right="140"/>
            </w:pPr>
            <w:r w:rsidRPr="008B2788">
              <w:t>Totodată, proiectul de lege va genera impacturi pozitive asupra sectorului privat, prin stimularea investițiilor în infrastructura de colectare separată, sortare, tratare, reciclare și valorificare a deșeurilor. Introducerea unor cerințe mai clare privind responsabilitatea extinsă a producătorului, colectarea separată, trasabilitatea și atingerea obiectivelor de reciclare va crea premise pentru dezvoltarea unor noi activități economice și pentru extinderea capacităților existente de gestionare a deșeurilor. Astfel, operatorii privați vor avea oportunități de investiții în instalații de tratare, linii de sortare, reciclare, compostare, pregătire pentru reutilizare, valorificare materială și producere de materii prime secundare.</w:t>
            </w:r>
          </w:p>
          <w:p w14:paraId="75B9F140" w14:textId="77777777" w:rsidR="002508B6" w:rsidRPr="008B2788" w:rsidRDefault="002508B6" w:rsidP="008B2788">
            <w:pPr>
              <w:pStyle w:val="TableParagraph"/>
              <w:ind w:left="350" w:right="140"/>
            </w:pPr>
          </w:p>
          <w:p w14:paraId="79692C2B" w14:textId="77777777" w:rsidR="002508B6" w:rsidRPr="008B2788" w:rsidRDefault="002508B6" w:rsidP="008B2788">
            <w:pPr>
              <w:pStyle w:val="TableParagraph"/>
              <w:ind w:left="350" w:right="140"/>
            </w:pPr>
            <w:r w:rsidRPr="008B2788">
              <w:t xml:space="preserve">Pe termen mediu și lung, aceste modificări pot contribui la crearea de noi locuri de muncă în domenii asociate economiei circulare, inclusiv colectarea separată, transportul specializat, sortarea, reciclarea, repararea, reutilizarea, tratarea </w:t>
            </w:r>
            <w:proofErr w:type="spellStart"/>
            <w:r w:rsidRPr="008B2788">
              <w:t>bio</w:t>
            </w:r>
            <w:proofErr w:type="spellEnd"/>
            <w:r w:rsidRPr="008B2788">
              <w:t xml:space="preserve">-deșeurilor, valorificarea deșeurilor din construcții și demolări, gestionarea textilelor și operarea sistemelor de responsabilitate extinsă a producătorului. De asemenea, valorificarea deșeurilor ca resurse poate genera venituri suplimentare pentru operatorii economici prin comercializarea materialelor reciclabile, a materiilor prime secundare, a compostului, </w:t>
            </w:r>
            <w:proofErr w:type="spellStart"/>
            <w:r w:rsidRPr="008B2788">
              <w:t>digestatului</w:t>
            </w:r>
            <w:proofErr w:type="spellEnd"/>
            <w:r w:rsidRPr="008B2788">
              <w:t xml:space="preserve"> sau a altor produse </w:t>
            </w:r>
            <w:r w:rsidRPr="008B2788">
              <w:lastRenderedPageBreak/>
              <w:t>rezultate din tratarea deșeurilor, în condițiile stabilite de legislația aplicabilă.</w:t>
            </w:r>
          </w:p>
          <w:p w14:paraId="52D05AA4" w14:textId="77777777" w:rsidR="002508B6" w:rsidRPr="008B2788" w:rsidRDefault="002508B6" w:rsidP="008B2788">
            <w:pPr>
              <w:pStyle w:val="TableParagraph"/>
              <w:ind w:left="350" w:right="140"/>
            </w:pPr>
          </w:p>
          <w:p w14:paraId="21FACDF2" w14:textId="1E322A82" w:rsidR="002508B6" w:rsidRPr="008B2788" w:rsidRDefault="002508B6" w:rsidP="008B2788">
            <w:pPr>
              <w:pStyle w:val="TableParagraph"/>
              <w:ind w:left="350" w:right="140"/>
            </w:pPr>
            <w:r w:rsidRPr="008B2788">
              <w:t>Prin creșterea gradului de recuperare și reintroducere a materialelor în circuitul economic, proiectul poate contribui la reducerea dependenței sectorului privat de resurse primare, diminuarea costurilor asociate achiziției de materii prime și creșterea rezilienței economice a întreprinderilor. În același timp, aplicarea principiilor economiei circulare poate stimula inovarea, dezvoltarea de produse reutilizabile, reparabile și reciclabile, modernizarea tehnologiilor de producție și creșterea competitivității operatorilor economici pe piața internă și pe piața Uniunii Europene.</w:t>
            </w:r>
          </w:p>
        </w:tc>
      </w:tr>
      <w:tr w:rsidR="00C45531" w:rsidRPr="008B2788" w14:paraId="67E80A57" w14:textId="77777777" w:rsidTr="008B2788">
        <w:trPr>
          <w:trHeight w:val="20"/>
        </w:trPr>
        <w:tc>
          <w:tcPr>
            <w:tcW w:w="10170" w:type="dxa"/>
            <w:shd w:val="clear" w:color="auto" w:fill="D1D1D1"/>
          </w:tcPr>
          <w:p w14:paraId="0F73C8B9" w14:textId="53031DD9" w:rsidR="00C45531" w:rsidRPr="008B2788" w:rsidRDefault="003630B9" w:rsidP="008B2788">
            <w:pPr>
              <w:pStyle w:val="TableParagraph"/>
              <w:jc w:val="left"/>
              <w:rPr>
                <w:b/>
                <w:bCs/>
                <w:i/>
                <w:iCs/>
              </w:rPr>
            </w:pPr>
            <w:r w:rsidRPr="008B2788">
              <w:rPr>
                <w:b/>
                <w:bCs/>
                <w:i/>
                <w:iCs/>
              </w:rPr>
              <w:lastRenderedPageBreak/>
              <w:t>4.4. Impactul social</w:t>
            </w:r>
          </w:p>
        </w:tc>
      </w:tr>
      <w:tr w:rsidR="003630B9" w:rsidRPr="008B2788" w14:paraId="575EF960" w14:textId="77777777" w:rsidTr="008B2788">
        <w:trPr>
          <w:trHeight w:val="20"/>
        </w:trPr>
        <w:tc>
          <w:tcPr>
            <w:tcW w:w="10170" w:type="dxa"/>
            <w:shd w:val="clear" w:color="auto" w:fill="FFFFFF" w:themeFill="background1"/>
          </w:tcPr>
          <w:p w14:paraId="426B6965" w14:textId="3BEC712B" w:rsidR="00FB28F4" w:rsidRPr="008B2788" w:rsidRDefault="00FB28F4" w:rsidP="008B2788">
            <w:pPr>
              <w:pStyle w:val="TableParagraph"/>
              <w:ind w:left="440" w:right="140"/>
            </w:pPr>
            <w:r w:rsidRPr="008B2788">
              <w:t xml:space="preserve">Implementarea proiectului de lege va genera un impact social preponderent pozitiv pe termen mediu și lung, prin îmbunătățirea calității mediului de viață, reducerea poluării spațiilor publice, creșterea gradului de colectare separată și diminuarea riscurilor pentru sănătatea populației. </w:t>
            </w:r>
          </w:p>
          <w:p w14:paraId="3EA8F6B3" w14:textId="77777777" w:rsidR="00FB28F4" w:rsidRPr="008B2788" w:rsidRDefault="00FB28F4" w:rsidP="008B2788">
            <w:pPr>
              <w:pStyle w:val="TableParagraph"/>
              <w:ind w:left="440" w:right="140"/>
            </w:pPr>
          </w:p>
          <w:p w14:paraId="310CEA54" w14:textId="77777777" w:rsidR="00FA4971" w:rsidRPr="008B2788" w:rsidRDefault="00FA4971" w:rsidP="008B2788">
            <w:pPr>
              <w:pStyle w:val="TableParagraph"/>
              <w:ind w:left="440" w:right="140"/>
            </w:pPr>
            <w:r w:rsidRPr="008B2788">
              <w:t xml:space="preserve">Prin reglementarea produselor din plastic de unică folosință, consolidarea colectării separate, introducerea unui cadru pentru deșeurile textile, </w:t>
            </w:r>
            <w:proofErr w:type="spellStart"/>
            <w:r w:rsidRPr="008B2788">
              <w:t>bio</w:t>
            </w:r>
            <w:proofErr w:type="spellEnd"/>
            <w:r w:rsidRPr="008B2788">
              <w:t>-deșeuri, deșeuri periculoase din gospodării, deșeuri din construcții și demolări și deșeuri de azbest, proiectul contribuie la reducerea deșeurilor abandonate, a poluării vizuale, a riscurilor de ardere neautorizată și a contaminării fluxurilor de deșeuri municipale. În mod indirect, aceste măsuri pot contribui la creșterea calității vieții, la îmbunătățirea igienei localităților, la utilizarea mai sigură a spațiilor publice și la creșterea atractivității zonelor turistice, recreaționale și culturale.</w:t>
            </w:r>
          </w:p>
          <w:p w14:paraId="57865535" w14:textId="77777777" w:rsidR="00FA4971" w:rsidRPr="008B2788" w:rsidRDefault="00FA4971" w:rsidP="008B2788">
            <w:pPr>
              <w:pStyle w:val="TableParagraph"/>
              <w:ind w:left="440" w:right="140"/>
            </w:pPr>
          </w:p>
          <w:p w14:paraId="577FB109" w14:textId="6DA3132B" w:rsidR="00FA4971" w:rsidRPr="008B2788" w:rsidRDefault="00FA4971" w:rsidP="008B2788">
            <w:pPr>
              <w:pStyle w:val="TableParagraph"/>
              <w:ind w:left="440" w:right="140"/>
            </w:pPr>
            <w:r w:rsidRPr="008B2788">
              <w:t xml:space="preserve">Pe termen scurt, implementarea unor măsuri poate determina ajustări de comportament pentru populație și operatorii economici, inclusiv prin necesitatea utilizării alternativelor la produsele de unică folosință, separării deșeurilor la sursă, returnării ambalajelor supuse sistemului de depozit sau predării anumitor fluxuri către puncte speciale de colectare. </w:t>
            </w:r>
            <w:r w:rsidR="0023510F" w:rsidRPr="008B2788">
              <w:t>Aceste ajustări vor genera, pe termen mediu și lung, efecte pozitive prin creșterea cantităților de materiale recuperate, reintroducerea acestora în circuitul economic, reducerea cantităților eliminate prin depozitare și diminuarea poluării spațiilor publice. Totodată, schimbarea graduală a comportamentului de consum și de gestionare a deșeurilor va contribui la consolidarea responsabilității civice, la creșterea calității serviciilor publice și la dezvoltarea unor practici mai durabile la nivelul gospodăriilor, comunităților și operatorilor economici.</w:t>
            </w:r>
            <w:r w:rsidR="00B45A47" w:rsidRPr="008B2788">
              <w:t xml:space="preserve"> </w:t>
            </w:r>
          </w:p>
          <w:p w14:paraId="58B79DDB" w14:textId="77777777" w:rsidR="00FA4971" w:rsidRPr="008B2788" w:rsidRDefault="00FA4971" w:rsidP="008B2788">
            <w:pPr>
              <w:pStyle w:val="TableParagraph"/>
              <w:ind w:left="440" w:right="140"/>
            </w:pPr>
          </w:p>
          <w:p w14:paraId="172FB081" w14:textId="0F6EEC84" w:rsidR="00FA4971" w:rsidRPr="008B2788" w:rsidRDefault="00FA4971" w:rsidP="008B2788">
            <w:pPr>
              <w:pStyle w:val="TableParagraph"/>
              <w:ind w:left="440" w:right="140"/>
            </w:pPr>
            <w:r w:rsidRPr="008B2788">
              <w:t xml:space="preserve">Impactul asupra pieței muncii poate fi unul favorabil, prin dezvoltarea unor activități asociate economiei circulare, inclusiv colectare separată, sortare, pregătire pentru reutilizare, reparare, reciclare, valorificare materială, gestionarea textilelor, </w:t>
            </w:r>
            <w:proofErr w:type="spellStart"/>
            <w:r w:rsidRPr="008B2788">
              <w:t>bio</w:t>
            </w:r>
            <w:proofErr w:type="spellEnd"/>
            <w:r w:rsidRPr="008B2788">
              <w:t xml:space="preserve">-deșeurilor și deșeurilor din construcții și demolări. </w:t>
            </w:r>
          </w:p>
          <w:p w14:paraId="1B930574" w14:textId="77777777" w:rsidR="00FA4971" w:rsidRPr="008B2788" w:rsidRDefault="00FA4971" w:rsidP="008B2788">
            <w:pPr>
              <w:pStyle w:val="TableParagraph"/>
              <w:ind w:left="440" w:right="140"/>
            </w:pPr>
          </w:p>
          <w:p w14:paraId="3A2713EE" w14:textId="6740EA5C" w:rsidR="00FB28F4" w:rsidRPr="008B2788" w:rsidRDefault="00FA4971" w:rsidP="008B2788">
            <w:pPr>
              <w:pStyle w:val="TableParagraph"/>
              <w:ind w:left="440" w:right="140"/>
            </w:pPr>
            <w:r w:rsidRPr="008B2788">
              <w:t xml:space="preserve">În ceea ce privește egalitatea de șanse și incluziunea socială, proiectul </w:t>
            </w:r>
            <w:r w:rsidR="00596A52" w:rsidRPr="008B2788">
              <w:t>va</w:t>
            </w:r>
            <w:r w:rsidRPr="008B2788">
              <w:t xml:space="preserve"> contribui la acces mai echitabil la un mediu curat și la servicii publice de gestionare a deșeurilor. Informarea populației trebuie realizată într-un mod accesibil pentru toate categoriile sociale, inclusiv persoane în vârstă, tineri, persoane cu dizabilități, gospodării cu venituri reduse și comunități rurale. În ansamblu, impactul social al proiectului este </w:t>
            </w:r>
            <w:r w:rsidR="00596A52" w:rsidRPr="008B2788">
              <w:t xml:space="preserve">foarte </w:t>
            </w:r>
            <w:r w:rsidRPr="008B2788">
              <w:t>favorabil, fiind orientat spre protecția sănătății populației, creșterea responsabilității civice, îmbunătățirea calității mediului de viață și consolidarea tranziției către modele de consum și gestionare a deșeurilor mai durabile.</w:t>
            </w:r>
          </w:p>
          <w:p w14:paraId="705673B1" w14:textId="77777777" w:rsidR="00596A52" w:rsidRPr="008B2788" w:rsidRDefault="00596A52" w:rsidP="008B2788">
            <w:pPr>
              <w:pStyle w:val="TableParagraph"/>
              <w:ind w:left="440" w:right="140"/>
            </w:pPr>
          </w:p>
          <w:p w14:paraId="48F57DA4" w14:textId="10601589" w:rsidR="00744177" w:rsidRPr="008B2788" w:rsidRDefault="00744177" w:rsidP="008B2788">
            <w:pPr>
              <w:pStyle w:val="TableParagraph"/>
              <w:ind w:left="446" w:right="144"/>
              <w:contextualSpacing/>
            </w:pPr>
            <w:r w:rsidRPr="008B2788">
              <w:t xml:space="preserve">Din perspectiva pieței muncii, proiectul poate genera efecte pozitive prin apariția și dezvoltarea unor locuri de muncă în sectoarele asociate economiei circulare. Creșterea colectării separate, a sortării, reciclării și valorificării deșeurilor va necesita personal suplimentar pentru operarea punctelor de colectare, transportul specializat, sortarea materialelor, tratarea </w:t>
            </w:r>
            <w:proofErr w:type="spellStart"/>
            <w:r w:rsidRPr="008B2788">
              <w:t>bio</w:t>
            </w:r>
            <w:proofErr w:type="spellEnd"/>
            <w:r w:rsidRPr="008B2788">
              <w:t>-deșeurilor, reciclarea ambalajelor, textilelor și deșeurilor din construcții și demolări.</w:t>
            </w:r>
          </w:p>
          <w:p w14:paraId="0CE1DD50" w14:textId="77777777" w:rsidR="00744177" w:rsidRPr="008B2788" w:rsidRDefault="00744177" w:rsidP="008B2788">
            <w:pPr>
              <w:pStyle w:val="TableParagraph"/>
              <w:ind w:left="446" w:right="144"/>
              <w:contextualSpacing/>
            </w:pPr>
          </w:p>
          <w:p w14:paraId="5436DA3B" w14:textId="03012E2E" w:rsidR="003630B9" w:rsidRPr="008B2788" w:rsidRDefault="00744177" w:rsidP="008B2788">
            <w:pPr>
              <w:pStyle w:val="TableParagraph"/>
              <w:ind w:left="446" w:right="144"/>
              <w:contextualSpacing/>
            </w:pPr>
            <w:r w:rsidRPr="008B2788">
              <w:t>De asemenea, pot apărea oportunități noi în activități de reparare, pregătire pentru reutilizare, producere și comercializare a alternativelor reutilizabile sau reciclabile, consultanță de mediu, raportare, trasabilitate și administrare a sistemelor de responsabilitate extinsă a producătorului. Astfel, proiectul poate contribui la diversificarea activităților economice și la crearea treptată a unor locuri de muncă verzi, atât pentru personal tehnic calificat, cât și pentru lucrători implicați în activități operaționale de colectare, sortare și valorificare.</w:t>
            </w:r>
          </w:p>
        </w:tc>
      </w:tr>
      <w:tr w:rsidR="003630B9" w:rsidRPr="008B2788" w14:paraId="516F7BEA" w14:textId="77777777" w:rsidTr="008B2788">
        <w:trPr>
          <w:trHeight w:val="20"/>
        </w:trPr>
        <w:tc>
          <w:tcPr>
            <w:tcW w:w="10170" w:type="dxa"/>
            <w:shd w:val="clear" w:color="auto" w:fill="D1D1D1"/>
          </w:tcPr>
          <w:p w14:paraId="3BC00AEA" w14:textId="644DA5CE" w:rsidR="003630B9" w:rsidRPr="008B2788" w:rsidRDefault="003630B9" w:rsidP="008B2788">
            <w:pPr>
              <w:pStyle w:val="TableParagraph"/>
              <w:jc w:val="left"/>
              <w:rPr>
                <w:b/>
                <w:bCs/>
                <w:i/>
                <w:iCs/>
              </w:rPr>
            </w:pPr>
            <w:r w:rsidRPr="008B2788">
              <w:rPr>
                <w:b/>
                <w:bCs/>
                <w:i/>
                <w:iCs/>
              </w:rPr>
              <w:t>4.4.1</w:t>
            </w:r>
            <w:r w:rsidRPr="008B2788">
              <w:rPr>
                <w:b/>
                <w:bCs/>
                <w:i/>
                <w:iCs/>
                <w:spacing w:val="-4"/>
              </w:rPr>
              <w:t xml:space="preserve"> </w:t>
            </w:r>
            <w:r w:rsidRPr="008B2788">
              <w:rPr>
                <w:b/>
                <w:bCs/>
                <w:i/>
                <w:iCs/>
              </w:rPr>
              <w:t>Impactul</w:t>
            </w:r>
            <w:r w:rsidRPr="008B2788">
              <w:rPr>
                <w:b/>
                <w:bCs/>
                <w:i/>
                <w:iCs/>
                <w:spacing w:val="-2"/>
              </w:rPr>
              <w:t xml:space="preserve"> </w:t>
            </w:r>
            <w:r w:rsidRPr="008B2788">
              <w:rPr>
                <w:b/>
                <w:bCs/>
                <w:i/>
                <w:iCs/>
              </w:rPr>
              <w:t>asupra</w:t>
            </w:r>
            <w:r w:rsidRPr="008B2788">
              <w:rPr>
                <w:b/>
                <w:bCs/>
                <w:i/>
                <w:iCs/>
                <w:spacing w:val="-4"/>
              </w:rPr>
              <w:t xml:space="preserve"> </w:t>
            </w:r>
            <w:r w:rsidRPr="008B2788">
              <w:rPr>
                <w:b/>
                <w:bCs/>
                <w:i/>
                <w:iCs/>
              </w:rPr>
              <w:t>datelor</w:t>
            </w:r>
            <w:r w:rsidRPr="008B2788">
              <w:rPr>
                <w:b/>
                <w:bCs/>
                <w:i/>
                <w:iCs/>
                <w:spacing w:val="-3"/>
              </w:rPr>
              <w:t xml:space="preserve"> </w:t>
            </w:r>
            <w:r w:rsidRPr="008B2788">
              <w:rPr>
                <w:b/>
                <w:bCs/>
                <w:i/>
                <w:iCs/>
              </w:rPr>
              <w:t>cu</w:t>
            </w:r>
            <w:r w:rsidRPr="008B2788">
              <w:rPr>
                <w:b/>
                <w:bCs/>
                <w:i/>
                <w:iCs/>
                <w:spacing w:val="-5"/>
              </w:rPr>
              <w:t xml:space="preserve"> </w:t>
            </w:r>
            <w:r w:rsidRPr="008B2788">
              <w:rPr>
                <w:b/>
                <w:bCs/>
                <w:i/>
                <w:iCs/>
              </w:rPr>
              <w:t>caracter</w:t>
            </w:r>
            <w:r w:rsidRPr="008B2788">
              <w:rPr>
                <w:b/>
                <w:bCs/>
                <w:i/>
                <w:iCs/>
                <w:spacing w:val="-5"/>
              </w:rPr>
              <w:t xml:space="preserve"> </w:t>
            </w:r>
            <w:r w:rsidRPr="008B2788">
              <w:rPr>
                <w:b/>
                <w:bCs/>
                <w:i/>
                <w:iCs/>
                <w:spacing w:val="-2"/>
              </w:rPr>
              <w:t>personal</w:t>
            </w:r>
          </w:p>
        </w:tc>
      </w:tr>
      <w:tr w:rsidR="003630B9" w:rsidRPr="008B2788" w14:paraId="29EDE85E" w14:textId="77777777" w:rsidTr="008B2788">
        <w:trPr>
          <w:trHeight w:val="20"/>
        </w:trPr>
        <w:tc>
          <w:tcPr>
            <w:tcW w:w="10170" w:type="dxa"/>
          </w:tcPr>
          <w:p w14:paraId="3454C028" w14:textId="77777777" w:rsidR="00697803" w:rsidRPr="008B2788" w:rsidRDefault="00552B7E" w:rsidP="008B2788">
            <w:pPr>
              <w:pStyle w:val="TableParagraph"/>
              <w:ind w:left="440" w:right="140"/>
            </w:pPr>
            <w:r w:rsidRPr="008B2788">
              <w:t xml:space="preserve">Implementarea reglementărilor poate implica prelucrarea unui volum redus de date cu caracter personal, în </w:t>
            </w:r>
            <w:r w:rsidRPr="008B2788">
              <w:lastRenderedPageBreak/>
              <w:t xml:space="preserve">principal în cadrul proceselor de supraveghere, control și raportare privind conformarea operatorilor economici. Datele prelucrate se limitează la informații de identificare și contact ale reprezentanților legali ai întreprinderilor, utilizate exclusiv în scopuri administrative și de verificare a respectării obligațiilor legale. </w:t>
            </w:r>
          </w:p>
          <w:p w14:paraId="25FD9E4C" w14:textId="77777777" w:rsidR="00697803" w:rsidRPr="008B2788" w:rsidRDefault="00552B7E" w:rsidP="008B2788">
            <w:pPr>
              <w:pStyle w:val="TableParagraph"/>
              <w:ind w:left="440" w:right="140"/>
            </w:pPr>
            <w:r w:rsidRPr="008B2788">
              <w:t>Operatorii acestor date pot fi autoritățile publice cu atribuții în domeniul mediului și entitățile desemnate să administreze mecanismele de responsabilitate extinsă a producătorilor. Stocarea datelor se realizează numai pentru perioada necesară îndeplinirii scopurilor de conformare, fiind ulterior șterse sau anonimizate.</w:t>
            </w:r>
          </w:p>
          <w:p w14:paraId="4BE1A118" w14:textId="0DAE8DCC" w:rsidR="003630B9" w:rsidRPr="008B2788" w:rsidRDefault="00552B7E" w:rsidP="008B2788">
            <w:pPr>
              <w:pStyle w:val="TableParagraph"/>
              <w:ind w:left="440" w:right="140"/>
            </w:pPr>
            <w:r w:rsidRPr="008B2788">
              <w:t>Pentru evitarea accesului neautorizat sau a abuzurilor, sunt implementate garanții tehnice și organizatorice, precum acces restricționat, utilizarea platformelor securizate și auditarea periodică a operațiunilor de prelucrare. Riscurile pentru drepturile persoanelor vizate sunt minime și pot fi gestionate prin aplicarea principiilor legalității, minimizării și transparenței.</w:t>
            </w:r>
          </w:p>
        </w:tc>
      </w:tr>
      <w:tr w:rsidR="003630B9" w:rsidRPr="008B2788" w14:paraId="17CB81A6" w14:textId="77777777" w:rsidTr="008B2788">
        <w:trPr>
          <w:trHeight w:val="20"/>
        </w:trPr>
        <w:tc>
          <w:tcPr>
            <w:tcW w:w="10170" w:type="dxa"/>
            <w:shd w:val="clear" w:color="auto" w:fill="D1D1D1"/>
          </w:tcPr>
          <w:p w14:paraId="26F81F0A" w14:textId="77777777" w:rsidR="003630B9" w:rsidRPr="008B2788" w:rsidRDefault="003630B9" w:rsidP="008B2788">
            <w:pPr>
              <w:pStyle w:val="TableParagraph"/>
              <w:jc w:val="left"/>
              <w:rPr>
                <w:b/>
                <w:bCs/>
                <w:i/>
                <w:iCs/>
              </w:rPr>
            </w:pPr>
            <w:r w:rsidRPr="008B2788">
              <w:rPr>
                <w:b/>
                <w:bCs/>
                <w:i/>
                <w:iCs/>
              </w:rPr>
              <w:lastRenderedPageBreak/>
              <w:t>4.4.2</w:t>
            </w:r>
            <w:r w:rsidRPr="008B2788">
              <w:rPr>
                <w:b/>
                <w:bCs/>
                <w:i/>
                <w:iCs/>
                <w:spacing w:val="-5"/>
              </w:rPr>
              <w:t xml:space="preserve"> </w:t>
            </w:r>
            <w:r w:rsidRPr="008B2788">
              <w:rPr>
                <w:b/>
                <w:bCs/>
                <w:i/>
                <w:iCs/>
              </w:rPr>
              <w:t>Impactul</w:t>
            </w:r>
            <w:r w:rsidRPr="008B2788">
              <w:rPr>
                <w:b/>
                <w:bCs/>
                <w:i/>
                <w:iCs/>
                <w:spacing w:val="-3"/>
              </w:rPr>
              <w:t xml:space="preserve"> </w:t>
            </w:r>
            <w:r w:rsidRPr="008B2788">
              <w:rPr>
                <w:b/>
                <w:bCs/>
                <w:i/>
                <w:iCs/>
              </w:rPr>
              <w:t>asupra</w:t>
            </w:r>
            <w:r w:rsidRPr="008B2788">
              <w:rPr>
                <w:b/>
                <w:bCs/>
                <w:i/>
                <w:iCs/>
                <w:spacing w:val="-5"/>
              </w:rPr>
              <w:t xml:space="preserve"> </w:t>
            </w:r>
            <w:r w:rsidRPr="008B2788">
              <w:rPr>
                <w:b/>
                <w:bCs/>
                <w:i/>
                <w:iCs/>
              </w:rPr>
              <w:t>echității</w:t>
            </w:r>
            <w:r w:rsidRPr="008B2788">
              <w:rPr>
                <w:b/>
                <w:bCs/>
                <w:i/>
                <w:iCs/>
                <w:spacing w:val="-3"/>
              </w:rPr>
              <w:t xml:space="preserve"> </w:t>
            </w:r>
            <w:r w:rsidRPr="008B2788">
              <w:rPr>
                <w:b/>
                <w:bCs/>
                <w:i/>
                <w:iCs/>
              </w:rPr>
              <w:t>și</w:t>
            </w:r>
            <w:r w:rsidRPr="008B2788">
              <w:rPr>
                <w:b/>
                <w:bCs/>
                <w:i/>
                <w:iCs/>
                <w:spacing w:val="-4"/>
              </w:rPr>
              <w:t xml:space="preserve"> </w:t>
            </w:r>
            <w:r w:rsidRPr="008B2788">
              <w:rPr>
                <w:b/>
                <w:bCs/>
                <w:i/>
                <w:iCs/>
              </w:rPr>
              <w:t>egalității</w:t>
            </w:r>
            <w:r w:rsidRPr="008B2788">
              <w:rPr>
                <w:b/>
                <w:bCs/>
                <w:i/>
                <w:iCs/>
                <w:spacing w:val="-3"/>
              </w:rPr>
              <w:t xml:space="preserve"> </w:t>
            </w:r>
            <w:r w:rsidRPr="008B2788">
              <w:rPr>
                <w:b/>
                <w:bCs/>
                <w:i/>
                <w:iCs/>
              </w:rPr>
              <w:t>de</w:t>
            </w:r>
            <w:r w:rsidRPr="008B2788">
              <w:rPr>
                <w:b/>
                <w:bCs/>
                <w:i/>
                <w:iCs/>
                <w:spacing w:val="-4"/>
              </w:rPr>
              <w:t xml:space="preserve"> </w:t>
            </w:r>
            <w:r w:rsidRPr="008B2788">
              <w:rPr>
                <w:b/>
                <w:bCs/>
                <w:i/>
                <w:iCs/>
                <w:spacing w:val="-5"/>
              </w:rPr>
              <w:t>gen</w:t>
            </w:r>
          </w:p>
        </w:tc>
      </w:tr>
      <w:tr w:rsidR="003630B9" w:rsidRPr="008B2788" w14:paraId="3C06A805" w14:textId="77777777" w:rsidTr="008B2788">
        <w:trPr>
          <w:trHeight w:val="20"/>
        </w:trPr>
        <w:tc>
          <w:tcPr>
            <w:tcW w:w="10170" w:type="dxa"/>
          </w:tcPr>
          <w:p w14:paraId="75398DED" w14:textId="49D4CEA9" w:rsidR="003630B9" w:rsidRPr="008B2788" w:rsidRDefault="009F5ABB" w:rsidP="008B2788">
            <w:pPr>
              <w:pStyle w:val="TableParagraph"/>
              <w:ind w:left="720" w:right="140"/>
            </w:pPr>
            <w:r w:rsidRPr="008B2788">
              <w:t>Nu este aplicabil.</w:t>
            </w:r>
          </w:p>
        </w:tc>
      </w:tr>
      <w:tr w:rsidR="003630B9" w:rsidRPr="008B2788" w14:paraId="58396E41" w14:textId="77777777" w:rsidTr="008B2788">
        <w:trPr>
          <w:trHeight w:val="20"/>
        </w:trPr>
        <w:tc>
          <w:tcPr>
            <w:tcW w:w="10170" w:type="dxa"/>
            <w:shd w:val="clear" w:color="auto" w:fill="D1D1D1"/>
          </w:tcPr>
          <w:p w14:paraId="6668A972" w14:textId="77777777" w:rsidR="003630B9" w:rsidRPr="008B2788" w:rsidRDefault="003630B9" w:rsidP="008B2788">
            <w:pPr>
              <w:pStyle w:val="TableParagraph"/>
              <w:jc w:val="left"/>
              <w:rPr>
                <w:b/>
                <w:bCs/>
                <w:i/>
                <w:iCs/>
              </w:rPr>
            </w:pPr>
            <w:r w:rsidRPr="008B2788">
              <w:rPr>
                <w:b/>
                <w:bCs/>
                <w:i/>
                <w:iCs/>
              </w:rPr>
              <w:t>4.5</w:t>
            </w:r>
            <w:r w:rsidRPr="008B2788">
              <w:rPr>
                <w:b/>
                <w:bCs/>
                <w:i/>
                <w:iCs/>
                <w:spacing w:val="-4"/>
              </w:rPr>
              <w:t xml:space="preserve"> </w:t>
            </w:r>
            <w:r w:rsidRPr="008B2788">
              <w:rPr>
                <w:b/>
                <w:bCs/>
                <w:i/>
                <w:iCs/>
              </w:rPr>
              <w:t>Impactul</w:t>
            </w:r>
            <w:r w:rsidRPr="008B2788">
              <w:rPr>
                <w:b/>
                <w:bCs/>
                <w:i/>
                <w:iCs/>
                <w:spacing w:val="-2"/>
              </w:rPr>
              <w:t xml:space="preserve"> </w:t>
            </w:r>
            <w:r w:rsidRPr="008B2788">
              <w:rPr>
                <w:b/>
                <w:bCs/>
                <w:i/>
                <w:iCs/>
              </w:rPr>
              <w:t>asupra</w:t>
            </w:r>
            <w:r w:rsidRPr="008B2788">
              <w:rPr>
                <w:b/>
                <w:bCs/>
                <w:i/>
                <w:iCs/>
                <w:spacing w:val="-5"/>
              </w:rPr>
              <w:t xml:space="preserve"> </w:t>
            </w:r>
            <w:r w:rsidRPr="008B2788">
              <w:rPr>
                <w:b/>
                <w:bCs/>
                <w:i/>
                <w:iCs/>
                <w:spacing w:val="-2"/>
              </w:rPr>
              <w:t>mediului</w:t>
            </w:r>
          </w:p>
        </w:tc>
      </w:tr>
      <w:tr w:rsidR="00552B7E" w:rsidRPr="008B2788" w14:paraId="51E715E5" w14:textId="77777777" w:rsidTr="008B2788">
        <w:trPr>
          <w:trHeight w:val="20"/>
        </w:trPr>
        <w:tc>
          <w:tcPr>
            <w:tcW w:w="10170" w:type="dxa"/>
            <w:shd w:val="clear" w:color="auto" w:fill="FFFFFF" w:themeFill="background1"/>
          </w:tcPr>
          <w:p w14:paraId="3D3C6D69" w14:textId="3B46A0C6" w:rsidR="00F30326" w:rsidRPr="008B2788" w:rsidRDefault="00F30326" w:rsidP="008B2788">
            <w:pPr>
              <w:pStyle w:val="TableParagraph"/>
              <w:ind w:left="350" w:right="140"/>
            </w:pPr>
            <w:r w:rsidRPr="008B2788">
              <w:t>Implementarea proiectului de lege va genera un impact pozitiv asupra mediului, prin consolidarea măsurilor de prevenire a generării deșeurilor, extinderea colectării separate, creșterea pregătirii pentru reutilizare și reciclării, reducerea eliminării prin depozitare și responsabilizarea producătorilor pentru deșeurile generate după consumul produselor plasate pe piață. Efectele pozitive vor fi resimțite progresiv, pe termen scurt, mediu și lung, prin reducerea poluării solului, apelor și aerului, diminuarea presiunii asupra depozitelor de deșeuri și utilizarea mai eficientă a resurselor.</w:t>
            </w:r>
          </w:p>
          <w:p w14:paraId="523E1AD4" w14:textId="77777777" w:rsidR="00F30326" w:rsidRPr="008B2788" w:rsidRDefault="00F30326" w:rsidP="008B2788">
            <w:pPr>
              <w:pStyle w:val="TableParagraph"/>
              <w:ind w:left="350" w:right="140"/>
            </w:pPr>
          </w:p>
          <w:p w14:paraId="33980E02" w14:textId="77777777" w:rsidR="00F30326" w:rsidRPr="008B2788" w:rsidRDefault="00F30326" w:rsidP="008B2788">
            <w:pPr>
              <w:pStyle w:val="TableParagraph"/>
              <w:ind w:left="350" w:right="140"/>
            </w:pPr>
            <w:r w:rsidRPr="008B2788">
              <w:t xml:space="preserve">În ceea ce privește produsele din plastic de unică folosință, proiectul va contribui la reducerea cantităților de plastic care ajung în spațiile publice, în cursurile de apă, pe terenuri și în zonele recreaționale. Restricțiile privind plasarea pe piață a anumitor produse, cerințele de marcare, măsurile de reducere a consumului, conținutul minim de plastic reciclat și aplicarea responsabilității extinse a producătorului vor contribui la diminuarea poluării vizuale, a riscului de fragmentare a plasticului în </w:t>
            </w:r>
            <w:proofErr w:type="spellStart"/>
            <w:r w:rsidRPr="008B2788">
              <w:t>microplastice</w:t>
            </w:r>
            <w:proofErr w:type="spellEnd"/>
            <w:r w:rsidRPr="008B2788">
              <w:t xml:space="preserve"> și a costurilor de curățare a deșeurilor abandonate.</w:t>
            </w:r>
          </w:p>
          <w:p w14:paraId="6B5E3824" w14:textId="77777777" w:rsidR="00F30326" w:rsidRPr="008B2788" w:rsidRDefault="00F30326" w:rsidP="008B2788">
            <w:pPr>
              <w:pStyle w:val="TableParagraph"/>
              <w:ind w:left="350" w:right="140"/>
            </w:pPr>
          </w:p>
          <w:p w14:paraId="189CBFFB" w14:textId="77777777" w:rsidR="00F30326" w:rsidRPr="008B2788" w:rsidRDefault="00F30326" w:rsidP="008B2788">
            <w:pPr>
              <w:pStyle w:val="TableParagraph"/>
              <w:ind w:left="350" w:right="140"/>
            </w:pPr>
            <w:r w:rsidRPr="008B2788">
              <w:t>Proiectul va avea un impact pozitiv și prin reducerea cantităților de deșeuri municipale eliminate prin depozitare. Introducerea obiectivelor etapizate privind reciclarea și reducerea depozitării, inclusiv obiectivul de limitare a deșeurilor municipale depozitate la cel mult 10% până la 31 decembrie 2045, va contribui la orientarea fluxurilor de deșeuri către colectare separată, sortare, reciclare, compostare, digestie anaerobă și alte forme de valorificare. Aceasta va reduce emisiile generate de depozitare, riscul de poluare a solului și apelor subterane, precum și necesarul de noi capacități de depozitare.</w:t>
            </w:r>
          </w:p>
          <w:p w14:paraId="507DC03F" w14:textId="77777777" w:rsidR="00F30326" w:rsidRPr="008B2788" w:rsidRDefault="00F30326" w:rsidP="008B2788">
            <w:pPr>
              <w:pStyle w:val="TableParagraph"/>
              <w:ind w:left="350" w:right="140"/>
            </w:pPr>
          </w:p>
          <w:p w14:paraId="03451658" w14:textId="77777777" w:rsidR="00F30326" w:rsidRPr="008B2788" w:rsidRDefault="00F30326" w:rsidP="008B2788">
            <w:pPr>
              <w:pStyle w:val="TableParagraph"/>
              <w:ind w:left="350" w:right="140"/>
            </w:pPr>
            <w:r w:rsidRPr="008B2788">
              <w:t xml:space="preserve">Prin reglementarea </w:t>
            </w:r>
            <w:proofErr w:type="spellStart"/>
            <w:r w:rsidRPr="008B2788">
              <w:t>bio</w:t>
            </w:r>
            <w:proofErr w:type="spellEnd"/>
            <w:r w:rsidRPr="008B2788">
              <w:t xml:space="preserve">-deșeurilor și a deșeurilor alimentare, proiectul va contribui la reducerea cantităților de deșeuri organice eliminate prin depozitare și la valorificarea acestora prin compostare, digestie anaerobă sau reciclare la sursă. Aceste măsuri pot reduce emisiile de gaze cu efect de seră asociate descompunerii deșeurilor organice în depozite și pot susține utilizarea compostului, </w:t>
            </w:r>
            <w:proofErr w:type="spellStart"/>
            <w:r w:rsidRPr="008B2788">
              <w:t>digestatului</w:t>
            </w:r>
            <w:proofErr w:type="spellEnd"/>
            <w:r w:rsidRPr="008B2788">
              <w:t xml:space="preserve"> sau a altor materiale rezultate, cu condiția respectării cerințelor de calitate și siguranță.</w:t>
            </w:r>
          </w:p>
          <w:p w14:paraId="0C76DF33" w14:textId="77777777" w:rsidR="00F30326" w:rsidRPr="008B2788" w:rsidRDefault="00F30326" w:rsidP="008B2788">
            <w:pPr>
              <w:pStyle w:val="TableParagraph"/>
              <w:ind w:left="350" w:right="140"/>
            </w:pPr>
          </w:p>
          <w:p w14:paraId="475D67F8" w14:textId="77777777" w:rsidR="00F30326" w:rsidRPr="008B2788" w:rsidRDefault="00F30326" w:rsidP="008B2788">
            <w:pPr>
              <w:pStyle w:val="TableParagraph"/>
              <w:ind w:left="350" w:right="140"/>
            </w:pPr>
            <w:r w:rsidRPr="008B2788">
              <w:t>Reglementarea deșeurilor textile și a deșeurilor din construcții și demolări va contribui la recuperarea unor materiale care, în prezent, ajung frecvent în fluxurile mixte sau sunt eliminate necontrolat. Colectarea separată, sortarea, pregătirea pentru reutilizare, reciclarea și valorificarea materială vor reduce consumul de resurse primare și vor sprijini tranziția către economia circulară. În cazul deșeurilor din construcții și demolări, separarea materialelor minerale, recuperarea elementelor de construcție și identificarea fracțiilor periculoase vor reduce riscurile de contaminare și vor permite utilizarea materialelor rezultate în condiții de siguranță.</w:t>
            </w:r>
          </w:p>
          <w:p w14:paraId="3E176907" w14:textId="77777777" w:rsidR="00F30326" w:rsidRPr="008B2788" w:rsidRDefault="00F30326" w:rsidP="008B2788">
            <w:pPr>
              <w:pStyle w:val="TableParagraph"/>
              <w:ind w:left="350" w:right="140"/>
            </w:pPr>
            <w:r w:rsidRPr="008B2788">
              <w:t>Un impact pozitiv important va rezulta și din clarificarea regimului de gestionare a deșeurilor periculoase, a fracțiilor periculoase provenite din gospodării și a deșeurilor de azbest. Colectarea separată, ambalarea, etichetarea, trasabilitatea și predarea acestor deșeuri către operatori autorizați vor reduce riscul contaminării deșeurilor municipale, al expunerii populației și lucrătorilor la substanțe periculoase, precum și al poluării accidentale a solului, apei și aerului.</w:t>
            </w:r>
          </w:p>
          <w:p w14:paraId="232518F2" w14:textId="77777777" w:rsidR="00F30326" w:rsidRPr="008B2788" w:rsidRDefault="00F30326" w:rsidP="008B2788">
            <w:pPr>
              <w:pStyle w:val="TableParagraph"/>
              <w:ind w:left="350" w:right="140"/>
            </w:pPr>
          </w:p>
          <w:p w14:paraId="613AC8DD" w14:textId="77777777" w:rsidR="00F30326" w:rsidRPr="008B2788" w:rsidRDefault="00F30326" w:rsidP="008B2788">
            <w:pPr>
              <w:pStyle w:val="TableParagraph"/>
              <w:ind w:left="350" w:right="140"/>
            </w:pPr>
            <w:r w:rsidRPr="008B2788">
              <w:t xml:space="preserve">Totodată, proiectul va contribui la îmbunătățirea calității datelor de mediu prin consolidarea raportării, verificării calității datelor și trasabilității fluxurilor de deșeuri. Datele mai complete și mai fiabile vor permite </w:t>
            </w:r>
            <w:r w:rsidRPr="008B2788">
              <w:lastRenderedPageBreak/>
              <w:t>evaluarea corectă a progresului, identificarea fluxurilor problematice și adoptarea unor măsuri de intervenție mai eficiente.</w:t>
            </w:r>
          </w:p>
          <w:p w14:paraId="2738B508" w14:textId="77777777" w:rsidR="00F30326" w:rsidRPr="008B2788" w:rsidRDefault="00F30326" w:rsidP="008B2788">
            <w:pPr>
              <w:pStyle w:val="TableParagraph"/>
              <w:ind w:left="350" w:right="140"/>
            </w:pPr>
          </w:p>
          <w:p w14:paraId="4585B937" w14:textId="77777777" w:rsidR="00F30326" w:rsidRPr="008B2788" w:rsidRDefault="00F30326" w:rsidP="008B2788">
            <w:pPr>
              <w:pStyle w:val="TableParagraph"/>
              <w:ind w:left="350" w:right="140"/>
            </w:pPr>
            <w:r w:rsidRPr="008B2788">
              <w:t>Anumite efecte negative temporare pot apărea în etapa de tranziție, prin necesitatea adaptării proceselor de producție, înlocuirii unor produse, dezvoltării infrastructurii de colectare și tratare sau creșterii consumului de resurse pentru producerea unor alternative. Aceste efecte sunt însă limitate și pot fi gestionate prin aplicarea etapizată a măsurilor, prin cerințe tehnice clare și prin promovarea alternativelor reutilizabile, reciclabile și cu impact redus asupra mediului.</w:t>
            </w:r>
          </w:p>
          <w:p w14:paraId="361F4D7F" w14:textId="77777777" w:rsidR="00F30326" w:rsidRPr="008B2788" w:rsidRDefault="00F30326" w:rsidP="008B2788">
            <w:pPr>
              <w:pStyle w:val="TableParagraph"/>
              <w:ind w:left="350" w:right="140"/>
            </w:pPr>
          </w:p>
          <w:p w14:paraId="3DB13265" w14:textId="69ECC4CB" w:rsidR="00552B7E" w:rsidRPr="008B2788" w:rsidRDefault="00F30326" w:rsidP="008B2788">
            <w:pPr>
              <w:pStyle w:val="TableParagraph"/>
              <w:ind w:left="350" w:right="140"/>
            </w:pPr>
            <w:r w:rsidRPr="008B2788">
              <w:t>În ansamblu, proiectul va contribui la reducerea poluării, conservarea resurselor naturale, protecția biodiversității, diminuarea emisiilor asociate gestionării necorespunzătoare a deșeurilor și consolidarea tranziției către economia circulară. Impactul asupra mediului este unul favorabil și justifică intervenția legislativă propusă.</w:t>
            </w:r>
          </w:p>
        </w:tc>
      </w:tr>
      <w:tr w:rsidR="003630B9" w:rsidRPr="008B2788" w14:paraId="2FE3915B" w14:textId="77777777" w:rsidTr="008B2788">
        <w:trPr>
          <w:trHeight w:val="20"/>
        </w:trPr>
        <w:tc>
          <w:tcPr>
            <w:tcW w:w="10170" w:type="dxa"/>
            <w:shd w:val="clear" w:color="auto" w:fill="D1D1D1"/>
          </w:tcPr>
          <w:p w14:paraId="490069B1" w14:textId="77777777" w:rsidR="003630B9" w:rsidRPr="008B2788" w:rsidRDefault="003630B9" w:rsidP="008B2788">
            <w:pPr>
              <w:pStyle w:val="TableParagraph"/>
              <w:jc w:val="left"/>
              <w:rPr>
                <w:b/>
                <w:bCs/>
                <w:i/>
                <w:iCs/>
              </w:rPr>
            </w:pPr>
            <w:r w:rsidRPr="008B2788">
              <w:rPr>
                <w:b/>
                <w:bCs/>
                <w:i/>
                <w:iCs/>
              </w:rPr>
              <w:lastRenderedPageBreak/>
              <w:t>4.6</w:t>
            </w:r>
            <w:r w:rsidRPr="008B2788">
              <w:rPr>
                <w:b/>
                <w:bCs/>
                <w:i/>
                <w:iCs/>
                <w:spacing w:val="-4"/>
              </w:rPr>
              <w:t xml:space="preserve"> </w:t>
            </w:r>
            <w:r w:rsidRPr="008B2788">
              <w:rPr>
                <w:b/>
                <w:bCs/>
                <w:i/>
                <w:iCs/>
              </w:rPr>
              <w:t>Alte</w:t>
            </w:r>
            <w:r w:rsidRPr="008B2788">
              <w:rPr>
                <w:b/>
                <w:bCs/>
                <w:i/>
                <w:iCs/>
                <w:spacing w:val="-4"/>
              </w:rPr>
              <w:t xml:space="preserve"> </w:t>
            </w:r>
            <w:r w:rsidRPr="008B2788">
              <w:rPr>
                <w:b/>
                <w:bCs/>
                <w:i/>
                <w:iCs/>
              </w:rPr>
              <w:t>impacturi</w:t>
            </w:r>
            <w:r w:rsidRPr="008B2788">
              <w:rPr>
                <w:b/>
                <w:bCs/>
                <w:i/>
                <w:iCs/>
                <w:spacing w:val="-6"/>
              </w:rPr>
              <w:t xml:space="preserve"> </w:t>
            </w:r>
            <w:r w:rsidRPr="008B2788">
              <w:rPr>
                <w:b/>
                <w:bCs/>
                <w:i/>
                <w:iCs/>
              </w:rPr>
              <w:t>și</w:t>
            </w:r>
            <w:r w:rsidRPr="008B2788">
              <w:rPr>
                <w:b/>
                <w:bCs/>
                <w:i/>
                <w:iCs/>
                <w:spacing w:val="-5"/>
              </w:rPr>
              <w:t xml:space="preserve"> </w:t>
            </w:r>
            <w:r w:rsidRPr="008B2788">
              <w:rPr>
                <w:b/>
                <w:bCs/>
                <w:i/>
                <w:iCs/>
              </w:rPr>
              <w:t>informații</w:t>
            </w:r>
            <w:r w:rsidRPr="008B2788">
              <w:rPr>
                <w:b/>
                <w:bCs/>
                <w:i/>
                <w:iCs/>
                <w:spacing w:val="-2"/>
              </w:rPr>
              <w:t xml:space="preserve"> relevante</w:t>
            </w:r>
          </w:p>
        </w:tc>
      </w:tr>
      <w:tr w:rsidR="003630B9" w:rsidRPr="008B2788" w14:paraId="29751652" w14:textId="77777777" w:rsidTr="008B2788">
        <w:trPr>
          <w:trHeight w:val="20"/>
        </w:trPr>
        <w:tc>
          <w:tcPr>
            <w:tcW w:w="10170" w:type="dxa"/>
          </w:tcPr>
          <w:p w14:paraId="6B942BB0" w14:textId="4A1F5229" w:rsidR="009F5ABB" w:rsidRPr="008B2788" w:rsidRDefault="009F5ABB" w:rsidP="008B2788">
            <w:pPr>
              <w:pStyle w:val="TableParagraph"/>
              <w:ind w:left="720" w:right="140"/>
            </w:pPr>
            <w:r w:rsidRPr="008B2788">
              <w:t>Nu au fost identificate.</w:t>
            </w:r>
          </w:p>
          <w:p w14:paraId="484C12AB" w14:textId="6741736A" w:rsidR="003630B9" w:rsidRPr="008B2788" w:rsidRDefault="003630B9" w:rsidP="008B2788">
            <w:pPr>
              <w:pStyle w:val="TableParagraph"/>
              <w:ind w:left="720" w:right="140"/>
            </w:pPr>
          </w:p>
        </w:tc>
      </w:tr>
      <w:tr w:rsidR="003630B9" w:rsidRPr="008B2788" w14:paraId="128E9E3D" w14:textId="77777777" w:rsidTr="008B2788">
        <w:trPr>
          <w:trHeight w:val="20"/>
        </w:trPr>
        <w:tc>
          <w:tcPr>
            <w:tcW w:w="10170" w:type="dxa"/>
            <w:shd w:val="clear" w:color="auto" w:fill="D1D1D1"/>
            <w:vAlign w:val="center"/>
          </w:tcPr>
          <w:p w14:paraId="0BE6065C" w14:textId="77777777" w:rsidR="003630B9" w:rsidRPr="008B2788" w:rsidRDefault="003630B9" w:rsidP="008B2788">
            <w:pPr>
              <w:pStyle w:val="TableParagraph"/>
              <w:jc w:val="left"/>
              <w:rPr>
                <w:b/>
              </w:rPr>
            </w:pPr>
            <w:r w:rsidRPr="008B2788">
              <w:rPr>
                <w:b/>
              </w:rPr>
              <w:t>5.</w:t>
            </w:r>
            <w:r w:rsidRPr="008B2788">
              <w:rPr>
                <w:b/>
                <w:spacing w:val="-9"/>
              </w:rPr>
              <w:t xml:space="preserve"> </w:t>
            </w:r>
            <w:r w:rsidRPr="008B2788">
              <w:rPr>
                <w:b/>
              </w:rPr>
              <w:t>Compatibilitatea</w:t>
            </w:r>
            <w:r w:rsidRPr="008B2788">
              <w:rPr>
                <w:b/>
                <w:spacing w:val="-6"/>
              </w:rPr>
              <w:t xml:space="preserve"> </w:t>
            </w:r>
            <w:r w:rsidRPr="008B2788">
              <w:rPr>
                <w:b/>
              </w:rPr>
              <w:t>proiectului</w:t>
            </w:r>
            <w:r w:rsidRPr="008B2788">
              <w:rPr>
                <w:b/>
                <w:spacing w:val="-6"/>
              </w:rPr>
              <w:t xml:space="preserve"> </w:t>
            </w:r>
            <w:r w:rsidRPr="008B2788">
              <w:rPr>
                <w:b/>
              </w:rPr>
              <w:t>actului</w:t>
            </w:r>
            <w:r w:rsidRPr="008B2788">
              <w:rPr>
                <w:b/>
                <w:spacing w:val="-5"/>
              </w:rPr>
              <w:t xml:space="preserve"> </w:t>
            </w:r>
            <w:r w:rsidRPr="008B2788">
              <w:rPr>
                <w:b/>
              </w:rPr>
              <w:t>normativ</w:t>
            </w:r>
            <w:r w:rsidRPr="008B2788">
              <w:rPr>
                <w:b/>
                <w:spacing w:val="-9"/>
              </w:rPr>
              <w:t xml:space="preserve"> </w:t>
            </w:r>
            <w:r w:rsidRPr="008B2788">
              <w:rPr>
                <w:b/>
              </w:rPr>
              <w:t>cu</w:t>
            </w:r>
            <w:r w:rsidRPr="008B2788">
              <w:rPr>
                <w:b/>
                <w:spacing w:val="-9"/>
              </w:rPr>
              <w:t xml:space="preserve"> </w:t>
            </w:r>
            <w:r w:rsidRPr="008B2788">
              <w:rPr>
                <w:b/>
              </w:rPr>
              <w:t>legislația</w:t>
            </w:r>
            <w:r w:rsidRPr="008B2788">
              <w:rPr>
                <w:b/>
                <w:spacing w:val="-6"/>
              </w:rPr>
              <w:t xml:space="preserve"> </w:t>
            </w:r>
            <w:r w:rsidRPr="008B2788">
              <w:rPr>
                <w:b/>
                <w:spacing w:val="-5"/>
              </w:rPr>
              <w:t>UE</w:t>
            </w:r>
          </w:p>
        </w:tc>
      </w:tr>
      <w:tr w:rsidR="003630B9" w:rsidRPr="008B2788" w14:paraId="6F22A1EF" w14:textId="77777777" w:rsidTr="008B2788">
        <w:trPr>
          <w:trHeight w:val="20"/>
        </w:trPr>
        <w:tc>
          <w:tcPr>
            <w:tcW w:w="10170" w:type="dxa"/>
            <w:shd w:val="clear" w:color="auto" w:fill="D1D1D1"/>
            <w:vAlign w:val="center"/>
          </w:tcPr>
          <w:p w14:paraId="04594116" w14:textId="77777777" w:rsidR="003630B9" w:rsidRPr="008B2788" w:rsidRDefault="003630B9" w:rsidP="008B2788">
            <w:pPr>
              <w:pStyle w:val="TableParagraph"/>
              <w:jc w:val="left"/>
              <w:rPr>
                <w:b/>
                <w:bCs/>
                <w:i/>
                <w:iCs/>
              </w:rPr>
            </w:pPr>
            <w:r w:rsidRPr="008B2788">
              <w:rPr>
                <w:b/>
                <w:bCs/>
                <w:i/>
                <w:iCs/>
              </w:rPr>
              <w:t>5.1</w:t>
            </w:r>
            <w:r w:rsidRPr="008B2788">
              <w:rPr>
                <w:b/>
                <w:bCs/>
                <w:i/>
                <w:iCs/>
                <w:spacing w:val="-6"/>
              </w:rPr>
              <w:t xml:space="preserve"> </w:t>
            </w:r>
            <w:r w:rsidRPr="008B2788">
              <w:rPr>
                <w:b/>
                <w:bCs/>
                <w:i/>
                <w:iCs/>
              </w:rPr>
              <w:t>Măsuri</w:t>
            </w:r>
            <w:r w:rsidRPr="008B2788">
              <w:rPr>
                <w:b/>
                <w:bCs/>
                <w:i/>
                <w:iCs/>
                <w:spacing w:val="-3"/>
              </w:rPr>
              <w:t xml:space="preserve"> </w:t>
            </w:r>
            <w:r w:rsidRPr="008B2788">
              <w:rPr>
                <w:b/>
                <w:bCs/>
                <w:i/>
                <w:iCs/>
              </w:rPr>
              <w:t>normative</w:t>
            </w:r>
            <w:r w:rsidRPr="008B2788">
              <w:rPr>
                <w:b/>
                <w:bCs/>
                <w:i/>
                <w:iCs/>
                <w:spacing w:val="-4"/>
              </w:rPr>
              <w:t xml:space="preserve"> </w:t>
            </w:r>
            <w:r w:rsidRPr="008B2788">
              <w:rPr>
                <w:b/>
                <w:bCs/>
                <w:i/>
                <w:iCs/>
              </w:rPr>
              <w:t>necesare</w:t>
            </w:r>
            <w:r w:rsidRPr="008B2788">
              <w:rPr>
                <w:b/>
                <w:bCs/>
                <w:i/>
                <w:iCs/>
                <w:spacing w:val="-4"/>
              </w:rPr>
              <w:t xml:space="preserve"> </w:t>
            </w:r>
            <w:r w:rsidRPr="008B2788">
              <w:rPr>
                <w:b/>
                <w:bCs/>
                <w:i/>
                <w:iCs/>
              </w:rPr>
              <w:t>pentru</w:t>
            </w:r>
            <w:r w:rsidRPr="008B2788">
              <w:rPr>
                <w:b/>
                <w:bCs/>
                <w:i/>
                <w:iCs/>
                <w:spacing w:val="-7"/>
              </w:rPr>
              <w:t xml:space="preserve"> </w:t>
            </w:r>
            <w:r w:rsidRPr="008B2788">
              <w:rPr>
                <w:b/>
                <w:bCs/>
                <w:i/>
                <w:iCs/>
              </w:rPr>
              <w:t>transpunerea</w:t>
            </w:r>
            <w:r w:rsidRPr="008B2788">
              <w:rPr>
                <w:b/>
                <w:bCs/>
                <w:i/>
                <w:iCs/>
                <w:spacing w:val="-4"/>
              </w:rPr>
              <w:t xml:space="preserve"> </w:t>
            </w:r>
            <w:r w:rsidRPr="008B2788">
              <w:rPr>
                <w:b/>
                <w:bCs/>
                <w:i/>
                <w:iCs/>
              </w:rPr>
              <w:t>actelor</w:t>
            </w:r>
            <w:r w:rsidRPr="008B2788">
              <w:rPr>
                <w:b/>
                <w:bCs/>
                <w:i/>
                <w:iCs/>
                <w:spacing w:val="-5"/>
              </w:rPr>
              <w:t xml:space="preserve"> </w:t>
            </w:r>
            <w:r w:rsidRPr="008B2788">
              <w:rPr>
                <w:b/>
                <w:bCs/>
                <w:i/>
                <w:iCs/>
              </w:rPr>
              <w:t>juridice</w:t>
            </w:r>
            <w:r w:rsidRPr="008B2788">
              <w:rPr>
                <w:b/>
                <w:bCs/>
                <w:i/>
                <w:iCs/>
                <w:spacing w:val="-4"/>
              </w:rPr>
              <w:t xml:space="preserve"> </w:t>
            </w:r>
            <w:r w:rsidRPr="008B2788">
              <w:rPr>
                <w:b/>
                <w:bCs/>
                <w:i/>
                <w:iCs/>
              </w:rPr>
              <w:t>ale</w:t>
            </w:r>
            <w:r w:rsidRPr="008B2788">
              <w:rPr>
                <w:b/>
                <w:bCs/>
                <w:i/>
                <w:iCs/>
                <w:spacing w:val="-4"/>
              </w:rPr>
              <w:t xml:space="preserve"> </w:t>
            </w:r>
            <w:r w:rsidRPr="008B2788">
              <w:rPr>
                <w:b/>
                <w:bCs/>
                <w:i/>
                <w:iCs/>
              </w:rPr>
              <w:t>UE</w:t>
            </w:r>
            <w:r w:rsidRPr="008B2788">
              <w:rPr>
                <w:b/>
                <w:bCs/>
                <w:i/>
                <w:iCs/>
                <w:spacing w:val="-5"/>
              </w:rPr>
              <w:t xml:space="preserve"> </w:t>
            </w:r>
            <w:r w:rsidRPr="008B2788">
              <w:rPr>
                <w:b/>
                <w:bCs/>
                <w:i/>
                <w:iCs/>
              </w:rPr>
              <w:t>în</w:t>
            </w:r>
            <w:r w:rsidRPr="008B2788">
              <w:rPr>
                <w:b/>
                <w:bCs/>
                <w:i/>
                <w:iCs/>
                <w:spacing w:val="-7"/>
              </w:rPr>
              <w:t xml:space="preserve"> </w:t>
            </w:r>
            <w:r w:rsidRPr="008B2788">
              <w:rPr>
                <w:b/>
                <w:bCs/>
                <w:i/>
                <w:iCs/>
              </w:rPr>
              <w:t>legislația</w:t>
            </w:r>
            <w:r w:rsidRPr="008B2788">
              <w:rPr>
                <w:b/>
                <w:bCs/>
                <w:i/>
                <w:iCs/>
                <w:spacing w:val="-3"/>
              </w:rPr>
              <w:t xml:space="preserve"> </w:t>
            </w:r>
            <w:r w:rsidRPr="008B2788">
              <w:rPr>
                <w:b/>
                <w:bCs/>
                <w:i/>
                <w:iCs/>
                <w:spacing w:val="-2"/>
              </w:rPr>
              <w:t>națională</w:t>
            </w:r>
          </w:p>
        </w:tc>
      </w:tr>
      <w:tr w:rsidR="003630B9" w:rsidRPr="008B2788" w14:paraId="2D223130" w14:textId="77777777" w:rsidTr="008B2788">
        <w:trPr>
          <w:trHeight w:val="20"/>
        </w:trPr>
        <w:tc>
          <w:tcPr>
            <w:tcW w:w="10170" w:type="dxa"/>
          </w:tcPr>
          <w:p w14:paraId="17DAAD79" w14:textId="79CF47DB" w:rsidR="00A05DA6" w:rsidRPr="008B2788" w:rsidRDefault="00A05DA6" w:rsidP="008B2788">
            <w:pPr>
              <w:pStyle w:val="TableParagraph"/>
              <w:ind w:left="350" w:right="140"/>
            </w:pPr>
            <w:r w:rsidRPr="008B2788">
              <w:t xml:space="preserve">Proiectul de lege urmărește armonizarea cadrului normativ național cu prevederile acquis-ului Uniunii Europene în domeniul gestionării deșeurilor, în special cu Directiva 2008/98/CE privind deșeurile, astfel cum a fost modificată prin Directiva (UE) 2025/1892, Directiva (UE) 2019/904 privind reducerea impactului anumitor produse din plastic asupra mediului, Directiva 1999/31/CE privind depozitele de deșeuri, astfel cum a fost modificată prin Directiva (UE) 2024/1785, Decizia Comisiei 2001/171/CE, Decizia Comisiei 2009/292/CE și Directiva 87/217/CEE privind prevenirea și reducerea poluării mediului cu azbest, Deciziei Comisiei din 19 februarie 2001 de stabilire a condițiilor derogatorii pentru ambalajele din sticlă de la nivelul concentrației de metale grele stabilit prin Directiva 94/62/CE privind ambalajele și deșeurile din ambalaje, Deciziei Comisiei din 24 martie 2009 de stabilire a condițiilor derogatorii pentru lăzile din plastic și </w:t>
            </w:r>
            <w:proofErr w:type="spellStart"/>
            <w:r w:rsidRPr="008B2788">
              <w:t>paleții</w:t>
            </w:r>
            <w:proofErr w:type="spellEnd"/>
            <w:r w:rsidRPr="008B2788">
              <w:t xml:space="preserve"> din plastic de la nivelurile de concentrație în metale grele stabilite prin Directiva 94/62/CE</w:t>
            </w:r>
          </w:p>
          <w:p w14:paraId="0E8250A3" w14:textId="77777777" w:rsidR="00A05DA6" w:rsidRPr="008B2788" w:rsidRDefault="000505E1" w:rsidP="008B2788">
            <w:pPr>
              <w:pStyle w:val="TableParagraph"/>
              <w:ind w:right="140"/>
            </w:pPr>
            <w:r w:rsidRPr="008B2788">
              <w:t xml:space="preserve"> </w:t>
            </w:r>
          </w:p>
          <w:p w14:paraId="1EAB4FD4" w14:textId="656FAFC0" w:rsidR="003630B9" w:rsidRPr="008B2788" w:rsidRDefault="000505E1" w:rsidP="008B2788">
            <w:pPr>
              <w:pStyle w:val="TableParagraph"/>
              <w:ind w:left="350" w:right="140"/>
            </w:pPr>
            <w:r w:rsidRPr="008B2788">
              <w:t>În acest sens a</w:t>
            </w:r>
            <w:r w:rsidR="001F7EB4" w:rsidRPr="008B2788">
              <w:t>u</w:t>
            </w:r>
            <w:r w:rsidRPr="008B2788">
              <w:t xml:space="preserve"> fost elaborat</w:t>
            </w:r>
            <w:r w:rsidR="001F7EB4" w:rsidRPr="008B2788">
              <w:t>e</w:t>
            </w:r>
            <w:r w:rsidRPr="008B2788">
              <w:t xml:space="preserve"> Tabel</w:t>
            </w:r>
            <w:r w:rsidR="001F7EB4" w:rsidRPr="008B2788">
              <w:t>ele</w:t>
            </w:r>
            <w:r w:rsidRPr="008B2788">
              <w:t xml:space="preserve"> de Concordanță</w:t>
            </w:r>
            <w:r w:rsidR="001F7EB4" w:rsidRPr="008B2788">
              <w:t xml:space="preserve"> corespunzătoare</w:t>
            </w:r>
            <w:r w:rsidRPr="008B2788">
              <w:t>, în conformitate cu Regulamentul privind armonizarea legislației Republicii Moldova cu legislația Uniunii Europene, aprobat prin Hotărârea Guvernului 1171/2018</w:t>
            </w:r>
            <w:r w:rsidR="001F7EB4" w:rsidRPr="008B2788">
              <w:t xml:space="preserve">, care vor </w:t>
            </w:r>
            <w:r w:rsidRPr="008B2788">
              <w:t>fi transmis</w:t>
            </w:r>
            <w:r w:rsidR="001F7EB4" w:rsidRPr="008B2788">
              <w:t>e</w:t>
            </w:r>
            <w:r w:rsidRPr="008B2788">
              <w:t xml:space="preserve"> Centrului de Armonizare a Legislației, pentru emiterea expertizei de compatibilitate.</w:t>
            </w:r>
          </w:p>
        </w:tc>
      </w:tr>
      <w:tr w:rsidR="003630B9" w:rsidRPr="008B2788" w14:paraId="25AE287F" w14:textId="77777777" w:rsidTr="008B2788">
        <w:trPr>
          <w:trHeight w:val="20"/>
        </w:trPr>
        <w:tc>
          <w:tcPr>
            <w:tcW w:w="10170" w:type="dxa"/>
            <w:shd w:val="clear" w:color="auto" w:fill="D1D1D1"/>
          </w:tcPr>
          <w:p w14:paraId="13C5C89F" w14:textId="77777777" w:rsidR="003630B9" w:rsidRPr="008B2788" w:rsidRDefault="003630B9" w:rsidP="008B2788">
            <w:pPr>
              <w:pStyle w:val="TableParagraph"/>
              <w:jc w:val="left"/>
              <w:rPr>
                <w:b/>
                <w:bCs/>
                <w:i/>
                <w:iCs/>
              </w:rPr>
            </w:pPr>
            <w:r w:rsidRPr="008B2788">
              <w:rPr>
                <w:b/>
                <w:bCs/>
                <w:i/>
                <w:iCs/>
              </w:rPr>
              <w:t>5.2</w:t>
            </w:r>
            <w:r w:rsidRPr="008B2788">
              <w:rPr>
                <w:b/>
                <w:bCs/>
                <w:i/>
                <w:iCs/>
                <w:spacing w:val="40"/>
              </w:rPr>
              <w:t xml:space="preserve"> </w:t>
            </w:r>
            <w:r w:rsidRPr="008B2788">
              <w:rPr>
                <w:b/>
                <w:bCs/>
                <w:i/>
                <w:iCs/>
              </w:rPr>
              <w:t>Măsuri</w:t>
            </w:r>
            <w:r w:rsidRPr="008B2788">
              <w:rPr>
                <w:b/>
                <w:bCs/>
                <w:i/>
                <w:iCs/>
                <w:spacing w:val="40"/>
              </w:rPr>
              <w:t xml:space="preserve"> </w:t>
            </w:r>
            <w:r w:rsidRPr="008B2788">
              <w:rPr>
                <w:b/>
                <w:bCs/>
                <w:i/>
                <w:iCs/>
              </w:rPr>
              <w:t>normative</w:t>
            </w:r>
            <w:r w:rsidRPr="008B2788">
              <w:rPr>
                <w:b/>
                <w:bCs/>
                <w:i/>
                <w:iCs/>
                <w:spacing w:val="40"/>
              </w:rPr>
              <w:t xml:space="preserve"> </w:t>
            </w:r>
            <w:r w:rsidRPr="008B2788">
              <w:rPr>
                <w:b/>
                <w:bCs/>
                <w:i/>
                <w:iCs/>
              </w:rPr>
              <w:t>care</w:t>
            </w:r>
            <w:r w:rsidRPr="008B2788">
              <w:rPr>
                <w:b/>
                <w:bCs/>
                <w:i/>
                <w:iCs/>
                <w:spacing w:val="40"/>
              </w:rPr>
              <w:t xml:space="preserve"> </w:t>
            </w:r>
            <w:r w:rsidRPr="008B2788">
              <w:rPr>
                <w:b/>
                <w:bCs/>
                <w:i/>
                <w:iCs/>
              </w:rPr>
              <w:t>urmăresc</w:t>
            </w:r>
            <w:r w:rsidRPr="008B2788">
              <w:rPr>
                <w:b/>
                <w:bCs/>
                <w:i/>
                <w:iCs/>
                <w:spacing w:val="40"/>
              </w:rPr>
              <w:t xml:space="preserve"> </w:t>
            </w:r>
            <w:r w:rsidRPr="008B2788">
              <w:rPr>
                <w:b/>
                <w:bCs/>
                <w:i/>
                <w:iCs/>
              </w:rPr>
              <w:t>crearea</w:t>
            </w:r>
            <w:r w:rsidRPr="008B2788">
              <w:rPr>
                <w:b/>
                <w:bCs/>
                <w:i/>
                <w:iCs/>
                <w:spacing w:val="40"/>
              </w:rPr>
              <w:t xml:space="preserve"> </w:t>
            </w:r>
            <w:r w:rsidRPr="008B2788">
              <w:rPr>
                <w:b/>
                <w:bCs/>
                <w:i/>
                <w:iCs/>
              </w:rPr>
              <w:t>cadrului</w:t>
            </w:r>
            <w:r w:rsidRPr="008B2788">
              <w:rPr>
                <w:b/>
                <w:bCs/>
                <w:i/>
                <w:iCs/>
                <w:spacing w:val="40"/>
              </w:rPr>
              <w:t xml:space="preserve"> </w:t>
            </w:r>
            <w:r w:rsidRPr="008B2788">
              <w:rPr>
                <w:b/>
                <w:bCs/>
                <w:i/>
                <w:iCs/>
              </w:rPr>
              <w:t>juridic</w:t>
            </w:r>
            <w:r w:rsidRPr="008B2788">
              <w:rPr>
                <w:b/>
                <w:bCs/>
                <w:i/>
                <w:iCs/>
                <w:spacing w:val="40"/>
              </w:rPr>
              <w:t xml:space="preserve"> </w:t>
            </w:r>
            <w:r w:rsidRPr="008B2788">
              <w:rPr>
                <w:b/>
                <w:bCs/>
                <w:i/>
                <w:iCs/>
              </w:rPr>
              <w:t>intern</w:t>
            </w:r>
            <w:r w:rsidRPr="008B2788">
              <w:rPr>
                <w:b/>
                <w:bCs/>
                <w:i/>
                <w:iCs/>
                <w:spacing w:val="40"/>
              </w:rPr>
              <w:t xml:space="preserve"> </w:t>
            </w:r>
            <w:r w:rsidRPr="008B2788">
              <w:rPr>
                <w:b/>
                <w:bCs/>
                <w:i/>
                <w:iCs/>
              </w:rPr>
              <w:t>necesar</w:t>
            </w:r>
            <w:r w:rsidRPr="008B2788">
              <w:rPr>
                <w:b/>
                <w:bCs/>
                <w:i/>
                <w:iCs/>
                <w:spacing w:val="40"/>
              </w:rPr>
              <w:t xml:space="preserve"> </w:t>
            </w:r>
            <w:r w:rsidRPr="008B2788">
              <w:rPr>
                <w:b/>
                <w:bCs/>
                <w:i/>
                <w:iCs/>
              </w:rPr>
              <w:t>pentru</w:t>
            </w:r>
            <w:r w:rsidRPr="008B2788">
              <w:rPr>
                <w:b/>
                <w:bCs/>
                <w:i/>
                <w:iCs/>
                <w:spacing w:val="40"/>
              </w:rPr>
              <w:t xml:space="preserve"> </w:t>
            </w:r>
            <w:r w:rsidRPr="008B2788">
              <w:rPr>
                <w:b/>
                <w:bCs/>
                <w:i/>
                <w:iCs/>
              </w:rPr>
              <w:t>implementarea legislației UE</w:t>
            </w:r>
          </w:p>
        </w:tc>
      </w:tr>
    </w:tbl>
    <w:p w14:paraId="25545479" w14:textId="77777777" w:rsidR="00C45531" w:rsidRPr="008B2788" w:rsidRDefault="00C45531" w:rsidP="008B2788">
      <w:pPr>
        <w:pStyle w:val="TableParagraph"/>
        <w:jc w:val="left"/>
        <w:sectPr w:rsidR="00C45531" w:rsidRPr="008B2788" w:rsidSect="008B2788">
          <w:type w:val="continuous"/>
          <w:pgSz w:w="11910" w:h="16840"/>
          <w:pgMar w:top="1100" w:right="708" w:bottom="1544" w:left="1700" w:header="720" w:footer="720" w:gutter="0"/>
          <w:cols w:space="720"/>
        </w:sectPr>
      </w:pPr>
    </w:p>
    <w:tbl>
      <w:tblPr>
        <w:tblStyle w:val="TableNormal1"/>
        <w:tblW w:w="101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0"/>
      </w:tblGrid>
      <w:tr w:rsidR="00C45531" w:rsidRPr="008B2788" w14:paraId="49EE9D8B" w14:textId="77777777" w:rsidTr="0080657E">
        <w:trPr>
          <w:trHeight w:val="20"/>
        </w:trPr>
        <w:tc>
          <w:tcPr>
            <w:tcW w:w="10170" w:type="dxa"/>
          </w:tcPr>
          <w:p w14:paraId="452C4B6D" w14:textId="77777777" w:rsidR="002555B3" w:rsidRPr="008B2788" w:rsidRDefault="002555B3" w:rsidP="008B2788">
            <w:pPr>
              <w:pStyle w:val="TableParagraph"/>
              <w:ind w:right="95"/>
            </w:pPr>
            <w:r w:rsidRPr="008B2788">
              <w:t>Adoptarea proiectului va impune ajustarea unor acte normative subsecvente, în vederea asigurării implementării coerente a noilor prevederi. În special, vor fi necesare modificări ale:</w:t>
            </w:r>
          </w:p>
          <w:p w14:paraId="46F45ABA" w14:textId="77777777" w:rsidR="00D4322D" w:rsidRPr="008B2788" w:rsidRDefault="002555B3" w:rsidP="008B2788">
            <w:pPr>
              <w:pStyle w:val="TableParagraph"/>
              <w:numPr>
                <w:ilvl w:val="0"/>
                <w:numId w:val="19"/>
              </w:numPr>
              <w:ind w:right="95"/>
            </w:pPr>
            <w:r w:rsidRPr="008B2788">
              <w:t>Hotărârii Guvernului nr. 939/2023 pentru aprobarea Regulamentului privind depozitarea deșeurilor;</w:t>
            </w:r>
          </w:p>
          <w:p w14:paraId="14652E72" w14:textId="1ABFF9B2" w:rsidR="002555B3" w:rsidRPr="008B2788" w:rsidRDefault="002555B3" w:rsidP="008B2788">
            <w:pPr>
              <w:pStyle w:val="TableParagraph"/>
              <w:numPr>
                <w:ilvl w:val="0"/>
                <w:numId w:val="19"/>
              </w:numPr>
              <w:ind w:right="95"/>
            </w:pPr>
            <w:r w:rsidRPr="008B2788">
              <w:t>actelor normative privind responsabilitatea extinsă a producătorului pentru fluxurile reglementate de Legea nr. 209/2016, inclusiv ambalaje, echipamente electrice și electronice, baterii și acumulatori, anvelope, uleiuri uzate și vehicule scoase din uz</w:t>
            </w:r>
            <w:r w:rsidR="0069506A">
              <w:t>.</w:t>
            </w:r>
          </w:p>
          <w:p w14:paraId="23ABCF80" w14:textId="77777777" w:rsidR="00D4322D" w:rsidRPr="008B2788" w:rsidRDefault="00D4322D" w:rsidP="008B2788">
            <w:pPr>
              <w:pStyle w:val="TableParagraph"/>
              <w:ind w:right="95"/>
            </w:pPr>
          </w:p>
          <w:p w14:paraId="495F2DA6" w14:textId="61B97AE0" w:rsidR="00D4322D" w:rsidRPr="008B2788" w:rsidRDefault="00D4322D" w:rsidP="008B2788">
            <w:pPr>
              <w:pStyle w:val="TableParagraph"/>
              <w:ind w:right="95"/>
            </w:pPr>
            <w:r w:rsidRPr="008B2788">
              <w:t xml:space="preserve">Suplimentar, urmează a fi elaborate următoarele acte normative: </w:t>
            </w:r>
          </w:p>
          <w:p w14:paraId="08B38AE2" w14:textId="3C720C03" w:rsidR="002555B3" w:rsidRPr="008B2788" w:rsidRDefault="002555B3" w:rsidP="008B2788">
            <w:pPr>
              <w:pStyle w:val="TableParagraph"/>
              <w:numPr>
                <w:ilvl w:val="0"/>
                <w:numId w:val="20"/>
              </w:numPr>
              <w:ind w:right="95"/>
            </w:pPr>
            <w:r w:rsidRPr="008B2788">
              <w:t>act normativ</w:t>
            </w:r>
            <w:r w:rsidR="00D4322D" w:rsidRPr="008B2788">
              <w:t>e</w:t>
            </w:r>
            <w:r w:rsidRPr="008B2788">
              <w:t xml:space="preserve"> care urmează să reglementeze gestionarea produselor textile și a deșeurilor textile, </w:t>
            </w:r>
          </w:p>
          <w:p w14:paraId="03132616" w14:textId="10A8CAEC" w:rsidR="006B01D0" w:rsidRPr="008B2788" w:rsidRDefault="002555B3" w:rsidP="008B2788">
            <w:pPr>
              <w:pStyle w:val="TableParagraph"/>
              <w:numPr>
                <w:ilvl w:val="0"/>
                <w:numId w:val="20"/>
              </w:numPr>
              <w:ind w:right="95"/>
            </w:pPr>
            <w:r w:rsidRPr="008B2788">
              <w:t xml:space="preserve">actelor normative privind gestionarea deșeurilor din construcții și demolări, inclusiv gestionarea deșeurilor de azbest </w:t>
            </w:r>
          </w:p>
          <w:p w14:paraId="07B6DF9A" w14:textId="77777777" w:rsidR="006B01D0" w:rsidRPr="008B2788" w:rsidRDefault="002555B3" w:rsidP="008B2788">
            <w:pPr>
              <w:pStyle w:val="TableParagraph"/>
              <w:numPr>
                <w:ilvl w:val="0"/>
                <w:numId w:val="20"/>
              </w:numPr>
              <w:ind w:right="95"/>
            </w:pPr>
            <w:r w:rsidRPr="008B2788">
              <w:t>actelor normative privind</w:t>
            </w:r>
            <w:r w:rsidR="006B01D0" w:rsidRPr="008B2788">
              <w:t xml:space="preserve"> implementarea reglementărilor ce țin de</w:t>
            </w:r>
            <w:r w:rsidRPr="008B2788">
              <w:t xml:space="preserve"> produsele din plastic de unică folosință, inclusiv formatul de raportare, metodologia de calculare și verificare a datelor, cerințele privind marcarea, aplicarea taxei pe produs, măsurile de sensibilizare și reglementarea echipamentelor de pescuit care conțin plastic;</w:t>
            </w:r>
            <w:r w:rsidR="006B01D0" w:rsidRPr="008B2788">
              <w:t xml:space="preserve"> </w:t>
            </w:r>
          </w:p>
          <w:p w14:paraId="3AA97802" w14:textId="1178A414" w:rsidR="005B65A7" w:rsidRPr="008B2788" w:rsidRDefault="006B01D0" w:rsidP="008B2788">
            <w:pPr>
              <w:pStyle w:val="TableParagraph"/>
              <w:numPr>
                <w:ilvl w:val="0"/>
                <w:numId w:val="20"/>
              </w:numPr>
              <w:ind w:right="95"/>
            </w:pPr>
            <w:r w:rsidRPr="008B2788">
              <w:t>ordine ale Ministerului Mediului pentru aprobarea</w:t>
            </w:r>
            <w:r w:rsidR="005B65A7" w:rsidRPr="008B2788">
              <w:t xml:space="preserve"> următoarelor: </w:t>
            </w:r>
          </w:p>
          <w:p w14:paraId="157D0DF3" w14:textId="45DC1591" w:rsidR="005B65A7" w:rsidRPr="008B2788" w:rsidRDefault="005B65A7" w:rsidP="008B2788">
            <w:pPr>
              <w:pStyle w:val="TableParagraph"/>
              <w:numPr>
                <w:ilvl w:val="1"/>
                <w:numId w:val="20"/>
              </w:numPr>
              <w:ind w:left="1170" w:right="95"/>
            </w:pPr>
            <w:r w:rsidRPr="008B2788">
              <w:t xml:space="preserve">metodologii privind </w:t>
            </w:r>
            <w:r w:rsidRPr="00E00F9B">
              <w:t>raportarea a datelor cu privire la reutilizarea</w:t>
            </w:r>
            <w:r w:rsidRPr="008B2788">
              <w:t xml:space="preserve"> </w:t>
            </w:r>
            <w:r w:rsidR="00E00F9B">
              <w:t>produselor</w:t>
            </w:r>
          </w:p>
          <w:p w14:paraId="285144BF" w14:textId="50C728CE" w:rsidR="000164BF" w:rsidRPr="008B2788" w:rsidRDefault="005B65A7" w:rsidP="008B2788">
            <w:pPr>
              <w:pStyle w:val="TableParagraph"/>
              <w:numPr>
                <w:ilvl w:val="1"/>
                <w:numId w:val="20"/>
              </w:numPr>
              <w:ind w:left="1170" w:right="95"/>
            </w:pPr>
            <w:r w:rsidRPr="008B2788">
              <w:t xml:space="preserve">norme pentru calculul, verificarea și raportarea datelor privind deșeurile municipale care sunt pregătite pentru reutilizare, deșeurile municipale reciclate, </w:t>
            </w:r>
            <w:proofErr w:type="spellStart"/>
            <w:r w:rsidRPr="008B2788">
              <w:t>biodeșeurilor</w:t>
            </w:r>
            <w:proofErr w:type="spellEnd"/>
            <w:r w:rsidRPr="008B2788">
              <w:t xml:space="preserve"> municipale reciclate,  metalele reciclate separate după incinerarea deșeurilor municipal</w:t>
            </w:r>
            <w:r w:rsidR="000164BF" w:rsidRPr="008B2788">
              <w:t>e</w:t>
            </w:r>
          </w:p>
          <w:p w14:paraId="1F054471" w14:textId="03754360" w:rsidR="006B01D0" w:rsidRPr="008B2788" w:rsidRDefault="005B65A7" w:rsidP="008B2788">
            <w:pPr>
              <w:pStyle w:val="TableParagraph"/>
              <w:numPr>
                <w:ilvl w:val="1"/>
                <w:numId w:val="20"/>
              </w:numPr>
              <w:ind w:left="1170" w:right="95"/>
            </w:pPr>
            <w:r w:rsidRPr="008B2788">
              <w:lastRenderedPageBreak/>
              <w:t xml:space="preserve">normelor și a metodelor de calcul pentru verificarea respectării obiectivelor de reutilizare, reciclate sau supuse altei valorificări materiale </w:t>
            </w:r>
          </w:p>
          <w:p w14:paraId="7F9BD98F" w14:textId="77777777" w:rsidR="005B65A7" w:rsidRPr="008B2788" w:rsidRDefault="005B65A7" w:rsidP="008B2788">
            <w:pPr>
              <w:pStyle w:val="TableParagraph"/>
              <w:ind w:right="95"/>
            </w:pPr>
          </w:p>
          <w:p w14:paraId="2F39729C" w14:textId="6508BA03" w:rsidR="00C45531" w:rsidRPr="008B2788" w:rsidRDefault="000164BF" w:rsidP="008B2788">
            <w:pPr>
              <w:pStyle w:val="TableParagraph"/>
              <w:ind w:right="95"/>
            </w:pPr>
            <w:r w:rsidRPr="008B2788">
              <w:t xml:space="preserve">La fel, va fi necesară </w:t>
            </w:r>
            <w:r w:rsidR="002555B3" w:rsidRPr="008B2788">
              <w:t>dezvoltarea</w:t>
            </w:r>
            <w:r w:rsidRPr="008B2788">
              <w:t xml:space="preserve"> unor module suplimentare</w:t>
            </w:r>
            <w:r w:rsidR="002555B3" w:rsidRPr="008B2788">
              <w:t xml:space="preserve"> </w:t>
            </w:r>
            <w:r w:rsidRPr="008B2788">
              <w:t>în</w:t>
            </w:r>
            <w:r w:rsidR="002555B3" w:rsidRPr="008B2788">
              <w:t xml:space="preserve"> </w:t>
            </w:r>
            <w:r w:rsidR="006B01D0" w:rsidRPr="008B2788">
              <w:t>Sistemul informațional automatizat „Managementul deșeurilor”</w:t>
            </w:r>
            <w:r w:rsidRPr="008B2788">
              <w:t xml:space="preserve"> </w:t>
            </w:r>
            <w:r w:rsidR="002555B3" w:rsidRPr="008B2788">
              <w:t>aferente raportării naționale, verificării calității datelor, trasabilității deșeurilor și Bursei de resurse pentru subproduse și materii prime secundare</w:t>
            </w:r>
            <w:r w:rsidRPr="008B2788">
              <w:t>.</w:t>
            </w:r>
          </w:p>
        </w:tc>
      </w:tr>
      <w:tr w:rsidR="00C45531" w:rsidRPr="008B2788" w14:paraId="4ED0F6E6" w14:textId="77777777" w:rsidTr="0080657E">
        <w:trPr>
          <w:trHeight w:val="20"/>
        </w:trPr>
        <w:tc>
          <w:tcPr>
            <w:tcW w:w="10170" w:type="dxa"/>
            <w:shd w:val="clear" w:color="auto" w:fill="D1D1D1"/>
          </w:tcPr>
          <w:p w14:paraId="621EB34A" w14:textId="735E5670" w:rsidR="00C45531" w:rsidRPr="008B2788" w:rsidRDefault="00000000" w:rsidP="008B2788">
            <w:pPr>
              <w:pStyle w:val="TableParagraph"/>
              <w:jc w:val="left"/>
              <w:rPr>
                <w:b/>
              </w:rPr>
            </w:pPr>
            <w:r w:rsidRPr="008B2788">
              <w:rPr>
                <w:b/>
              </w:rPr>
              <w:lastRenderedPageBreak/>
              <w:t>6.</w:t>
            </w:r>
            <w:r w:rsidRPr="008B2788">
              <w:rPr>
                <w:b/>
                <w:spacing w:val="-3"/>
              </w:rPr>
              <w:t xml:space="preserve"> </w:t>
            </w:r>
            <w:r w:rsidRPr="008B2788">
              <w:rPr>
                <w:b/>
              </w:rPr>
              <w:t>Avizarea</w:t>
            </w:r>
            <w:r w:rsidRPr="008B2788">
              <w:rPr>
                <w:b/>
                <w:spacing w:val="-3"/>
              </w:rPr>
              <w:t xml:space="preserve"> </w:t>
            </w:r>
            <w:proofErr w:type="spellStart"/>
            <w:r w:rsidRPr="008B2788">
              <w:rPr>
                <w:b/>
              </w:rPr>
              <w:t>şi</w:t>
            </w:r>
            <w:proofErr w:type="spellEnd"/>
            <w:r w:rsidRPr="008B2788">
              <w:rPr>
                <w:b/>
                <w:spacing w:val="-2"/>
              </w:rPr>
              <w:t xml:space="preserve"> </w:t>
            </w:r>
            <w:r w:rsidRPr="008B2788">
              <w:rPr>
                <w:b/>
              </w:rPr>
              <w:t>consultarea</w:t>
            </w:r>
            <w:r w:rsidRPr="008B2788">
              <w:rPr>
                <w:b/>
                <w:spacing w:val="-4"/>
              </w:rPr>
              <w:t xml:space="preserve"> </w:t>
            </w:r>
            <w:r w:rsidRPr="008B2788">
              <w:rPr>
                <w:b/>
              </w:rPr>
              <w:t>publică</w:t>
            </w:r>
            <w:r w:rsidRPr="008B2788">
              <w:rPr>
                <w:b/>
                <w:spacing w:val="-3"/>
              </w:rPr>
              <w:t xml:space="preserve"> </w:t>
            </w:r>
            <w:r w:rsidRPr="008B2788">
              <w:rPr>
                <w:b/>
              </w:rPr>
              <w:t>a</w:t>
            </w:r>
            <w:r w:rsidRPr="008B2788">
              <w:rPr>
                <w:b/>
                <w:spacing w:val="-2"/>
              </w:rPr>
              <w:t xml:space="preserve"> proiectului</w:t>
            </w:r>
            <w:r w:rsidR="00697A90" w:rsidRPr="008B2788">
              <w:rPr>
                <w:b/>
                <w:spacing w:val="-2"/>
              </w:rPr>
              <w:t xml:space="preserve"> actului normativ</w:t>
            </w:r>
          </w:p>
        </w:tc>
      </w:tr>
      <w:tr w:rsidR="00C45531" w:rsidRPr="008B2788" w14:paraId="144E58CD" w14:textId="77777777" w:rsidTr="0080657E">
        <w:trPr>
          <w:trHeight w:val="20"/>
        </w:trPr>
        <w:tc>
          <w:tcPr>
            <w:tcW w:w="10170" w:type="dxa"/>
          </w:tcPr>
          <w:p w14:paraId="3C4B6EC4" w14:textId="6C0C3CF2" w:rsidR="0075353D" w:rsidRPr="008B2788" w:rsidRDefault="009F5ABB" w:rsidP="008B2788">
            <w:pPr>
              <w:ind w:left="270"/>
              <w:jc w:val="both"/>
            </w:pPr>
            <w:r w:rsidRPr="008B2788">
              <w:t xml:space="preserve">În conformitate cu prevederile Legii nr. 239/2008 privind transparența în procesul decizional , anunțul privind inițierea procesului de elaborare a proiectului  a fost plasat pe </w:t>
            </w:r>
            <w:r w:rsidRPr="008B2788">
              <w:rPr>
                <w:spacing w:val="-2"/>
              </w:rPr>
              <w:t>pagina</w:t>
            </w:r>
            <w:r w:rsidR="0075353D" w:rsidRPr="008B2788">
              <w:t xml:space="preserve"> </w:t>
            </w:r>
            <w:r w:rsidRPr="008B2788">
              <w:rPr>
                <w:spacing w:val="-4"/>
              </w:rPr>
              <w:t>web</w:t>
            </w:r>
            <w:r w:rsidRPr="008B2788">
              <w:tab/>
            </w:r>
            <w:r w:rsidR="0075353D" w:rsidRPr="008B2788">
              <w:t xml:space="preserve">oficială </w:t>
            </w:r>
            <w:r w:rsidRPr="008B2788">
              <w:rPr>
                <w:spacing w:val="-10"/>
              </w:rPr>
              <w:t>a</w:t>
            </w:r>
            <w:r w:rsidRPr="008B2788">
              <w:tab/>
            </w:r>
            <w:r w:rsidRPr="008B2788">
              <w:rPr>
                <w:spacing w:val="-2"/>
              </w:rPr>
              <w:t>Ministerului</w:t>
            </w:r>
            <w:r w:rsidR="004277D9">
              <w:t xml:space="preserve"> </w:t>
            </w:r>
            <w:r w:rsidRPr="008B2788">
              <w:rPr>
                <w:spacing w:val="-2"/>
              </w:rPr>
              <w:t>Mediul</w:t>
            </w:r>
            <w:r w:rsidR="00EA3840" w:rsidRPr="008B2788">
              <w:rPr>
                <w:spacing w:val="-2"/>
              </w:rPr>
              <w:t xml:space="preserve">ui  </w:t>
            </w:r>
            <w:hyperlink r:id="rId24" w:history="1">
              <w:r w:rsidR="00EA3840" w:rsidRPr="008B2788">
                <w:rPr>
                  <w:rStyle w:val="Hyperlink"/>
                  <w:spacing w:val="-2"/>
                </w:rPr>
                <w:t>https://mediu.gov.md/</w:t>
              </w:r>
            </w:hyperlink>
            <w:r w:rsidR="00EA3840" w:rsidRPr="008B2788">
              <w:rPr>
                <w:spacing w:val="-2"/>
              </w:rPr>
              <w:t xml:space="preserve"> </w:t>
            </w:r>
            <w:r w:rsidR="00693481" w:rsidRPr="008B2788">
              <w:rPr>
                <w:spacing w:val="-2"/>
              </w:rPr>
              <w:t xml:space="preserve"> în rubrica transparență decizională </w:t>
            </w:r>
            <w:r w:rsidR="0075353D" w:rsidRPr="008B2788">
              <w:rPr>
                <w:spacing w:val="-6"/>
              </w:rPr>
              <w:t>cât și</w:t>
            </w:r>
            <w:r w:rsidR="000164BF" w:rsidRPr="008B2788">
              <w:t xml:space="preserve"> </w:t>
            </w:r>
            <w:r w:rsidRPr="008B2788">
              <w:rPr>
                <w:spacing w:val="-6"/>
              </w:rPr>
              <w:t>pe</w:t>
            </w:r>
            <w:r w:rsidRPr="008B2788">
              <w:tab/>
            </w:r>
            <w:r w:rsidRPr="008B2788">
              <w:rPr>
                <w:spacing w:val="-2"/>
              </w:rPr>
              <w:t>platforma</w:t>
            </w:r>
            <w:r w:rsidRPr="008B2788">
              <w:tab/>
            </w:r>
            <w:r w:rsidRPr="008B2788">
              <w:rPr>
                <w:spacing w:val="-2"/>
              </w:rPr>
              <w:t xml:space="preserve">guvernamentală </w:t>
            </w:r>
            <w:r w:rsidR="000505E1" w:rsidRPr="008B2788">
              <w:t xml:space="preserve"> </w:t>
            </w:r>
            <w:hyperlink r:id="rId25" w:history="1">
              <w:r w:rsidR="00022E27" w:rsidRPr="00693481">
                <w:rPr>
                  <w:rStyle w:val="Hyperlink"/>
                  <w:sz w:val="24"/>
                  <w:szCs w:val="24"/>
                  <w:bdr w:val="none" w:sz="0" w:space="0" w:color="auto" w:frame="1"/>
                </w:rPr>
                <w:t>https://particip.gov.md/ro/document/stages/*/16095</w:t>
              </w:r>
            </w:hyperlink>
          </w:p>
          <w:p w14:paraId="4965A5C8" w14:textId="77777777" w:rsidR="000164BF" w:rsidRPr="008B2788" w:rsidRDefault="000164BF" w:rsidP="008B2788">
            <w:pPr>
              <w:pStyle w:val="TableParagraph"/>
              <w:tabs>
                <w:tab w:val="left" w:pos="375"/>
                <w:tab w:val="left" w:pos="413"/>
                <w:tab w:val="left" w:pos="554"/>
                <w:tab w:val="left" w:pos="980"/>
              </w:tabs>
              <w:ind w:right="97"/>
            </w:pPr>
          </w:p>
          <w:p w14:paraId="31CB1555" w14:textId="68D3AD40" w:rsidR="00C45531" w:rsidRPr="008B2788" w:rsidRDefault="00000000" w:rsidP="008B2788">
            <w:pPr>
              <w:pStyle w:val="TableParagraph"/>
              <w:tabs>
                <w:tab w:val="left" w:pos="375"/>
                <w:tab w:val="left" w:pos="413"/>
                <w:tab w:val="left" w:pos="554"/>
                <w:tab w:val="left" w:pos="980"/>
              </w:tabs>
              <w:ind w:right="97"/>
            </w:pPr>
            <w:r w:rsidRPr="008B2788">
              <w:t>Corespunzător, după înregistrarea proiectului de către Cancelaria de Stat, proiectul actului normativ</w:t>
            </w:r>
            <w:r w:rsidRPr="008B2788">
              <w:rPr>
                <w:spacing w:val="-3"/>
              </w:rPr>
              <w:t xml:space="preserve"> </w:t>
            </w:r>
            <w:r w:rsidRPr="008B2788">
              <w:t>și</w:t>
            </w:r>
            <w:r w:rsidRPr="008B2788">
              <w:rPr>
                <w:spacing w:val="-2"/>
              </w:rPr>
              <w:t xml:space="preserve"> </w:t>
            </w:r>
            <w:r w:rsidRPr="008B2788">
              <w:t>nota</w:t>
            </w:r>
            <w:r w:rsidRPr="008B2788">
              <w:rPr>
                <w:spacing w:val="-3"/>
              </w:rPr>
              <w:t xml:space="preserve"> </w:t>
            </w:r>
            <w:r w:rsidRPr="008B2788">
              <w:t>de</w:t>
            </w:r>
            <w:r w:rsidRPr="008B2788">
              <w:rPr>
                <w:spacing w:val="-3"/>
              </w:rPr>
              <w:t xml:space="preserve"> </w:t>
            </w:r>
            <w:r w:rsidRPr="008B2788">
              <w:t>fundamentare</w:t>
            </w:r>
            <w:r w:rsidRPr="008B2788">
              <w:rPr>
                <w:spacing w:val="-3"/>
              </w:rPr>
              <w:t xml:space="preserve"> </w:t>
            </w:r>
            <w:r w:rsidR="00E00F9B">
              <w:t>va fi</w:t>
            </w:r>
            <w:r w:rsidRPr="008B2788">
              <w:rPr>
                <w:spacing w:val="-2"/>
              </w:rPr>
              <w:t xml:space="preserve"> </w:t>
            </w:r>
            <w:r w:rsidRPr="008B2788">
              <w:t>publicat</w:t>
            </w:r>
            <w:r w:rsidRPr="008B2788">
              <w:rPr>
                <w:spacing w:val="-3"/>
              </w:rPr>
              <w:t xml:space="preserve"> </w:t>
            </w:r>
            <w:r w:rsidRPr="008B2788">
              <w:t>pe</w:t>
            </w:r>
            <w:r w:rsidRPr="008B2788">
              <w:rPr>
                <w:spacing w:val="-5"/>
              </w:rPr>
              <w:t xml:space="preserve"> </w:t>
            </w:r>
            <w:r w:rsidRPr="008B2788">
              <w:t>pagina</w:t>
            </w:r>
            <w:r w:rsidRPr="008B2788">
              <w:rPr>
                <w:spacing w:val="-3"/>
              </w:rPr>
              <w:t xml:space="preserve"> </w:t>
            </w:r>
            <w:r w:rsidRPr="008B2788">
              <w:t>web</w:t>
            </w:r>
            <w:r w:rsidRPr="008B2788">
              <w:rPr>
                <w:spacing w:val="-3"/>
              </w:rPr>
              <w:t xml:space="preserve"> </w:t>
            </w:r>
            <w:r w:rsidRPr="008B2788">
              <w:t>oficială</w:t>
            </w:r>
            <w:r w:rsidRPr="008B2788">
              <w:rPr>
                <w:spacing w:val="-3"/>
              </w:rPr>
              <w:t xml:space="preserve"> </w:t>
            </w:r>
            <w:r w:rsidRPr="008B2788">
              <w:t>a</w:t>
            </w:r>
            <w:r w:rsidRPr="008B2788">
              <w:rPr>
                <w:spacing w:val="-1"/>
              </w:rPr>
              <w:t xml:space="preserve"> </w:t>
            </w:r>
            <w:r w:rsidRPr="008B2788">
              <w:t>Ministerului</w:t>
            </w:r>
            <w:r w:rsidRPr="008B2788">
              <w:rPr>
                <w:spacing w:val="-2"/>
              </w:rPr>
              <w:t xml:space="preserve"> </w:t>
            </w:r>
            <w:r w:rsidRPr="008B2788">
              <w:t>Mediului și</w:t>
            </w:r>
            <w:r w:rsidRPr="008B2788">
              <w:rPr>
                <w:spacing w:val="-2"/>
              </w:rPr>
              <w:t xml:space="preserve"> </w:t>
            </w:r>
            <w:r w:rsidRPr="008B2788">
              <w:t xml:space="preserve">pe platforma guvernamentală </w:t>
            </w:r>
            <w:hyperlink r:id="rId26" w:history="1">
              <w:r w:rsidR="00022E27" w:rsidRPr="00996269">
                <w:rPr>
                  <w:rStyle w:val="Hyperlink"/>
                </w:rPr>
                <w:t>www.particip.gov.md,</w:t>
              </w:r>
            </w:hyperlink>
            <w:r w:rsidRPr="008B2788">
              <w:t xml:space="preserve"> pentru consultări și dezbateri publice.</w:t>
            </w:r>
          </w:p>
          <w:p w14:paraId="1BECABA3" w14:textId="77777777" w:rsidR="000164BF" w:rsidRPr="008B2788" w:rsidRDefault="000164BF" w:rsidP="008B2788">
            <w:pPr>
              <w:pStyle w:val="TableParagraph"/>
              <w:tabs>
                <w:tab w:val="left" w:pos="375"/>
                <w:tab w:val="left" w:pos="413"/>
                <w:tab w:val="left" w:pos="554"/>
                <w:tab w:val="left" w:pos="980"/>
              </w:tabs>
              <w:ind w:right="95"/>
            </w:pPr>
          </w:p>
          <w:p w14:paraId="56FE27FB" w14:textId="5B95C67E" w:rsidR="00C45531" w:rsidRPr="008B2788" w:rsidRDefault="00000000" w:rsidP="008B2788">
            <w:pPr>
              <w:pStyle w:val="TableParagraph"/>
              <w:tabs>
                <w:tab w:val="left" w:pos="375"/>
                <w:tab w:val="left" w:pos="413"/>
                <w:tab w:val="left" w:pos="554"/>
                <w:tab w:val="left" w:pos="980"/>
              </w:tabs>
              <w:ind w:right="95"/>
            </w:pPr>
            <w:r w:rsidRPr="008B2788">
              <w:t>Întru respectarea procedurilor stabilite de Legea nr. 100/2017 cu privire la actele normative, proiectul</w:t>
            </w:r>
            <w:r w:rsidRPr="008B2788">
              <w:rPr>
                <w:spacing w:val="-1"/>
              </w:rPr>
              <w:t xml:space="preserve"> </w:t>
            </w:r>
            <w:r w:rsidRPr="008B2788">
              <w:t>urmează</w:t>
            </w:r>
            <w:r w:rsidRPr="008B2788">
              <w:rPr>
                <w:spacing w:val="-2"/>
              </w:rPr>
              <w:t xml:space="preserve"> </w:t>
            </w:r>
            <w:r w:rsidRPr="008B2788">
              <w:t>a</w:t>
            </w:r>
            <w:r w:rsidRPr="008B2788">
              <w:rPr>
                <w:spacing w:val="-2"/>
              </w:rPr>
              <w:t xml:space="preserve"> </w:t>
            </w:r>
            <w:r w:rsidRPr="008B2788">
              <w:t>fi înregistrat</w:t>
            </w:r>
            <w:r w:rsidRPr="008B2788">
              <w:rPr>
                <w:spacing w:val="-1"/>
              </w:rPr>
              <w:t xml:space="preserve"> </w:t>
            </w:r>
            <w:r w:rsidRPr="008B2788">
              <w:t>la Cancelaria</w:t>
            </w:r>
            <w:r w:rsidRPr="008B2788">
              <w:rPr>
                <w:spacing w:val="-2"/>
              </w:rPr>
              <w:t xml:space="preserve"> </w:t>
            </w:r>
            <w:r w:rsidRPr="008B2788">
              <w:t>de</w:t>
            </w:r>
            <w:r w:rsidRPr="008B2788">
              <w:rPr>
                <w:spacing w:val="-2"/>
              </w:rPr>
              <w:t xml:space="preserve"> </w:t>
            </w:r>
            <w:r w:rsidRPr="008B2788">
              <w:t>Stat și</w:t>
            </w:r>
            <w:r w:rsidRPr="008B2788">
              <w:rPr>
                <w:spacing w:val="-1"/>
              </w:rPr>
              <w:t xml:space="preserve"> </w:t>
            </w:r>
            <w:r w:rsidRPr="008B2788">
              <w:t>supus</w:t>
            </w:r>
            <w:r w:rsidRPr="008B2788">
              <w:rPr>
                <w:spacing w:val="-1"/>
              </w:rPr>
              <w:t xml:space="preserve"> </w:t>
            </w:r>
            <w:r w:rsidRPr="008B2788">
              <w:t>procedurii</w:t>
            </w:r>
            <w:r w:rsidRPr="008B2788">
              <w:rPr>
                <w:spacing w:val="-1"/>
              </w:rPr>
              <w:t xml:space="preserve"> </w:t>
            </w:r>
            <w:r w:rsidRPr="008B2788">
              <w:t>de</w:t>
            </w:r>
            <w:r w:rsidRPr="008B2788">
              <w:rPr>
                <w:spacing w:val="-2"/>
              </w:rPr>
              <w:t xml:space="preserve"> </w:t>
            </w:r>
            <w:r w:rsidRPr="008B2788">
              <w:t>avizare cu</w:t>
            </w:r>
            <w:r w:rsidRPr="008B2788">
              <w:rPr>
                <w:spacing w:val="-2"/>
              </w:rPr>
              <w:t xml:space="preserve"> </w:t>
            </w:r>
            <w:r w:rsidRPr="008B2788">
              <w:t>toate</w:t>
            </w:r>
            <w:r w:rsidRPr="008B2788">
              <w:rPr>
                <w:spacing w:val="-2"/>
              </w:rPr>
              <w:t xml:space="preserve"> </w:t>
            </w:r>
            <w:r w:rsidRPr="008B2788">
              <w:t>instituțiile interesate în domeniu:</w:t>
            </w:r>
          </w:p>
          <w:p w14:paraId="6F50BAAC" w14:textId="77777777" w:rsidR="00C45531" w:rsidRPr="004277D9" w:rsidRDefault="00000000" w:rsidP="008B2788">
            <w:pPr>
              <w:pStyle w:val="TableParagraph"/>
              <w:numPr>
                <w:ilvl w:val="0"/>
                <w:numId w:val="21"/>
              </w:numPr>
              <w:tabs>
                <w:tab w:val="left" w:pos="375"/>
                <w:tab w:val="left" w:pos="413"/>
                <w:tab w:val="left" w:pos="554"/>
                <w:tab w:val="left" w:pos="833"/>
                <w:tab w:val="left" w:pos="980"/>
              </w:tabs>
            </w:pPr>
            <w:r w:rsidRPr="008B2788">
              <w:t>Cancelaria</w:t>
            </w:r>
            <w:r w:rsidRPr="008B2788">
              <w:rPr>
                <w:spacing w:val="-4"/>
              </w:rPr>
              <w:t xml:space="preserve"> </w:t>
            </w:r>
            <w:r w:rsidRPr="008B2788">
              <w:t>de</w:t>
            </w:r>
            <w:r w:rsidRPr="008B2788">
              <w:rPr>
                <w:spacing w:val="-2"/>
              </w:rPr>
              <w:t xml:space="preserve"> </w:t>
            </w:r>
            <w:r w:rsidRPr="008B2788">
              <w:rPr>
                <w:spacing w:val="-4"/>
              </w:rPr>
              <w:t>Stat;</w:t>
            </w:r>
          </w:p>
          <w:p w14:paraId="337CB5A8" w14:textId="77CF83DD" w:rsidR="004277D9" w:rsidRPr="008B2788" w:rsidRDefault="004277D9" w:rsidP="008B2788">
            <w:pPr>
              <w:pStyle w:val="TableParagraph"/>
              <w:numPr>
                <w:ilvl w:val="0"/>
                <w:numId w:val="21"/>
              </w:numPr>
              <w:tabs>
                <w:tab w:val="left" w:pos="375"/>
                <w:tab w:val="left" w:pos="413"/>
                <w:tab w:val="left" w:pos="554"/>
                <w:tab w:val="left" w:pos="833"/>
                <w:tab w:val="left" w:pos="980"/>
              </w:tabs>
            </w:pPr>
            <w:r>
              <w:rPr>
                <w:spacing w:val="-4"/>
              </w:rPr>
              <w:t>Ministerul Justiției;</w:t>
            </w:r>
          </w:p>
          <w:p w14:paraId="7CBA47AF" w14:textId="75541304" w:rsidR="00C45531" w:rsidRPr="008B2788" w:rsidRDefault="00000000" w:rsidP="004277D9">
            <w:pPr>
              <w:pStyle w:val="TableParagraph"/>
              <w:numPr>
                <w:ilvl w:val="0"/>
                <w:numId w:val="21"/>
              </w:numPr>
              <w:tabs>
                <w:tab w:val="left" w:pos="375"/>
                <w:tab w:val="left" w:pos="413"/>
                <w:tab w:val="left" w:pos="554"/>
                <w:tab w:val="left" w:pos="833"/>
                <w:tab w:val="left" w:pos="980"/>
              </w:tabs>
            </w:pPr>
            <w:r w:rsidRPr="008B2788">
              <w:t>Ministerul</w:t>
            </w:r>
            <w:r w:rsidRPr="008B2788">
              <w:rPr>
                <w:spacing w:val="-3"/>
              </w:rPr>
              <w:t xml:space="preserve"> </w:t>
            </w:r>
            <w:r w:rsidRPr="008B2788">
              <w:rPr>
                <w:spacing w:val="-2"/>
              </w:rPr>
              <w:t>Finanțelor;</w:t>
            </w:r>
          </w:p>
          <w:p w14:paraId="161E720A" w14:textId="7B82565F" w:rsidR="00654F89" w:rsidRPr="008B2788" w:rsidRDefault="00000000" w:rsidP="004277D9">
            <w:pPr>
              <w:pStyle w:val="TableParagraph"/>
              <w:numPr>
                <w:ilvl w:val="0"/>
                <w:numId w:val="21"/>
              </w:numPr>
              <w:tabs>
                <w:tab w:val="left" w:pos="375"/>
                <w:tab w:val="left" w:pos="413"/>
                <w:tab w:val="left" w:pos="554"/>
                <w:tab w:val="left" w:pos="833"/>
                <w:tab w:val="left" w:pos="980"/>
              </w:tabs>
            </w:pPr>
            <w:r w:rsidRPr="008B2788">
              <w:t>Mini</w:t>
            </w:r>
            <w:r w:rsidR="004277D9">
              <w:t>sterul Sănătății;</w:t>
            </w:r>
          </w:p>
          <w:p w14:paraId="0CE2EDC4" w14:textId="77777777" w:rsidR="004277D9" w:rsidRPr="004277D9" w:rsidRDefault="00000000" w:rsidP="008B2788">
            <w:pPr>
              <w:pStyle w:val="TableParagraph"/>
              <w:numPr>
                <w:ilvl w:val="0"/>
                <w:numId w:val="21"/>
              </w:numPr>
              <w:tabs>
                <w:tab w:val="left" w:pos="375"/>
                <w:tab w:val="left" w:pos="413"/>
                <w:tab w:val="left" w:pos="554"/>
                <w:tab w:val="left" w:pos="833"/>
                <w:tab w:val="left" w:pos="980"/>
              </w:tabs>
            </w:pPr>
            <w:r w:rsidRPr="008B2788">
              <w:t>Ministerul</w:t>
            </w:r>
            <w:r w:rsidRPr="008B2788">
              <w:rPr>
                <w:spacing w:val="-6"/>
              </w:rPr>
              <w:t xml:space="preserve"> </w:t>
            </w:r>
            <w:r w:rsidRPr="008B2788">
              <w:t>Infrastructurii</w:t>
            </w:r>
            <w:r w:rsidRPr="008B2788">
              <w:rPr>
                <w:spacing w:val="-9"/>
              </w:rPr>
              <w:t xml:space="preserve"> </w:t>
            </w:r>
            <w:r w:rsidRPr="008B2788">
              <w:t>și</w:t>
            </w:r>
            <w:r w:rsidRPr="008B2788">
              <w:rPr>
                <w:spacing w:val="-6"/>
              </w:rPr>
              <w:t xml:space="preserve"> </w:t>
            </w:r>
            <w:r w:rsidRPr="008B2788">
              <w:t>Dezvoltării</w:t>
            </w:r>
            <w:r w:rsidRPr="008B2788">
              <w:rPr>
                <w:spacing w:val="-6"/>
              </w:rPr>
              <w:t xml:space="preserve"> </w:t>
            </w:r>
            <w:r w:rsidRPr="008B2788">
              <w:rPr>
                <w:spacing w:val="-2"/>
              </w:rPr>
              <w:t>Regionale</w:t>
            </w:r>
            <w:r w:rsidR="004277D9">
              <w:rPr>
                <w:spacing w:val="-2"/>
              </w:rPr>
              <w:t>;</w:t>
            </w:r>
          </w:p>
          <w:p w14:paraId="2EE6C3F7" w14:textId="65F8A6A1" w:rsidR="000505E1" w:rsidRPr="004277D9" w:rsidRDefault="004277D9" w:rsidP="008B2788">
            <w:pPr>
              <w:pStyle w:val="TableParagraph"/>
              <w:numPr>
                <w:ilvl w:val="0"/>
                <w:numId w:val="21"/>
              </w:numPr>
              <w:tabs>
                <w:tab w:val="left" w:pos="375"/>
                <w:tab w:val="left" w:pos="413"/>
                <w:tab w:val="left" w:pos="554"/>
                <w:tab w:val="left" w:pos="833"/>
                <w:tab w:val="left" w:pos="980"/>
              </w:tabs>
            </w:pPr>
            <w:r w:rsidRPr="004277D9">
              <w:rPr>
                <w:spacing w:val="-2"/>
              </w:rPr>
              <w:t>Ministerul Agriculturii și Industriei Alimentare</w:t>
            </w:r>
            <w:r>
              <w:rPr>
                <w:spacing w:val="-2"/>
              </w:rPr>
              <w:t>;</w:t>
            </w:r>
          </w:p>
          <w:p w14:paraId="30E5F38F" w14:textId="77777777" w:rsidR="004277D9" w:rsidRDefault="004277D9" w:rsidP="008B2788">
            <w:pPr>
              <w:pStyle w:val="TableParagraph"/>
              <w:numPr>
                <w:ilvl w:val="0"/>
                <w:numId w:val="21"/>
              </w:numPr>
              <w:tabs>
                <w:tab w:val="left" w:pos="375"/>
                <w:tab w:val="left" w:pos="413"/>
                <w:tab w:val="left" w:pos="554"/>
                <w:tab w:val="left" w:pos="833"/>
                <w:tab w:val="left" w:pos="980"/>
              </w:tabs>
            </w:pPr>
            <w:r>
              <w:t xml:space="preserve">Agenția de Mediu; </w:t>
            </w:r>
          </w:p>
          <w:p w14:paraId="56D068B9" w14:textId="676157F7" w:rsidR="004277D9" w:rsidRPr="008B2788" w:rsidRDefault="004277D9" w:rsidP="008B2788">
            <w:pPr>
              <w:pStyle w:val="TableParagraph"/>
              <w:numPr>
                <w:ilvl w:val="0"/>
                <w:numId w:val="21"/>
              </w:numPr>
              <w:tabs>
                <w:tab w:val="left" w:pos="375"/>
                <w:tab w:val="left" w:pos="413"/>
                <w:tab w:val="left" w:pos="554"/>
                <w:tab w:val="left" w:pos="833"/>
                <w:tab w:val="left" w:pos="980"/>
              </w:tabs>
            </w:pPr>
            <w:r>
              <w:t>Inspectoratul pentru Protecția Mediului</w:t>
            </w:r>
            <w:r w:rsidR="0068779E">
              <w:t>.</w:t>
            </w:r>
          </w:p>
        </w:tc>
      </w:tr>
      <w:tr w:rsidR="00C45531" w:rsidRPr="008B2788" w14:paraId="5E457C93" w14:textId="77777777" w:rsidTr="0080657E">
        <w:trPr>
          <w:trHeight w:val="20"/>
        </w:trPr>
        <w:tc>
          <w:tcPr>
            <w:tcW w:w="10170" w:type="dxa"/>
            <w:shd w:val="clear" w:color="auto" w:fill="D1D1D1"/>
          </w:tcPr>
          <w:p w14:paraId="1CB170EA" w14:textId="77777777" w:rsidR="00C45531" w:rsidRPr="008B2788" w:rsidRDefault="00000000" w:rsidP="008B2788">
            <w:pPr>
              <w:pStyle w:val="TableParagraph"/>
              <w:jc w:val="left"/>
              <w:rPr>
                <w:b/>
              </w:rPr>
            </w:pPr>
            <w:r w:rsidRPr="008B2788">
              <w:rPr>
                <w:b/>
              </w:rPr>
              <w:t>7.</w:t>
            </w:r>
            <w:r w:rsidRPr="008B2788">
              <w:rPr>
                <w:b/>
                <w:spacing w:val="-4"/>
              </w:rPr>
              <w:t xml:space="preserve"> </w:t>
            </w:r>
            <w:r w:rsidRPr="008B2788">
              <w:rPr>
                <w:b/>
              </w:rPr>
              <w:t>Concluziile</w:t>
            </w:r>
            <w:r w:rsidRPr="008B2788">
              <w:rPr>
                <w:b/>
                <w:spacing w:val="-5"/>
              </w:rPr>
              <w:t xml:space="preserve"> </w:t>
            </w:r>
            <w:r w:rsidRPr="008B2788">
              <w:rPr>
                <w:b/>
                <w:spacing w:val="-2"/>
              </w:rPr>
              <w:t>expertizelor</w:t>
            </w:r>
          </w:p>
        </w:tc>
      </w:tr>
      <w:tr w:rsidR="00C45531" w:rsidRPr="008B2788" w14:paraId="7B953A6C" w14:textId="77777777" w:rsidTr="0080657E">
        <w:trPr>
          <w:trHeight w:val="20"/>
        </w:trPr>
        <w:tc>
          <w:tcPr>
            <w:tcW w:w="10170" w:type="dxa"/>
          </w:tcPr>
          <w:p w14:paraId="2AC8FCC1" w14:textId="4D0F366D" w:rsidR="00C45531" w:rsidRPr="008B2788" w:rsidRDefault="00EA3840" w:rsidP="008B2788">
            <w:pPr>
              <w:pStyle w:val="TableParagraph"/>
              <w:ind w:left="129"/>
              <w:jc w:val="left"/>
            </w:pPr>
            <w:r w:rsidRPr="008B2788">
              <w:t xml:space="preserve">          </w:t>
            </w:r>
            <w:r w:rsidR="004277D9" w:rsidRPr="004277D9">
              <w:t xml:space="preserve">În condițiile art. 36 și 37 din Legea nr.100/2017 cu privire la actele normative, după avizare, proiectul va fi supus expertizei anticorupție și expertizei juridice. </w:t>
            </w:r>
          </w:p>
        </w:tc>
      </w:tr>
      <w:tr w:rsidR="00C45531" w:rsidRPr="008B2788" w14:paraId="424127C9" w14:textId="77777777" w:rsidTr="0080657E">
        <w:trPr>
          <w:trHeight w:val="20"/>
        </w:trPr>
        <w:tc>
          <w:tcPr>
            <w:tcW w:w="10170" w:type="dxa"/>
            <w:shd w:val="clear" w:color="auto" w:fill="D1D1D1"/>
          </w:tcPr>
          <w:p w14:paraId="26EF37EC" w14:textId="77777777" w:rsidR="00C45531" w:rsidRPr="008B2788" w:rsidRDefault="00000000" w:rsidP="008B2788">
            <w:pPr>
              <w:pStyle w:val="TableParagraph"/>
              <w:jc w:val="left"/>
              <w:rPr>
                <w:b/>
              </w:rPr>
            </w:pPr>
            <w:r w:rsidRPr="008B2788">
              <w:rPr>
                <w:b/>
              </w:rPr>
              <w:t>8.</w:t>
            </w:r>
            <w:r w:rsidRPr="008B2788">
              <w:rPr>
                <w:b/>
                <w:spacing w:val="-6"/>
              </w:rPr>
              <w:t xml:space="preserve"> </w:t>
            </w:r>
            <w:r w:rsidRPr="008B2788">
              <w:rPr>
                <w:b/>
              </w:rPr>
              <w:t>Modul</w:t>
            </w:r>
            <w:r w:rsidRPr="008B2788">
              <w:rPr>
                <w:b/>
                <w:spacing w:val="-2"/>
              </w:rPr>
              <w:t xml:space="preserve"> </w:t>
            </w:r>
            <w:r w:rsidRPr="008B2788">
              <w:rPr>
                <w:b/>
              </w:rPr>
              <w:t>de</w:t>
            </w:r>
            <w:r w:rsidRPr="008B2788">
              <w:rPr>
                <w:b/>
                <w:spacing w:val="-7"/>
              </w:rPr>
              <w:t xml:space="preserve"> </w:t>
            </w:r>
            <w:r w:rsidRPr="008B2788">
              <w:rPr>
                <w:b/>
              </w:rPr>
              <w:t>încorporare</w:t>
            </w:r>
            <w:r w:rsidRPr="008B2788">
              <w:rPr>
                <w:b/>
                <w:spacing w:val="-5"/>
              </w:rPr>
              <w:t xml:space="preserve"> </w:t>
            </w:r>
            <w:r w:rsidRPr="008B2788">
              <w:rPr>
                <w:b/>
              </w:rPr>
              <w:t>a</w:t>
            </w:r>
            <w:r w:rsidRPr="008B2788">
              <w:rPr>
                <w:b/>
                <w:spacing w:val="-3"/>
              </w:rPr>
              <w:t xml:space="preserve"> </w:t>
            </w:r>
            <w:r w:rsidRPr="008B2788">
              <w:rPr>
                <w:b/>
              </w:rPr>
              <w:t>actului</w:t>
            </w:r>
            <w:r w:rsidRPr="008B2788">
              <w:rPr>
                <w:b/>
                <w:spacing w:val="-5"/>
              </w:rPr>
              <w:t xml:space="preserve"> </w:t>
            </w:r>
            <w:r w:rsidRPr="008B2788">
              <w:rPr>
                <w:b/>
              </w:rPr>
              <w:t>în</w:t>
            </w:r>
            <w:r w:rsidRPr="008B2788">
              <w:rPr>
                <w:b/>
                <w:spacing w:val="-4"/>
              </w:rPr>
              <w:t xml:space="preserve"> </w:t>
            </w:r>
            <w:r w:rsidRPr="008B2788">
              <w:rPr>
                <w:b/>
              </w:rPr>
              <w:t>cadrul</w:t>
            </w:r>
            <w:r w:rsidRPr="008B2788">
              <w:rPr>
                <w:b/>
                <w:spacing w:val="-2"/>
              </w:rPr>
              <w:t xml:space="preserve"> </w:t>
            </w:r>
            <w:r w:rsidRPr="008B2788">
              <w:rPr>
                <w:b/>
              </w:rPr>
              <w:t>normativ</w:t>
            </w:r>
            <w:r w:rsidRPr="008B2788">
              <w:rPr>
                <w:b/>
                <w:spacing w:val="-6"/>
              </w:rPr>
              <w:t xml:space="preserve"> </w:t>
            </w:r>
            <w:r w:rsidRPr="008B2788">
              <w:rPr>
                <w:b/>
                <w:spacing w:val="-2"/>
              </w:rPr>
              <w:t>existent</w:t>
            </w:r>
          </w:p>
        </w:tc>
      </w:tr>
      <w:tr w:rsidR="00C45531" w:rsidRPr="008B2788" w14:paraId="106D390A" w14:textId="77777777" w:rsidTr="0080657E">
        <w:trPr>
          <w:trHeight w:val="20"/>
        </w:trPr>
        <w:tc>
          <w:tcPr>
            <w:tcW w:w="10170" w:type="dxa"/>
          </w:tcPr>
          <w:p w14:paraId="58A015B2" w14:textId="184AE333" w:rsidR="0075353D" w:rsidRPr="008B2788" w:rsidRDefault="00EA3840" w:rsidP="008B2788">
            <w:pPr>
              <w:pStyle w:val="TableParagraph"/>
              <w:ind w:firstLine="22"/>
              <w:jc w:val="left"/>
            </w:pPr>
            <w:r w:rsidRPr="008B2788">
              <w:t xml:space="preserve">         </w:t>
            </w:r>
            <w:r w:rsidR="00A7484B" w:rsidRPr="008B2788">
              <w:t>Proiectul</w:t>
            </w:r>
            <w:r w:rsidR="0075353D" w:rsidRPr="008B2788">
              <w:t xml:space="preserve"> se încadrează armonios în cadrul normativ existent prin</w:t>
            </w:r>
            <w:r w:rsidR="00A7484B" w:rsidRPr="008B2788">
              <w:t xml:space="preserve">  modificare</w:t>
            </w:r>
            <w:r w:rsidR="0075353D" w:rsidRPr="008B2788">
              <w:t xml:space="preserve"> și completare</w:t>
            </w:r>
            <w:r w:rsidR="00A7484B" w:rsidRPr="008B2788">
              <w:t xml:space="preserve">a Legii nr. 209/2016 privind deșeurile </w:t>
            </w:r>
            <w:r w:rsidR="0075353D" w:rsidRPr="008B2788">
              <w:t>, fără a abroga alte acte normative.</w:t>
            </w:r>
          </w:p>
        </w:tc>
      </w:tr>
      <w:tr w:rsidR="00C45531" w:rsidRPr="008B2788" w14:paraId="1C4E9894" w14:textId="77777777" w:rsidTr="0080657E">
        <w:trPr>
          <w:trHeight w:val="20"/>
        </w:trPr>
        <w:tc>
          <w:tcPr>
            <w:tcW w:w="10170" w:type="dxa"/>
            <w:shd w:val="clear" w:color="auto" w:fill="D1D1D1"/>
          </w:tcPr>
          <w:p w14:paraId="4931F346" w14:textId="77777777" w:rsidR="00C45531" w:rsidRPr="008B2788" w:rsidRDefault="00000000" w:rsidP="008B2788">
            <w:pPr>
              <w:pStyle w:val="TableParagraph"/>
              <w:jc w:val="left"/>
              <w:rPr>
                <w:b/>
              </w:rPr>
            </w:pPr>
            <w:r w:rsidRPr="008B2788">
              <w:rPr>
                <w:b/>
              </w:rPr>
              <w:t>9.</w:t>
            </w:r>
            <w:r w:rsidRPr="008B2788">
              <w:rPr>
                <w:b/>
                <w:spacing w:val="-7"/>
              </w:rPr>
              <w:t xml:space="preserve"> </w:t>
            </w:r>
            <w:r w:rsidRPr="008B2788">
              <w:rPr>
                <w:b/>
              </w:rPr>
              <w:t>Măsurile</w:t>
            </w:r>
            <w:r w:rsidRPr="008B2788">
              <w:rPr>
                <w:b/>
                <w:spacing w:val="-6"/>
              </w:rPr>
              <w:t xml:space="preserve"> </w:t>
            </w:r>
            <w:r w:rsidRPr="008B2788">
              <w:rPr>
                <w:b/>
              </w:rPr>
              <w:t>necesare</w:t>
            </w:r>
            <w:r w:rsidRPr="008B2788">
              <w:rPr>
                <w:b/>
                <w:spacing w:val="-6"/>
              </w:rPr>
              <w:t xml:space="preserve"> </w:t>
            </w:r>
            <w:r w:rsidRPr="008B2788">
              <w:rPr>
                <w:b/>
              </w:rPr>
              <w:t>pentru</w:t>
            </w:r>
            <w:r w:rsidRPr="008B2788">
              <w:rPr>
                <w:b/>
                <w:spacing w:val="-6"/>
              </w:rPr>
              <w:t xml:space="preserve"> </w:t>
            </w:r>
            <w:r w:rsidRPr="008B2788">
              <w:rPr>
                <w:b/>
              </w:rPr>
              <w:t>implementarea</w:t>
            </w:r>
            <w:r w:rsidRPr="008B2788">
              <w:rPr>
                <w:b/>
                <w:spacing w:val="-6"/>
              </w:rPr>
              <w:t xml:space="preserve"> </w:t>
            </w:r>
            <w:r w:rsidRPr="008B2788">
              <w:rPr>
                <w:b/>
              </w:rPr>
              <w:t>prevederilor</w:t>
            </w:r>
            <w:r w:rsidRPr="008B2788">
              <w:rPr>
                <w:b/>
                <w:spacing w:val="-6"/>
              </w:rPr>
              <w:t xml:space="preserve"> </w:t>
            </w:r>
            <w:r w:rsidRPr="008B2788">
              <w:rPr>
                <w:b/>
              </w:rPr>
              <w:t>proiectului</w:t>
            </w:r>
            <w:r w:rsidRPr="008B2788">
              <w:rPr>
                <w:b/>
                <w:spacing w:val="-8"/>
              </w:rPr>
              <w:t xml:space="preserve"> </w:t>
            </w:r>
            <w:r w:rsidRPr="008B2788">
              <w:rPr>
                <w:b/>
              </w:rPr>
              <w:t>actului</w:t>
            </w:r>
            <w:r w:rsidRPr="008B2788">
              <w:rPr>
                <w:b/>
                <w:spacing w:val="-7"/>
              </w:rPr>
              <w:t xml:space="preserve"> </w:t>
            </w:r>
            <w:r w:rsidRPr="008B2788">
              <w:rPr>
                <w:b/>
                <w:spacing w:val="-2"/>
              </w:rPr>
              <w:t>normativ</w:t>
            </w:r>
          </w:p>
        </w:tc>
      </w:tr>
      <w:tr w:rsidR="00C45531" w:rsidRPr="008B2788" w14:paraId="67E949FE" w14:textId="77777777" w:rsidTr="0080657E">
        <w:trPr>
          <w:trHeight w:val="20"/>
        </w:trPr>
        <w:tc>
          <w:tcPr>
            <w:tcW w:w="10170" w:type="dxa"/>
            <w:vAlign w:val="center"/>
          </w:tcPr>
          <w:p w14:paraId="499157FC" w14:textId="258C5BB8" w:rsidR="00C45531" w:rsidRPr="008B2788" w:rsidRDefault="00EA3840" w:rsidP="008B2788">
            <w:pPr>
              <w:pStyle w:val="TableParagraph"/>
              <w:tabs>
                <w:tab w:val="left" w:pos="564"/>
              </w:tabs>
              <w:jc w:val="left"/>
            </w:pPr>
            <w:r w:rsidRPr="008B2788">
              <w:t xml:space="preserve">          </w:t>
            </w:r>
            <w:r w:rsidR="00A7484B" w:rsidRPr="008B2788">
              <w:t>Proiectul de lege urmează a fi prezentat Parlamentului spre examinare.</w:t>
            </w:r>
          </w:p>
        </w:tc>
      </w:tr>
    </w:tbl>
    <w:p w14:paraId="7BC8813E" w14:textId="77777777" w:rsidR="00C45531" w:rsidRPr="008B2788" w:rsidRDefault="00C45531" w:rsidP="008B2788">
      <w:pPr>
        <w:rPr>
          <w:b/>
        </w:rPr>
      </w:pPr>
    </w:p>
    <w:p w14:paraId="56131DE9" w14:textId="77777777" w:rsidR="00C45531" w:rsidRPr="008B2788" w:rsidRDefault="00C45531" w:rsidP="008B2788">
      <w:pPr>
        <w:rPr>
          <w:b/>
        </w:rPr>
      </w:pPr>
    </w:p>
    <w:p w14:paraId="622715CF" w14:textId="77777777" w:rsidR="00C45531" w:rsidRDefault="00C45531" w:rsidP="008B2788">
      <w:pPr>
        <w:rPr>
          <w:b/>
        </w:rPr>
      </w:pPr>
    </w:p>
    <w:p w14:paraId="366F4D2F" w14:textId="77777777" w:rsidR="00247E82" w:rsidRPr="008B2788" w:rsidRDefault="00247E82" w:rsidP="008B2788">
      <w:pPr>
        <w:rPr>
          <w:b/>
        </w:rPr>
        <w:sectPr w:rsidR="00247E82" w:rsidRPr="008B2788" w:rsidSect="008B2788">
          <w:type w:val="continuous"/>
          <w:pgSz w:w="11910" w:h="16840"/>
          <w:pgMar w:top="990" w:right="708" w:bottom="280" w:left="1700" w:header="720" w:footer="720" w:gutter="0"/>
          <w:cols w:space="720"/>
        </w:sectPr>
      </w:pPr>
    </w:p>
    <w:p w14:paraId="66F0E03C" w14:textId="77777777" w:rsidR="00C45531" w:rsidRPr="008B2788" w:rsidRDefault="00C45531" w:rsidP="008B2788">
      <w:pPr>
        <w:rPr>
          <w:b/>
        </w:rPr>
      </w:pPr>
    </w:p>
    <w:p w14:paraId="4C5C1775" w14:textId="428AB614" w:rsidR="00A7484B" w:rsidRPr="008B2788" w:rsidRDefault="00A7484B" w:rsidP="008B2788">
      <w:pPr>
        <w:ind w:right="146" w:firstLine="720"/>
        <w:rPr>
          <w:spacing w:val="40"/>
          <w:w w:val="105"/>
        </w:rPr>
      </w:pPr>
      <w:r w:rsidRPr="008B2788">
        <w:rPr>
          <w:b/>
          <w:spacing w:val="-2"/>
        </w:rPr>
        <w:t xml:space="preserve">Secretar de stat                                      </w:t>
      </w:r>
      <w:r w:rsidR="00247E82">
        <w:rPr>
          <w:b/>
          <w:spacing w:val="-2"/>
        </w:rPr>
        <w:t xml:space="preserve">       </w:t>
      </w:r>
      <w:r w:rsidRPr="008B2788">
        <w:rPr>
          <w:b/>
          <w:spacing w:val="-2"/>
        </w:rPr>
        <w:t xml:space="preserve">                     Grigore STRATULAT</w:t>
      </w:r>
    </w:p>
    <w:p w14:paraId="295FD86C" w14:textId="107C8AE8" w:rsidR="00C45531" w:rsidRPr="008B2788" w:rsidRDefault="00247E82" w:rsidP="008B2788">
      <w:pPr>
        <w:ind w:left="1860"/>
      </w:pPr>
      <w:r>
        <w:t xml:space="preserve"> </w:t>
      </w:r>
    </w:p>
    <w:sectPr w:rsidR="00C45531" w:rsidRPr="008B2788" w:rsidSect="008B2788">
      <w:type w:val="continuous"/>
      <w:pgSz w:w="11910" w:h="16840"/>
      <w:pgMar w:top="104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02E8" w14:textId="77777777" w:rsidR="00F73F40" w:rsidRDefault="00F73F40" w:rsidP="005E4D54">
      <w:r>
        <w:separator/>
      </w:r>
    </w:p>
  </w:endnote>
  <w:endnote w:type="continuationSeparator" w:id="0">
    <w:p w14:paraId="07E1BAA2" w14:textId="77777777" w:rsidR="00F73F40" w:rsidRDefault="00F73F40" w:rsidP="005E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7A61" w14:textId="77777777" w:rsidR="00F73F40" w:rsidRDefault="00F73F40" w:rsidP="005E4D54">
      <w:r>
        <w:separator/>
      </w:r>
    </w:p>
  </w:footnote>
  <w:footnote w:type="continuationSeparator" w:id="0">
    <w:p w14:paraId="5F7F91E1" w14:textId="77777777" w:rsidR="00F73F40" w:rsidRDefault="00F73F40" w:rsidP="005E4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C2"/>
    <w:multiLevelType w:val="hybridMultilevel"/>
    <w:tmpl w:val="A656BF4C"/>
    <w:lvl w:ilvl="0" w:tplc="495A5ECE">
      <w:start w:val="1"/>
      <w:numFmt w:val="decimal"/>
      <w:lvlText w:val="%1."/>
      <w:lvlJc w:val="left"/>
      <w:pPr>
        <w:ind w:left="328" w:hanging="221"/>
      </w:pPr>
      <w:rPr>
        <w:rFonts w:ascii="Times New Roman" w:eastAsia="Times New Roman" w:hAnsi="Times New Roman" w:cs="Times New Roman" w:hint="default"/>
        <w:b/>
        <w:bCs/>
        <w:i w:val="0"/>
        <w:iCs w:val="0"/>
        <w:spacing w:val="0"/>
        <w:w w:val="100"/>
        <w:sz w:val="22"/>
        <w:szCs w:val="22"/>
        <w:lang w:val="ro-RO" w:eastAsia="en-US" w:bidi="ar-SA"/>
      </w:rPr>
    </w:lvl>
    <w:lvl w:ilvl="1" w:tplc="72442514">
      <w:numFmt w:val="bullet"/>
      <w:lvlText w:val=""/>
      <w:lvlJc w:val="left"/>
      <w:pPr>
        <w:ind w:left="827" w:hanging="360"/>
      </w:pPr>
      <w:rPr>
        <w:rFonts w:ascii="Symbol" w:eastAsia="Symbol" w:hAnsi="Symbol" w:cs="Symbol" w:hint="default"/>
        <w:b w:val="0"/>
        <w:bCs w:val="0"/>
        <w:i w:val="0"/>
        <w:iCs w:val="0"/>
        <w:spacing w:val="0"/>
        <w:w w:val="99"/>
        <w:sz w:val="20"/>
        <w:szCs w:val="20"/>
        <w:lang w:val="ro-RO" w:eastAsia="en-US" w:bidi="ar-SA"/>
      </w:rPr>
    </w:lvl>
    <w:lvl w:ilvl="2" w:tplc="F0A446D2">
      <w:numFmt w:val="bullet"/>
      <w:lvlText w:val="•"/>
      <w:lvlJc w:val="left"/>
      <w:pPr>
        <w:ind w:left="1766" w:hanging="360"/>
      </w:pPr>
      <w:rPr>
        <w:rFonts w:hint="default"/>
        <w:lang w:val="ro-RO" w:eastAsia="en-US" w:bidi="ar-SA"/>
      </w:rPr>
    </w:lvl>
    <w:lvl w:ilvl="3" w:tplc="367A501E">
      <w:numFmt w:val="bullet"/>
      <w:lvlText w:val="•"/>
      <w:lvlJc w:val="left"/>
      <w:pPr>
        <w:ind w:left="2712" w:hanging="360"/>
      </w:pPr>
      <w:rPr>
        <w:rFonts w:hint="default"/>
        <w:lang w:val="ro-RO" w:eastAsia="en-US" w:bidi="ar-SA"/>
      </w:rPr>
    </w:lvl>
    <w:lvl w:ilvl="4" w:tplc="DFF69A70">
      <w:numFmt w:val="bullet"/>
      <w:lvlText w:val="•"/>
      <w:lvlJc w:val="left"/>
      <w:pPr>
        <w:ind w:left="3659" w:hanging="360"/>
      </w:pPr>
      <w:rPr>
        <w:rFonts w:hint="default"/>
        <w:lang w:val="ro-RO" w:eastAsia="en-US" w:bidi="ar-SA"/>
      </w:rPr>
    </w:lvl>
    <w:lvl w:ilvl="5" w:tplc="3C4CA144">
      <w:numFmt w:val="bullet"/>
      <w:lvlText w:val="•"/>
      <w:lvlJc w:val="left"/>
      <w:pPr>
        <w:ind w:left="4605" w:hanging="360"/>
      </w:pPr>
      <w:rPr>
        <w:rFonts w:hint="default"/>
        <w:lang w:val="ro-RO" w:eastAsia="en-US" w:bidi="ar-SA"/>
      </w:rPr>
    </w:lvl>
    <w:lvl w:ilvl="6" w:tplc="32B24288">
      <w:numFmt w:val="bullet"/>
      <w:lvlText w:val="•"/>
      <w:lvlJc w:val="left"/>
      <w:pPr>
        <w:ind w:left="5552" w:hanging="360"/>
      </w:pPr>
      <w:rPr>
        <w:rFonts w:hint="default"/>
        <w:lang w:val="ro-RO" w:eastAsia="en-US" w:bidi="ar-SA"/>
      </w:rPr>
    </w:lvl>
    <w:lvl w:ilvl="7" w:tplc="BBE6FB5A">
      <w:numFmt w:val="bullet"/>
      <w:lvlText w:val="•"/>
      <w:lvlJc w:val="left"/>
      <w:pPr>
        <w:ind w:left="6498" w:hanging="360"/>
      </w:pPr>
      <w:rPr>
        <w:rFonts w:hint="default"/>
        <w:lang w:val="ro-RO" w:eastAsia="en-US" w:bidi="ar-SA"/>
      </w:rPr>
    </w:lvl>
    <w:lvl w:ilvl="8" w:tplc="40508BE6">
      <w:numFmt w:val="bullet"/>
      <w:lvlText w:val="•"/>
      <w:lvlJc w:val="left"/>
      <w:pPr>
        <w:ind w:left="7445" w:hanging="360"/>
      </w:pPr>
      <w:rPr>
        <w:rFonts w:hint="default"/>
        <w:lang w:val="ro-RO" w:eastAsia="en-US" w:bidi="ar-SA"/>
      </w:rPr>
    </w:lvl>
  </w:abstractNum>
  <w:abstractNum w:abstractNumId="1" w15:restartNumberingAfterBreak="0">
    <w:nsid w:val="04E16DFD"/>
    <w:multiLevelType w:val="hybridMultilevel"/>
    <w:tmpl w:val="8B4A36C4"/>
    <w:lvl w:ilvl="0" w:tplc="486E38B2">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35F15"/>
    <w:multiLevelType w:val="multilevel"/>
    <w:tmpl w:val="EDE6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87D12"/>
    <w:multiLevelType w:val="hybridMultilevel"/>
    <w:tmpl w:val="CA7A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BA4"/>
    <w:multiLevelType w:val="hybridMultilevel"/>
    <w:tmpl w:val="DA1E2A14"/>
    <w:lvl w:ilvl="0" w:tplc="BA26C3F0">
      <w:start w:val="1"/>
      <w:numFmt w:val="decimal"/>
      <w:lvlText w:val="%1."/>
      <w:lvlJc w:val="left"/>
      <w:pPr>
        <w:ind w:left="928" w:hanging="221"/>
      </w:pPr>
      <w:rPr>
        <w:rFonts w:ascii="Times New Roman" w:eastAsia="Times New Roman" w:hAnsi="Times New Roman" w:cs="Times New Roman" w:hint="default"/>
        <w:b/>
        <w:bCs/>
        <w:i/>
        <w:iCs/>
        <w:spacing w:val="0"/>
        <w:w w:val="100"/>
        <w:sz w:val="22"/>
        <w:szCs w:val="22"/>
        <w:lang w:val="ro-RO" w:eastAsia="en-US" w:bidi="ar-SA"/>
      </w:rPr>
    </w:lvl>
    <w:lvl w:ilvl="1" w:tplc="4886B972">
      <w:numFmt w:val="bullet"/>
      <w:lvlText w:val="•"/>
      <w:lvlJc w:val="left"/>
      <w:pPr>
        <w:ind w:left="1761" w:hanging="221"/>
      </w:pPr>
      <w:rPr>
        <w:rFonts w:hint="default"/>
        <w:lang w:val="ro-RO" w:eastAsia="en-US" w:bidi="ar-SA"/>
      </w:rPr>
    </w:lvl>
    <w:lvl w:ilvl="2" w:tplc="0168390C">
      <w:numFmt w:val="bullet"/>
      <w:lvlText w:val="•"/>
      <w:lvlJc w:val="left"/>
      <w:pPr>
        <w:ind w:left="2603" w:hanging="221"/>
      </w:pPr>
      <w:rPr>
        <w:rFonts w:hint="default"/>
        <w:lang w:val="ro-RO" w:eastAsia="en-US" w:bidi="ar-SA"/>
      </w:rPr>
    </w:lvl>
    <w:lvl w:ilvl="3" w:tplc="065C5DC0">
      <w:numFmt w:val="bullet"/>
      <w:lvlText w:val="•"/>
      <w:lvlJc w:val="left"/>
      <w:pPr>
        <w:ind w:left="3445" w:hanging="221"/>
      </w:pPr>
      <w:rPr>
        <w:rFonts w:hint="default"/>
        <w:lang w:val="ro-RO" w:eastAsia="en-US" w:bidi="ar-SA"/>
      </w:rPr>
    </w:lvl>
    <w:lvl w:ilvl="4" w:tplc="FE164A06">
      <w:numFmt w:val="bullet"/>
      <w:lvlText w:val="•"/>
      <w:lvlJc w:val="left"/>
      <w:pPr>
        <w:ind w:left="4287" w:hanging="221"/>
      </w:pPr>
      <w:rPr>
        <w:rFonts w:hint="default"/>
        <w:lang w:val="ro-RO" w:eastAsia="en-US" w:bidi="ar-SA"/>
      </w:rPr>
    </w:lvl>
    <w:lvl w:ilvl="5" w:tplc="473652CC">
      <w:numFmt w:val="bullet"/>
      <w:lvlText w:val="•"/>
      <w:lvlJc w:val="left"/>
      <w:pPr>
        <w:ind w:left="5129" w:hanging="221"/>
      </w:pPr>
      <w:rPr>
        <w:rFonts w:hint="default"/>
        <w:lang w:val="ro-RO" w:eastAsia="en-US" w:bidi="ar-SA"/>
      </w:rPr>
    </w:lvl>
    <w:lvl w:ilvl="6" w:tplc="C34E36F8">
      <w:numFmt w:val="bullet"/>
      <w:lvlText w:val="•"/>
      <w:lvlJc w:val="left"/>
      <w:pPr>
        <w:ind w:left="5970" w:hanging="221"/>
      </w:pPr>
      <w:rPr>
        <w:rFonts w:hint="default"/>
        <w:lang w:val="ro-RO" w:eastAsia="en-US" w:bidi="ar-SA"/>
      </w:rPr>
    </w:lvl>
    <w:lvl w:ilvl="7" w:tplc="48F0B322">
      <w:numFmt w:val="bullet"/>
      <w:lvlText w:val="•"/>
      <w:lvlJc w:val="left"/>
      <w:pPr>
        <w:ind w:left="6812" w:hanging="221"/>
      </w:pPr>
      <w:rPr>
        <w:rFonts w:hint="default"/>
        <w:lang w:val="ro-RO" w:eastAsia="en-US" w:bidi="ar-SA"/>
      </w:rPr>
    </w:lvl>
    <w:lvl w:ilvl="8" w:tplc="9AD8D4E6">
      <w:numFmt w:val="bullet"/>
      <w:lvlText w:val="•"/>
      <w:lvlJc w:val="left"/>
      <w:pPr>
        <w:ind w:left="7654" w:hanging="221"/>
      </w:pPr>
      <w:rPr>
        <w:rFonts w:hint="default"/>
        <w:lang w:val="ro-RO" w:eastAsia="en-US" w:bidi="ar-SA"/>
      </w:rPr>
    </w:lvl>
  </w:abstractNum>
  <w:abstractNum w:abstractNumId="5" w15:restartNumberingAfterBreak="0">
    <w:nsid w:val="29333B72"/>
    <w:multiLevelType w:val="hybridMultilevel"/>
    <w:tmpl w:val="77C4FD3C"/>
    <w:lvl w:ilvl="0" w:tplc="14C29BC6">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6" w15:restartNumberingAfterBreak="0">
    <w:nsid w:val="2F2D08AB"/>
    <w:multiLevelType w:val="hybridMultilevel"/>
    <w:tmpl w:val="863AD070"/>
    <w:lvl w:ilvl="0" w:tplc="06EAB900">
      <w:numFmt w:val="bullet"/>
      <w:lvlText w:val="-"/>
      <w:lvlJc w:val="left"/>
      <w:pPr>
        <w:ind w:left="834"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EC1A1F66">
      <w:numFmt w:val="bullet"/>
      <w:lvlText w:val="•"/>
      <w:lvlJc w:val="left"/>
      <w:pPr>
        <w:ind w:left="1689" w:hanging="128"/>
      </w:pPr>
      <w:rPr>
        <w:rFonts w:hint="default"/>
        <w:lang w:val="ro-RO" w:eastAsia="en-US" w:bidi="ar-SA"/>
      </w:rPr>
    </w:lvl>
    <w:lvl w:ilvl="2" w:tplc="F1167E92">
      <w:numFmt w:val="bullet"/>
      <w:lvlText w:val="•"/>
      <w:lvlJc w:val="left"/>
      <w:pPr>
        <w:ind w:left="2539" w:hanging="128"/>
      </w:pPr>
      <w:rPr>
        <w:rFonts w:hint="default"/>
        <w:lang w:val="ro-RO" w:eastAsia="en-US" w:bidi="ar-SA"/>
      </w:rPr>
    </w:lvl>
    <w:lvl w:ilvl="3" w:tplc="2DCAE398">
      <w:numFmt w:val="bullet"/>
      <w:lvlText w:val="•"/>
      <w:lvlJc w:val="left"/>
      <w:pPr>
        <w:ind w:left="3389" w:hanging="128"/>
      </w:pPr>
      <w:rPr>
        <w:rFonts w:hint="default"/>
        <w:lang w:val="ro-RO" w:eastAsia="en-US" w:bidi="ar-SA"/>
      </w:rPr>
    </w:lvl>
    <w:lvl w:ilvl="4" w:tplc="D9D439F0">
      <w:numFmt w:val="bullet"/>
      <w:lvlText w:val="•"/>
      <w:lvlJc w:val="left"/>
      <w:pPr>
        <w:ind w:left="4239" w:hanging="128"/>
      </w:pPr>
      <w:rPr>
        <w:rFonts w:hint="default"/>
        <w:lang w:val="ro-RO" w:eastAsia="en-US" w:bidi="ar-SA"/>
      </w:rPr>
    </w:lvl>
    <w:lvl w:ilvl="5" w:tplc="1246717A">
      <w:numFmt w:val="bullet"/>
      <w:lvlText w:val="•"/>
      <w:lvlJc w:val="left"/>
      <w:pPr>
        <w:ind w:left="5089" w:hanging="128"/>
      </w:pPr>
      <w:rPr>
        <w:rFonts w:hint="default"/>
        <w:lang w:val="ro-RO" w:eastAsia="en-US" w:bidi="ar-SA"/>
      </w:rPr>
    </w:lvl>
    <w:lvl w:ilvl="6" w:tplc="BBD44A78">
      <w:numFmt w:val="bullet"/>
      <w:lvlText w:val="•"/>
      <w:lvlJc w:val="left"/>
      <w:pPr>
        <w:ind w:left="5938" w:hanging="128"/>
      </w:pPr>
      <w:rPr>
        <w:rFonts w:hint="default"/>
        <w:lang w:val="ro-RO" w:eastAsia="en-US" w:bidi="ar-SA"/>
      </w:rPr>
    </w:lvl>
    <w:lvl w:ilvl="7" w:tplc="6E18EB7C">
      <w:numFmt w:val="bullet"/>
      <w:lvlText w:val="•"/>
      <w:lvlJc w:val="left"/>
      <w:pPr>
        <w:ind w:left="6788" w:hanging="128"/>
      </w:pPr>
      <w:rPr>
        <w:rFonts w:hint="default"/>
        <w:lang w:val="ro-RO" w:eastAsia="en-US" w:bidi="ar-SA"/>
      </w:rPr>
    </w:lvl>
    <w:lvl w:ilvl="8" w:tplc="76F4092E">
      <w:numFmt w:val="bullet"/>
      <w:lvlText w:val="•"/>
      <w:lvlJc w:val="left"/>
      <w:pPr>
        <w:ind w:left="7638" w:hanging="128"/>
      </w:pPr>
      <w:rPr>
        <w:rFonts w:hint="default"/>
        <w:lang w:val="ro-RO" w:eastAsia="en-US" w:bidi="ar-SA"/>
      </w:rPr>
    </w:lvl>
  </w:abstractNum>
  <w:abstractNum w:abstractNumId="7" w15:restartNumberingAfterBreak="0">
    <w:nsid w:val="2F796D21"/>
    <w:multiLevelType w:val="hybridMultilevel"/>
    <w:tmpl w:val="1422D1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36B29F9"/>
    <w:multiLevelType w:val="hybridMultilevel"/>
    <w:tmpl w:val="E926ECEA"/>
    <w:lvl w:ilvl="0" w:tplc="69C660FA">
      <w:start w:val="2"/>
      <w:numFmt w:val="decimal"/>
      <w:lvlText w:val="%1."/>
      <w:lvlJc w:val="left"/>
      <w:pPr>
        <w:ind w:left="328" w:hanging="221"/>
      </w:pPr>
      <w:rPr>
        <w:rFonts w:ascii="Times New Roman" w:eastAsia="Times New Roman" w:hAnsi="Times New Roman" w:cs="Times New Roman" w:hint="default"/>
        <w:b/>
        <w:bCs/>
        <w:i w:val="0"/>
        <w:iCs w:val="0"/>
        <w:spacing w:val="0"/>
        <w:w w:val="100"/>
        <w:sz w:val="22"/>
        <w:szCs w:val="22"/>
        <w:lang w:val="ro-RO" w:eastAsia="en-US" w:bidi="ar-SA"/>
      </w:rPr>
    </w:lvl>
    <w:lvl w:ilvl="1" w:tplc="C92AC95E">
      <w:numFmt w:val="bullet"/>
      <w:lvlText w:val=""/>
      <w:lvlJc w:val="left"/>
      <w:pPr>
        <w:ind w:left="827" w:hanging="360"/>
      </w:pPr>
      <w:rPr>
        <w:rFonts w:ascii="Symbol" w:eastAsia="Symbol" w:hAnsi="Symbol" w:cs="Symbol" w:hint="default"/>
        <w:b w:val="0"/>
        <w:bCs w:val="0"/>
        <w:i w:val="0"/>
        <w:iCs w:val="0"/>
        <w:spacing w:val="0"/>
        <w:w w:val="99"/>
        <w:sz w:val="20"/>
        <w:szCs w:val="20"/>
        <w:lang w:val="ro-RO" w:eastAsia="en-US" w:bidi="ar-SA"/>
      </w:rPr>
    </w:lvl>
    <w:lvl w:ilvl="2" w:tplc="CA7E01F0">
      <w:numFmt w:val="bullet"/>
      <w:lvlText w:val="•"/>
      <w:lvlJc w:val="left"/>
      <w:pPr>
        <w:ind w:left="1766" w:hanging="360"/>
      </w:pPr>
      <w:rPr>
        <w:rFonts w:hint="default"/>
        <w:lang w:val="ro-RO" w:eastAsia="en-US" w:bidi="ar-SA"/>
      </w:rPr>
    </w:lvl>
    <w:lvl w:ilvl="3" w:tplc="9A1219CE">
      <w:numFmt w:val="bullet"/>
      <w:lvlText w:val="•"/>
      <w:lvlJc w:val="left"/>
      <w:pPr>
        <w:ind w:left="2712" w:hanging="360"/>
      </w:pPr>
      <w:rPr>
        <w:rFonts w:hint="default"/>
        <w:lang w:val="ro-RO" w:eastAsia="en-US" w:bidi="ar-SA"/>
      </w:rPr>
    </w:lvl>
    <w:lvl w:ilvl="4" w:tplc="67CC73F4">
      <w:numFmt w:val="bullet"/>
      <w:lvlText w:val="•"/>
      <w:lvlJc w:val="left"/>
      <w:pPr>
        <w:ind w:left="3659" w:hanging="360"/>
      </w:pPr>
      <w:rPr>
        <w:rFonts w:hint="default"/>
        <w:lang w:val="ro-RO" w:eastAsia="en-US" w:bidi="ar-SA"/>
      </w:rPr>
    </w:lvl>
    <w:lvl w:ilvl="5" w:tplc="B2388532">
      <w:numFmt w:val="bullet"/>
      <w:lvlText w:val="•"/>
      <w:lvlJc w:val="left"/>
      <w:pPr>
        <w:ind w:left="4605" w:hanging="360"/>
      </w:pPr>
      <w:rPr>
        <w:rFonts w:hint="default"/>
        <w:lang w:val="ro-RO" w:eastAsia="en-US" w:bidi="ar-SA"/>
      </w:rPr>
    </w:lvl>
    <w:lvl w:ilvl="6" w:tplc="50C2A48E">
      <w:numFmt w:val="bullet"/>
      <w:lvlText w:val="•"/>
      <w:lvlJc w:val="left"/>
      <w:pPr>
        <w:ind w:left="5552" w:hanging="360"/>
      </w:pPr>
      <w:rPr>
        <w:rFonts w:hint="default"/>
        <w:lang w:val="ro-RO" w:eastAsia="en-US" w:bidi="ar-SA"/>
      </w:rPr>
    </w:lvl>
    <w:lvl w:ilvl="7" w:tplc="53BCBEEA">
      <w:numFmt w:val="bullet"/>
      <w:lvlText w:val="•"/>
      <w:lvlJc w:val="left"/>
      <w:pPr>
        <w:ind w:left="6498" w:hanging="360"/>
      </w:pPr>
      <w:rPr>
        <w:rFonts w:hint="default"/>
        <w:lang w:val="ro-RO" w:eastAsia="en-US" w:bidi="ar-SA"/>
      </w:rPr>
    </w:lvl>
    <w:lvl w:ilvl="8" w:tplc="8DE61D50">
      <w:numFmt w:val="bullet"/>
      <w:lvlText w:val="•"/>
      <w:lvlJc w:val="left"/>
      <w:pPr>
        <w:ind w:left="7445" w:hanging="360"/>
      </w:pPr>
      <w:rPr>
        <w:rFonts w:hint="default"/>
        <w:lang w:val="ro-RO" w:eastAsia="en-US" w:bidi="ar-SA"/>
      </w:rPr>
    </w:lvl>
  </w:abstractNum>
  <w:abstractNum w:abstractNumId="9" w15:restartNumberingAfterBreak="0">
    <w:nsid w:val="4514418B"/>
    <w:multiLevelType w:val="hybridMultilevel"/>
    <w:tmpl w:val="80CEFD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8E2538F"/>
    <w:multiLevelType w:val="hybridMultilevel"/>
    <w:tmpl w:val="8B56EB0C"/>
    <w:lvl w:ilvl="0" w:tplc="CEBA483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E486CDC"/>
    <w:multiLevelType w:val="multilevel"/>
    <w:tmpl w:val="F9F4BB96"/>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4E572C4D"/>
    <w:multiLevelType w:val="hybridMultilevel"/>
    <w:tmpl w:val="B65698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50CC5CA8"/>
    <w:multiLevelType w:val="hybridMultilevel"/>
    <w:tmpl w:val="DD0C9122"/>
    <w:lvl w:ilvl="0" w:tplc="160ABF4C">
      <w:start w:val="4"/>
      <w:numFmt w:val="bullet"/>
      <w:lvlText w:val="-"/>
      <w:lvlJc w:val="left"/>
      <w:pPr>
        <w:ind w:left="574" w:hanging="360"/>
      </w:pPr>
      <w:rPr>
        <w:rFonts w:ascii="Times New Roman" w:eastAsia="Times New Roman" w:hAnsi="Times New Roman" w:cs="Times New Roman"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522B7915"/>
    <w:multiLevelType w:val="hybridMultilevel"/>
    <w:tmpl w:val="4036E39C"/>
    <w:lvl w:ilvl="0" w:tplc="6BD679F6">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57616062"/>
    <w:multiLevelType w:val="hybridMultilevel"/>
    <w:tmpl w:val="D75A4EAE"/>
    <w:lvl w:ilvl="0" w:tplc="C9289D7E">
      <w:start w:val="1"/>
      <w:numFmt w:val="decimal"/>
      <w:lvlText w:val="%1."/>
      <w:lvlJc w:val="left"/>
      <w:pPr>
        <w:ind w:left="1067"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F00563C">
      <w:numFmt w:val="bullet"/>
      <w:lvlText w:val="•"/>
      <w:lvlJc w:val="left"/>
      <w:pPr>
        <w:ind w:left="1887" w:hanging="360"/>
      </w:pPr>
      <w:rPr>
        <w:rFonts w:hint="default"/>
        <w:lang w:val="ro-RO" w:eastAsia="en-US" w:bidi="ar-SA"/>
      </w:rPr>
    </w:lvl>
    <w:lvl w:ilvl="2" w:tplc="CF4C3158">
      <w:numFmt w:val="bullet"/>
      <w:lvlText w:val="•"/>
      <w:lvlJc w:val="left"/>
      <w:pPr>
        <w:ind w:left="2715" w:hanging="360"/>
      </w:pPr>
      <w:rPr>
        <w:rFonts w:hint="default"/>
        <w:lang w:val="ro-RO" w:eastAsia="en-US" w:bidi="ar-SA"/>
      </w:rPr>
    </w:lvl>
    <w:lvl w:ilvl="3" w:tplc="858A7570">
      <w:numFmt w:val="bullet"/>
      <w:lvlText w:val="•"/>
      <w:lvlJc w:val="left"/>
      <w:pPr>
        <w:ind w:left="3543" w:hanging="360"/>
      </w:pPr>
      <w:rPr>
        <w:rFonts w:hint="default"/>
        <w:lang w:val="ro-RO" w:eastAsia="en-US" w:bidi="ar-SA"/>
      </w:rPr>
    </w:lvl>
    <w:lvl w:ilvl="4" w:tplc="E46EF8B2">
      <w:numFmt w:val="bullet"/>
      <w:lvlText w:val="•"/>
      <w:lvlJc w:val="left"/>
      <w:pPr>
        <w:ind w:left="4371" w:hanging="360"/>
      </w:pPr>
      <w:rPr>
        <w:rFonts w:hint="default"/>
        <w:lang w:val="ro-RO" w:eastAsia="en-US" w:bidi="ar-SA"/>
      </w:rPr>
    </w:lvl>
    <w:lvl w:ilvl="5" w:tplc="5B9CF4D4">
      <w:numFmt w:val="bullet"/>
      <w:lvlText w:val="•"/>
      <w:lvlJc w:val="left"/>
      <w:pPr>
        <w:ind w:left="5199" w:hanging="360"/>
      </w:pPr>
      <w:rPr>
        <w:rFonts w:hint="default"/>
        <w:lang w:val="ro-RO" w:eastAsia="en-US" w:bidi="ar-SA"/>
      </w:rPr>
    </w:lvl>
    <w:lvl w:ilvl="6" w:tplc="0A4670D0">
      <w:numFmt w:val="bullet"/>
      <w:lvlText w:val="•"/>
      <w:lvlJc w:val="left"/>
      <w:pPr>
        <w:ind w:left="6026" w:hanging="360"/>
      </w:pPr>
      <w:rPr>
        <w:rFonts w:hint="default"/>
        <w:lang w:val="ro-RO" w:eastAsia="en-US" w:bidi="ar-SA"/>
      </w:rPr>
    </w:lvl>
    <w:lvl w:ilvl="7" w:tplc="7AFC9D92">
      <w:numFmt w:val="bullet"/>
      <w:lvlText w:val="•"/>
      <w:lvlJc w:val="left"/>
      <w:pPr>
        <w:ind w:left="6854" w:hanging="360"/>
      </w:pPr>
      <w:rPr>
        <w:rFonts w:hint="default"/>
        <w:lang w:val="ro-RO" w:eastAsia="en-US" w:bidi="ar-SA"/>
      </w:rPr>
    </w:lvl>
    <w:lvl w:ilvl="8" w:tplc="8030541C">
      <w:numFmt w:val="bullet"/>
      <w:lvlText w:val="•"/>
      <w:lvlJc w:val="left"/>
      <w:pPr>
        <w:ind w:left="7682" w:hanging="360"/>
      </w:pPr>
      <w:rPr>
        <w:rFonts w:hint="default"/>
        <w:lang w:val="ro-RO" w:eastAsia="en-US" w:bidi="ar-SA"/>
      </w:rPr>
    </w:lvl>
  </w:abstractNum>
  <w:abstractNum w:abstractNumId="16" w15:restartNumberingAfterBreak="0">
    <w:nsid w:val="5F840C8F"/>
    <w:multiLevelType w:val="hybridMultilevel"/>
    <w:tmpl w:val="F43C51CA"/>
    <w:lvl w:ilvl="0" w:tplc="160ABF4C">
      <w:start w:val="4"/>
      <w:numFmt w:val="bullet"/>
      <w:lvlText w:val="-"/>
      <w:lvlJc w:val="left"/>
      <w:pPr>
        <w:ind w:left="1187"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D102EA"/>
    <w:multiLevelType w:val="hybridMultilevel"/>
    <w:tmpl w:val="FBF6A48E"/>
    <w:lvl w:ilvl="0" w:tplc="6AC0DA28">
      <w:numFmt w:val="bullet"/>
      <w:lvlText w:val=""/>
      <w:lvlJc w:val="left"/>
      <w:pPr>
        <w:ind w:left="827" w:hanging="360"/>
      </w:pPr>
      <w:rPr>
        <w:rFonts w:ascii="Symbol" w:eastAsia="Symbol" w:hAnsi="Symbol" w:cs="Symbol" w:hint="default"/>
        <w:b w:val="0"/>
        <w:bCs w:val="0"/>
        <w:i w:val="0"/>
        <w:iCs w:val="0"/>
        <w:spacing w:val="0"/>
        <w:w w:val="99"/>
        <w:sz w:val="20"/>
        <w:szCs w:val="20"/>
        <w:lang w:val="ro-RO" w:eastAsia="en-US" w:bidi="ar-SA"/>
      </w:rPr>
    </w:lvl>
    <w:lvl w:ilvl="1" w:tplc="C1E64192">
      <w:numFmt w:val="bullet"/>
      <w:lvlText w:val="•"/>
      <w:lvlJc w:val="left"/>
      <w:pPr>
        <w:ind w:left="1671" w:hanging="360"/>
      </w:pPr>
      <w:rPr>
        <w:rFonts w:hint="default"/>
        <w:lang w:val="ro-RO" w:eastAsia="en-US" w:bidi="ar-SA"/>
      </w:rPr>
    </w:lvl>
    <w:lvl w:ilvl="2" w:tplc="E2FECE64">
      <w:numFmt w:val="bullet"/>
      <w:lvlText w:val="•"/>
      <w:lvlJc w:val="left"/>
      <w:pPr>
        <w:ind w:left="2523" w:hanging="360"/>
      </w:pPr>
      <w:rPr>
        <w:rFonts w:hint="default"/>
        <w:lang w:val="ro-RO" w:eastAsia="en-US" w:bidi="ar-SA"/>
      </w:rPr>
    </w:lvl>
    <w:lvl w:ilvl="3" w:tplc="65F27B0E">
      <w:numFmt w:val="bullet"/>
      <w:lvlText w:val="•"/>
      <w:lvlJc w:val="left"/>
      <w:pPr>
        <w:ind w:left="3375" w:hanging="360"/>
      </w:pPr>
      <w:rPr>
        <w:rFonts w:hint="default"/>
        <w:lang w:val="ro-RO" w:eastAsia="en-US" w:bidi="ar-SA"/>
      </w:rPr>
    </w:lvl>
    <w:lvl w:ilvl="4" w:tplc="564885EA">
      <w:numFmt w:val="bullet"/>
      <w:lvlText w:val="•"/>
      <w:lvlJc w:val="left"/>
      <w:pPr>
        <w:ind w:left="4227" w:hanging="360"/>
      </w:pPr>
      <w:rPr>
        <w:rFonts w:hint="default"/>
        <w:lang w:val="ro-RO" w:eastAsia="en-US" w:bidi="ar-SA"/>
      </w:rPr>
    </w:lvl>
    <w:lvl w:ilvl="5" w:tplc="DF4607B0">
      <w:numFmt w:val="bullet"/>
      <w:lvlText w:val="•"/>
      <w:lvlJc w:val="left"/>
      <w:pPr>
        <w:ind w:left="5079" w:hanging="360"/>
      </w:pPr>
      <w:rPr>
        <w:rFonts w:hint="default"/>
        <w:lang w:val="ro-RO" w:eastAsia="en-US" w:bidi="ar-SA"/>
      </w:rPr>
    </w:lvl>
    <w:lvl w:ilvl="6" w:tplc="566CC1E0">
      <w:numFmt w:val="bullet"/>
      <w:lvlText w:val="•"/>
      <w:lvlJc w:val="left"/>
      <w:pPr>
        <w:ind w:left="5930" w:hanging="360"/>
      </w:pPr>
      <w:rPr>
        <w:rFonts w:hint="default"/>
        <w:lang w:val="ro-RO" w:eastAsia="en-US" w:bidi="ar-SA"/>
      </w:rPr>
    </w:lvl>
    <w:lvl w:ilvl="7" w:tplc="66E019A8">
      <w:numFmt w:val="bullet"/>
      <w:lvlText w:val="•"/>
      <w:lvlJc w:val="left"/>
      <w:pPr>
        <w:ind w:left="6782" w:hanging="360"/>
      </w:pPr>
      <w:rPr>
        <w:rFonts w:hint="default"/>
        <w:lang w:val="ro-RO" w:eastAsia="en-US" w:bidi="ar-SA"/>
      </w:rPr>
    </w:lvl>
    <w:lvl w:ilvl="8" w:tplc="B0FEA56C">
      <w:numFmt w:val="bullet"/>
      <w:lvlText w:val="•"/>
      <w:lvlJc w:val="left"/>
      <w:pPr>
        <w:ind w:left="7634" w:hanging="360"/>
      </w:pPr>
      <w:rPr>
        <w:rFonts w:hint="default"/>
        <w:lang w:val="ro-RO" w:eastAsia="en-US" w:bidi="ar-SA"/>
      </w:rPr>
    </w:lvl>
  </w:abstractNum>
  <w:abstractNum w:abstractNumId="18" w15:restartNumberingAfterBreak="0">
    <w:nsid w:val="66E65AFF"/>
    <w:multiLevelType w:val="hybridMultilevel"/>
    <w:tmpl w:val="84E27BE4"/>
    <w:lvl w:ilvl="0" w:tplc="4A5AC580">
      <w:numFmt w:val="bullet"/>
      <w:lvlText w:val="-"/>
      <w:lvlJc w:val="left"/>
      <w:pPr>
        <w:ind w:left="618" w:hanging="185"/>
      </w:pPr>
      <w:rPr>
        <w:rFonts w:ascii="Times New Roman" w:eastAsia="Times New Roman" w:hAnsi="Times New Roman" w:cs="Times New Roman" w:hint="default"/>
        <w:b w:val="0"/>
        <w:bCs w:val="0"/>
        <w:i w:val="0"/>
        <w:iCs w:val="0"/>
        <w:spacing w:val="0"/>
        <w:w w:val="100"/>
        <w:sz w:val="22"/>
        <w:szCs w:val="22"/>
        <w:lang w:val="ro-RO" w:eastAsia="en-US" w:bidi="ar-SA"/>
      </w:rPr>
    </w:lvl>
    <w:lvl w:ilvl="1" w:tplc="6A88533E">
      <w:numFmt w:val="bullet"/>
      <w:lvlText w:val="•"/>
      <w:lvlJc w:val="left"/>
      <w:pPr>
        <w:ind w:left="1491" w:hanging="185"/>
      </w:pPr>
      <w:rPr>
        <w:rFonts w:hint="default"/>
        <w:lang w:val="ro-RO" w:eastAsia="en-US" w:bidi="ar-SA"/>
      </w:rPr>
    </w:lvl>
    <w:lvl w:ilvl="2" w:tplc="FB68476C">
      <w:numFmt w:val="bullet"/>
      <w:lvlText w:val="•"/>
      <w:lvlJc w:val="left"/>
      <w:pPr>
        <w:ind w:left="2363" w:hanging="185"/>
      </w:pPr>
      <w:rPr>
        <w:rFonts w:hint="default"/>
        <w:lang w:val="ro-RO" w:eastAsia="en-US" w:bidi="ar-SA"/>
      </w:rPr>
    </w:lvl>
    <w:lvl w:ilvl="3" w:tplc="6F08F5B0">
      <w:numFmt w:val="bullet"/>
      <w:lvlText w:val="•"/>
      <w:lvlJc w:val="left"/>
      <w:pPr>
        <w:ind w:left="3235" w:hanging="185"/>
      </w:pPr>
      <w:rPr>
        <w:rFonts w:hint="default"/>
        <w:lang w:val="ro-RO" w:eastAsia="en-US" w:bidi="ar-SA"/>
      </w:rPr>
    </w:lvl>
    <w:lvl w:ilvl="4" w:tplc="F350D182">
      <w:numFmt w:val="bullet"/>
      <w:lvlText w:val="•"/>
      <w:lvlJc w:val="left"/>
      <w:pPr>
        <w:ind w:left="4107" w:hanging="185"/>
      </w:pPr>
      <w:rPr>
        <w:rFonts w:hint="default"/>
        <w:lang w:val="ro-RO" w:eastAsia="en-US" w:bidi="ar-SA"/>
      </w:rPr>
    </w:lvl>
    <w:lvl w:ilvl="5" w:tplc="1E421B84">
      <w:numFmt w:val="bullet"/>
      <w:lvlText w:val="•"/>
      <w:lvlJc w:val="left"/>
      <w:pPr>
        <w:ind w:left="4979" w:hanging="185"/>
      </w:pPr>
      <w:rPr>
        <w:rFonts w:hint="default"/>
        <w:lang w:val="ro-RO" w:eastAsia="en-US" w:bidi="ar-SA"/>
      </w:rPr>
    </w:lvl>
    <w:lvl w:ilvl="6" w:tplc="F8F442D6">
      <w:numFmt w:val="bullet"/>
      <w:lvlText w:val="•"/>
      <w:lvlJc w:val="left"/>
      <w:pPr>
        <w:ind w:left="5850" w:hanging="185"/>
      </w:pPr>
      <w:rPr>
        <w:rFonts w:hint="default"/>
        <w:lang w:val="ro-RO" w:eastAsia="en-US" w:bidi="ar-SA"/>
      </w:rPr>
    </w:lvl>
    <w:lvl w:ilvl="7" w:tplc="67B4BBD6">
      <w:numFmt w:val="bullet"/>
      <w:lvlText w:val="•"/>
      <w:lvlJc w:val="left"/>
      <w:pPr>
        <w:ind w:left="6722" w:hanging="185"/>
      </w:pPr>
      <w:rPr>
        <w:rFonts w:hint="default"/>
        <w:lang w:val="ro-RO" w:eastAsia="en-US" w:bidi="ar-SA"/>
      </w:rPr>
    </w:lvl>
    <w:lvl w:ilvl="8" w:tplc="B8725EEC">
      <w:numFmt w:val="bullet"/>
      <w:lvlText w:val="•"/>
      <w:lvlJc w:val="left"/>
      <w:pPr>
        <w:ind w:left="7594" w:hanging="185"/>
      </w:pPr>
      <w:rPr>
        <w:rFonts w:hint="default"/>
        <w:lang w:val="ro-RO" w:eastAsia="en-US" w:bidi="ar-SA"/>
      </w:rPr>
    </w:lvl>
  </w:abstractNum>
  <w:abstractNum w:abstractNumId="19" w15:restartNumberingAfterBreak="0">
    <w:nsid w:val="6CA129C4"/>
    <w:multiLevelType w:val="hybridMultilevel"/>
    <w:tmpl w:val="16B44314"/>
    <w:lvl w:ilvl="0" w:tplc="A874D47A">
      <w:numFmt w:val="bullet"/>
      <w:lvlText w:val=""/>
      <w:lvlJc w:val="left"/>
      <w:pPr>
        <w:ind w:left="1427" w:hanging="360"/>
      </w:pPr>
      <w:rPr>
        <w:rFonts w:ascii="Symbol" w:eastAsia="Symbol" w:hAnsi="Symbol" w:cs="Symbol" w:hint="default"/>
        <w:b w:val="0"/>
        <w:bCs w:val="0"/>
        <w:i w:val="0"/>
        <w:iCs w:val="0"/>
        <w:spacing w:val="0"/>
        <w:w w:val="100"/>
        <w:sz w:val="22"/>
        <w:szCs w:val="22"/>
        <w:lang w:val="ro-RO" w:eastAsia="en-US" w:bidi="ar-SA"/>
      </w:rPr>
    </w:lvl>
    <w:lvl w:ilvl="1" w:tplc="E1204CDC">
      <w:numFmt w:val="bullet"/>
      <w:lvlText w:val="•"/>
      <w:lvlJc w:val="left"/>
      <w:pPr>
        <w:ind w:left="2211" w:hanging="360"/>
      </w:pPr>
      <w:rPr>
        <w:rFonts w:hint="default"/>
        <w:lang w:val="ro-RO" w:eastAsia="en-US" w:bidi="ar-SA"/>
      </w:rPr>
    </w:lvl>
    <w:lvl w:ilvl="2" w:tplc="E8BAAB88">
      <w:numFmt w:val="bullet"/>
      <w:lvlText w:val="•"/>
      <w:lvlJc w:val="left"/>
      <w:pPr>
        <w:ind w:left="3003" w:hanging="360"/>
      </w:pPr>
      <w:rPr>
        <w:rFonts w:hint="default"/>
        <w:lang w:val="ro-RO" w:eastAsia="en-US" w:bidi="ar-SA"/>
      </w:rPr>
    </w:lvl>
    <w:lvl w:ilvl="3" w:tplc="EC2E5DF6">
      <w:numFmt w:val="bullet"/>
      <w:lvlText w:val="•"/>
      <w:lvlJc w:val="left"/>
      <w:pPr>
        <w:ind w:left="3795" w:hanging="360"/>
      </w:pPr>
      <w:rPr>
        <w:rFonts w:hint="default"/>
        <w:lang w:val="ro-RO" w:eastAsia="en-US" w:bidi="ar-SA"/>
      </w:rPr>
    </w:lvl>
    <w:lvl w:ilvl="4" w:tplc="01A805DC">
      <w:numFmt w:val="bullet"/>
      <w:lvlText w:val="•"/>
      <w:lvlJc w:val="left"/>
      <w:pPr>
        <w:ind w:left="4587" w:hanging="360"/>
      </w:pPr>
      <w:rPr>
        <w:rFonts w:hint="default"/>
        <w:lang w:val="ro-RO" w:eastAsia="en-US" w:bidi="ar-SA"/>
      </w:rPr>
    </w:lvl>
    <w:lvl w:ilvl="5" w:tplc="168C3E56">
      <w:numFmt w:val="bullet"/>
      <w:lvlText w:val="•"/>
      <w:lvlJc w:val="left"/>
      <w:pPr>
        <w:ind w:left="5379" w:hanging="360"/>
      </w:pPr>
      <w:rPr>
        <w:rFonts w:hint="default"/>
        <w:lang w:val="ro-RO" w:eastAsia="en-US" w:bidi="ar-SA"/>
      </w:rPr>
    </w:lvl>
    <w:lvl w:ilvl="6" w:tplc="F2F42940">
      <w:numFmt w:val="bullet"/>
      <w:lvlText w:val="•"/>
      <w:lvlJc w:val="left"/>
      <w:pPr>
        <w:ind w:left="6170" w:hanging="360"/>
      </w:pPr>
      <w:rPr>
        <w:rFonts w:hint="default"/>
        <w:lang w:val="ro-RO" w:eastAsia="en-US" w:bidi="ar-SA"/>
      </w:rPr>
    </w:lvl>
    <w:lvl w:ilvl="7" w:tplc="E024465C">
      <w:numFmt w:val="bullet"/>
      <w:lvlText w:val="•"/>
      <w:lvlJc w:val="left"/>
      <w:pPr>
        <w:ind w:left="6962" w:hanging="360"/>
      </w:pPr>
      <w:rPr>
        <w:rFonts w:hint="default"/>
        <w:lang w:val="ro-RO" w:eastAsia="en-US" w:bidi="ar-SA"/>
      </w:rPr>
    </w:lvl>
    <w:lvl w:ilvl="8" w:tplc="AFBA1B74">
      <w:numFmt w:val="bullet"/>
      <w:lvlText w:val="•"/>
      <w:lvlJc w:val="left"/>
      <w:pPr>
        <w:ind w:left="7754" w:hanging="360"/>
      </w:pPr>
      <w:rPr>
        <w:rFonts w:hint="default"/>
        <w:lang w:val="ro-RO" w:eastAsia="en-US" w:bidi="ar-SA"/>
      </w:rPr>
    </w:lvl>
  </w:abstractNum>
  <w:abstractNum w:abstractNumId="20" w15:restartNumberingAfterBreak="0">
    <w:nsid w:val="6F531BDF"/>
    <w:multiLevelType w:val="hybridMultilevel"/>
    <w:tmpl w:val="7056229E"/>
    <w:lvl w:ilvl="0" w:tplc="160ABF4C">
      <w:start w:val="4"/>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16cid:durableId="974136569">
    <w:abstractNumId w:val="18"/>
  </w:num>
  <w:num w:numId="2" w16cid:durableId="1587227991">
    <w:abstractNumId w:val="6"/>
  </w:num>
  <w:num w:numId="3" w16cid:durableId="1435705310">
    <w:abstractNumId w:val="4"/>
  </w:num>
  <w:num w:numId="4" w16cid:durableId="409891540">
    <w:abstractNumId w:val="8"/>
  </w:num>
  <w:num w:numId="5" w16cid:durableId="281964383">
    <w:abstractNumId w:val="17"/>
  </w:num>
  <w:num w:numId="6" w16cid:durableId="432556994">
    <w:abstractNumId w:val="0"/>
  </w:num>
  <w:num w:numId="7" w16cid:durableId="308828180">
    <w:abstractNumId w:val="19"/>
  </w:num>
  <w:num w:numId="8" w16cid:durableId="1747189890">
    <w:abstractNumId w:val="15"/>
  </w:num>
  <w:num w:numId="9" w16cid:durableId="1165785551">
    <w:abstractNumId w:val="12"/>
  </w:num>
  <w:num w:numId="10" w16cid:durableId="198474462">
    <w:abstractNumId w:val="11"/>
  </w:num>
  <w:num w:numId="11" w16cid:durableId="109205930">
    <w:abstractNumId w:val="5"/>
  </w:num>
  <w:num w:numId="12" w16cid:durableId="1549101184">
    <w:abstractNumId w:val="14"/>
  </w:num>
  <w:num w:numId="13" w16cid:durableId="224799088">
    <w:abstractNumId w:val="1"/>
  </w:num>
  <w:num w:numId="14" w16cid:durableId="1308827233">
    <w:abstractNumId w:val="3"/>
  </w:num>
  <w:num w:numId="15" w16cid:durableId="724838253">
    <w:abstractNumId w:val="7"/>
  </w:num>
  <w:num w:numId="16" w16cid:durableId="1857230265">
    <w:abstractNumId w:val="2"/>
  </w:num>
  <w:num w:numId="17" w16cid:durableId="1117142868">
    <w:abstractNumId w:val="9"/>
  </w:num>
  <w:num w:numId="18" w16cid:durableId="1944608359">
    <w:abstractNumId w:val="10"/>
  </w:num>
  <w:num w:numId="19" w16cid:durableId="883373606">
    <w:abstractNumId w:val="20"/>
  </w:num>
  <w:num w:numId="20" w16cid:durableId="1932814207">
    <w:abstractNumId w:val="13"/>
  </w:num>
  <w:num w:numId="21" w16cid:durableId="620305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5531"/>
    <w:rsid w:val="00004070"/>
    <w:rsid w:val="000164BF"/>
    <w:rsid w:val="00022E27"/>
    <w:rsid w:val="00026C46"/>
    <w:rsid w:val="00030FE4"/>
    <w:rsid w:val="000505E1"/>
    <w:rsid w:val="00067DB3"/>
    <w:rsid w:val="00067F6D"/>
    <w:rsid w:val="000704DF"/>
    <w:rsid w:val="0007666E"/>
    <w:rsid w:val="000809A4"/>
    <w:rsid w:val="0008197D"/>
    <w:rsid w:val="0009413F"/>
    <w:rsid w:val="000A1C55"/>
    <w:rsid w:val="000B45CC"/>
    <w:rsid w:val="000B4D59"/>
    <w:rsid w:val="000C47D3"/>
    <w:rsid w:val="000D1A7A"/>
    <w:rsid w:val="000F2AF6"/>
    <w:rsid w:val="000F3091"/>
    <w:rsid w:val="000F3923"/>
    <w:rsid w:val="000F75FF"/>
    <w:rsid w:val="001055CA"/>
    <w:rsid w:val="00114014"/>
    <w:rsid w:val="001243CD"/>
    <w:rsid w:val="0012475B"/>
    <w:rsid w:val="00132F0B"/>
    <w:rsid w:val="00134A77"/>
    <w:rsid w:val="0016051F"/>
    <w:rsid w:val="00166CD4"/>
    <w:rsid w:val="00180017"/>
    <w:rsid w:val="0018271B"/>
    <w:rsid w:val="00196121"/>
    <w:rsid w:val="001A2030"/>
    <w:rsid w:val="001A752E"/>
    <w:rsid w:val="001B0581"/>
    <w:rsid w:val="001B0C39"/>
    <w:rsid w:val="001D7546"/>
    <w:rsid w:val="001E1FD3"/>
    <w:rsid w:val="001F0EE8"/>
    <w:rsid w:val="001F14A3"/>
    <w:rsid w:val="001F311E"/>
    <w:rsid w:val="001F7EB4"/>
    <w:rsid w:val="002045B4"/>
    <w:rsid w:val="00211893"/>
    <w:rsid w:val="002221E7"/>
    <w:rsid w:val="0022251C"/>
    <w:rsid w:val="0022512B"/>
    <w:rsid w:val="0023510F"/>
    <w:rsid w:val="002419C2"/>
    <w:rsid w:val="0024362C"/>
    <w:rsid w:val="002450AE"/>
    <w:rsid w:val="00247E82"/>
    <w:rsid w:val="002508B6"/>
    <w:rsid w:val="002555B3"/>
    <w:rsid w:val="00267E87"/>
    <w:rsid w:val="00275790"/>
    <w:rsid w:val="00277F78"/>
    <w:rsid w:val="0028472D"/>
    <w:rsid w:val="00284DD3"/>
    <w:rsid w:val="002945D5"/>
    <w:rsid w:val="00295644"/>
    <w:rsid w:val="002A26A4"/>
    <w:rsid w:val="002A5E10"/>
    <w:rsid w:val="002B3087"/>
    <w:rsid w:val="002D0FF0"/>
    <w:rsid w:val="002E0158"/>
    <w:rsid w:val="002E78CC"/>
    <w:rsid w:val="00306A91"/>
    <w:rsid w:val="00314490"/>
    <w:rsid w:val="00325D35"/>
    <w:rsid w:val="00326976"/>
    <w:rsid w:val="003520F1"/>
    <w:rsid w:val="00362CC1"/>
    <w:rsid w:val="003630B9"/>
    <w:rsid w:val="00363462"/>
    <w:rsid w:val="00370B3D"/>
    <w:rsid w:val="00384E7B"/>
    <w:rsid w:val="0039049C"/>
    <w:rsid w:val="003A01F1"/>
    <w:rsid w:val="003A1FCA"/>
    <w:rsid w:val="003B6891"/>
    <w:rsid w:val="003B6D7A"/>
    <w:rsid w:val="003B7CF0"/>
    <w:rsid w:val="003D3E5B"/>
    <w:rsid w:val="003E6CEA"/>
    <w:rsid w:val="0040716B"/>
    <w:rsid w:val="0041553C"/>
    <w:rsid w:val="0041765F"/>
    <w:rsid w:val="004277D9"/>
    <w:rsid w:val="00433418"/>
    <w:rsid w:val="00436EC2"/>
    <w:rsid w:val="0045334B"/>
    <w:rsid w:val="004537BD"/>
    <w:rsid w:val="00466081"/>
    <w:rsid w:val="00470226"/>
    <w:rsid w:val="00477CD3"/>
    <w:rsid w:val="00482728"/>
    <w:rsid w:val="00487723"/>
    <w:rsid w:val="004A1FDE"/>
    <w:rsid w:val="004A59BC"/>
    <w:rsid w:val="004B2527"/>
    <w:rsid w:val="004B6C46"/>
    <w:rsid w:val="004C0BD0"/>
    <w:rsid w:val="004C2550"/>
    <w:rsid w:val="004D2024"/>
    <w:rsid w:val="004E2A03"/>
    <w:rsid w:val="004F4552"/>
    <w:rsid w:val="00501964"/>
    <w:rsid w:val="00530BF7"/>
    <w:rsid w:val="00535488"/>
    <w:rsid w:val="00552B7E"/>
    <w:rsid w:val="00563FEB"/>
    <w:rsid w:val="00576B50"/>
    <w:rsid w:val="00596A52"/>
    <w:rsid w:val="005A401D"/>
    <w:rsid w:val="005A4417"/>
    <w:rsid w:val="005A6210"/>
    <w:rsid w:val="005B5F5E"/>
    <w:rsid w:val="005B65A7"/>
    <w:rsid w:val="005C0FA1"/>
    <w:rsid w:val="005E4D54"/>
    <w:rsid w:val="006026AB"/>
    <w:rsid w:val="0061385A"/>
    <w:rsid w:val="00621AB4"/>
    <w:rsid w:val="0062442E"/>
    <w:rsid w:val="006257E1"/>
    <w:rsid w:val="006332B9"/>
    <w:rsid w:val="00645F69"/>
    <w:rsid w:val="00652370"/>
    <w:rsid w:val="00652647"/>
    <w:rsid w:val="00652A29"/>
    <w:rsid w:val="00654F89"/>
    <w:rsid w:val="00660D48"/>
    <w:rsid w:val="00671F63"/>
    <w:rsid w:val="0068779E"/>
    <w:rsid w:val="00687B36"/>
    <w:rsid w:val="00691365"/>
    <w:rsid w:val="00693481"/>
    <w:rsid w:val="0069506A"/>
    <w:rsid w:val="00695930"/>
    <w:rsid w:val="006964D3"/>
    <w:rsid w:val="00697803"/>
    <w:rsid w:val="00697A90"/>
    <w:rsid w:val="006A0852"/>
    <w:rsid w:val="006A2864"/>
    <w:rsid w:val="006B01D0"/>
    <w:rsid w:val="006B1CAB"/>
    <w:rsid w:val="006C0A7E"/>
    <w:rsid w:val="006D5641"/>
    <w:rsid w:val="00707566"/>
    <w:rsid w:val="00707838"/>
    <w:rsid w:val="00711AB5"/>
    <w:rsid w:val="00722AB9"/>
    <w:rsid w:val="00726F03"/>
    <w:rsid w:val="00733EA0"/>
    <w:rsid w:val="00744177"/>
    <w:rsid w:val="00751299"/>
    <w:rsid w:val="0075353D"/>
    <w:rsid w:val="0075478F"/>
    <w:rsid w:val="00774674"/>
    <w:rsid w:val="00775B2F"/>
    <w:rsid w:val="00790BB5"/>
    <w:rsid w:val="00791D5B"/>
    <w:rsid w:val="007D2EAB"/>
    <w:rsid w:val="007F2983"/>
    <w:rsid w:val="007F4EBE"/>
    <w:rsid w:val="007F6ABA"/>
    <w:rsid w:val="007F7054"/>
    <w:rsid w:val="0080657E"/>
    <w:rsid w:val="00817C83"/>
    <w:rsid w:val="00823399"/>
    <w:rsid w:val="00826DFE"/>
    <w:rsid w:val="008510E6"/>
    <w:rsid w:val="00871EA7"/>
    <w:rsid w:val="0088698A"/>
    <w:rsid w:val="008A32E2"/>
    <w:rsid w:val="008A77CB"/>
    <w:rsid w:val="008B2788"/>
    <w:rsid w:val="008C03A5"/>
    <w:rsid w:val="008C0870"/>
    <w:rsid w:val="008C2696"/>
    <w:rsid w:val="008D0EFA"/>
    <w:rsid w:val="008D7C19"/>
    <w:rsid w:val="008E211F"/>
    <w:rsid w:val="008E546A"/>
    <w:rsid w:val="008E6802"/>
    <w:rsid w:val="0090112B"/>
    <w:rsid w:val="00916F94"/>
    <w:rsid w:val="0092294F"/>
    <w:rsid w:val="00926CE9"/>
    <w:rsid w:val="009475D7"/>
    <w:rsid w:val="0095352C"/>
    <w:rsid w:val="0095541E"/>
    <w:rsid w:val="00967D36"/>
    <w:rsid w:val="009C6DCC"/>
    <w:rsid w:val="009D4EBF"/>
    <w:rsid w:val="009D71BB"/>
    <w:rsid w:val="009E0680"/>
    <w:rsid w:val="009F5ABB"/>
    <w:rsid w:val="00A0086E"/>
    <w:rsid w:val="00A03512"/>
    <w:rsid w:val="00A05DA6"/>
    <w:rsid w:val="00A12B34"/>
    <w:rsid w:val="00A31AA6"/>
    <w:rsid w:val="00A35785"/>
    <w:rsid w:val="00A44DC6"/>
    <w:rsid w:val="00A479BF"/>
    <w:rsid w:val="00A51C2F"/>
    <w:rsid w:val="00A54443"/>
    <w:rsid w:val="00A7484B"/>
    <w:rsid w:val="00A81ABB"/>
    <w:rsid w:val="00A87337"/>
    <w:rsid w:val="00AA179F"/>
    <w:rsid w:val="00AA375F"/>
    <w:rsid w:val="00AA60BF"/>
    <w:rsid w:val="00AA652B"/>
    <w:rsid w:val="00AB0CAC"/>
    <w:rsid w:val="00AB1F99"/>
    <w:rsid w:val="00AC0363"/>
    <w:rsid w:val="00AD65BE"/>
    <w:rsid w:val="00B06CFB"/>
    <w:rsid w:val="00B13384"/>
    <w:rsid w:val="00B20774"/>
    <w:rsid w:val="00B23411"/>
    <w:rsid w:val="00B313DC"/>
    <w:rsid w:val="00B3518A"/>
    <w:rsid w:val="00B45A47"/>
    <w:rsid w:val="00B4625A"/>
    <w:rsid w:val="00B56825"/>
    <w:rsid w:val="00B61691"/>
    <w:rsid w:val="00B634A2"/>
    <w:rsid w:val="00B83275"/>
    <w:rsid w:val="00BA68E5"/>
    <w:rsid w:val="00BB0B69"/>
    <w:rsid w:val="00BC6B11"/>
    <w:rsid w:val="00BC747C"/>
    <w:rsid w:val="00BE4E72"/>
    <w:rsid w:val="00BE5B8F"/>
    <w:rsid w:val="00C036AE"/>
    <w:rsid w:val="00C067F0"/>
    <w:rsid w:val="00C07D03"/>
    <w:rsid w:val="00C07F2C"/>
    <w:rsid w:val="00C1087B"/>
    <w:rsid w:val="00C113F9"/>
    <w:rsid w:val="00C16DE4"/>
    <w:rsid w:val="00C228CF"/>
    <w:rsid w:val="00C24AA4"/>
    <w:rsid w:val="00C26EE0"/>
    <w:rsid w:val="00C45531"/>
    <w:rsid w:val="00C51261"/>
    <w:rsid w:val="00C5182D"/>
    <w:rsid w:val="00C572BB"/>
    <w:rsid w:val="00C81ACB"/>
    <w:rsid w:val="00C87FC6"/>
    <w:rsid w:val="00C904C8"/>
    <w:rsid w:val="00C92A5F"/>
    <w:rsid w:val="00C95332"/>
    <w:rsid w:val="00CA0106"/>
    <w:rsid w:val="00CA49ED"/>
    <w:rsid w:val="00CC5CEE"/>
    <w:rsid w:val="00CC65F3"/>
    <w:rsid w:val="00CD2BAD"/>
    <w:rsid w:val="00CF2B14"/>
    <w:rsid w:val="00D0420F"/>
    <w:rsid w:val="00D260BB"/>
    <w:rsid w:val="00D405BC"/>
    <w:rsid w:val="00D4322D"/>
    <w:rsid w:val="00D447DF"/>
    <w:rsid w:val="00D50167"/>
    <w:rsid w:val="00D54FCF"/>
    <w:rsid w:val="00D5592F"/>
    <w:rsid w:val="00D66EF0"/>
    <w:rsid w:val="00D70E4B"/>
    <w:rsid w:val="00D82A7F"/>
    <w:rsid w:val="00DA1BB3"/>
    <w:rsid w:val="00DB39D1"/>
    <w:rsid w:val="00DB7060"/>
    <w:rsid w:val="00DC0039"/>
    <w:rsid w:val="00DC280B"/>
    <w:rsid w:val="00DC5C47"/>
    <w:rsid w:val="00DD7938"/>
    <w:rsid w:val="00DF3435"/>
    <w:rsid w:val="00E00F9B"/>
    <w:rsid w:val="00E17794"/>
    <w:rsid w:val="00E20C05"/>
    <w:rsid w:val="00E25B1C"/>
    <w:rsid w:val="00E266F1"/>
    <w:rsid w:val="00E3260F"/>
    <w:rsid w:val="00E35682"/>
    <w:rsid w:val="00E357A9"/>
    <w:rsid w:val="00E368D6"/>
    <w:rsid w:val="00E66542"/>
    <w:rsid w:val="00E81373"/>
    <w:rsid w:val="00E81B71"/>
    <w:rsid w:val="00E90663"/>
    <w:rsid w:val="00E90BF6"/>
    <w:rsid w:val="00E979E2"/>
    <w:rsid w:val="00E97BCB"/>
    <w:rsid w:val="00EA3092"/>
    <w:rsid w:val="00EA3322"/>
    <w:rsid w:val="00EA3840"/>
    <w:rsid w:val="00EB3F79"/>
    <w:rsid w:val="00EE0387"/>
    <w:rsid w:val="00F07D2A"/>
    <w:rsid w:val="00F146CC"/>
    <w:rsid w:val="00F1745C"/>
    <w:rsid w:val="00F21EFB"/>
    <w:rsid w:val="00F3005C"/>
    <w:rsid w:val="00F30326"/>
    <w:rsid w:val="00F51FB5"/>
    <w:rsid w:val="00F65EDE"/>
    <w:rsid w:val="00F73F40"/>
    <w:rsid w:val="00F87CA2"/>
    <w:rsid w:val="00F93A0E"/>
    <w:rsid w:val="00FA4971"/>
    <w:rsid w:val="00FA7FA3"/>
    <w:rsid w:val="00FB28F4"/>
    <w:rsid w:val="00FB4039"/>
    <w:rsid w:val="00FD1EB3"/>
    <w:rsid w:val="00FD6476"/>
    <w:rsid w:val="00FE6DFA"/>
    <w:rsid w:val="00FF1FC8"/>
    <w:rsid w:val="00FF2F5C"/>
    <w:rsid w:val="00FF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9B34"/>
  <w15:docId w15:val="{383A36BE-769B-4B1D-8535-6C7A047D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b/>
      <w:bCs/>
      <w:sz w:val="24"/>
      <w:szCs w:val="24"/>
    </w:rPr>
  </w:style>
  <w:style w:type="paragraph" w:styleId="Listparagraf">
    <w:name w:val="List Paragraph"/>
    <w:basedOn w:val="Normal"/>
    <w:link w:val="ListparagrafCaracter"/>
    <w:uiPriority w:val="34"/>
    <w:qFormat/>
  </w:style>
  <w:style w:type="paragraph" w:customStyle="1" w:styleId="TableParagraph">
    <w:name w:val="Table Paragraph"/>
    <w:basedOn w:val="Normal"/>
    <w:uiPriority w:val="1"/>
    <w:qFormat/>
    <w:pPr>
      <w:ind w:left="107"/>
      <w:jc w:val="both"/>
    </w:pPr>
  </w:style>
  <w:style w:type="character" w:styleId="Hyperlink">
    <w:name w:val="Hyperlink"/>
    <w:basedOn w:val="Fontdeparagrafimplicit"/>
    <w:uiPriority w:val="99"/>
    <w:unhideWhenUsed/>
    <w:rsid w:val="00A0086E"/>
    <w:rPr>
      <w:color w:val="0000FF" w:themeColor="hyperlink"/>
      <w:u w:val="single"/>
    </w:rPr>
  </w:style>
  <w:style w:type="character" w:styleId="MeniuneNerezolvat">
    <w:name w:val="Unresolved Mention"/>
    <w:basedOn w:val="Fontdeparagrafimplicit"/>
    <w:uiPriority w:val="99"/>
    <w:semiHidden/>
    <w:unhideWhenUsed/>
    <w:rsid w:val="00A0086E"/>
    <w:rPr>
      <w:color w:val="605E5C"/>
      <w:shd w:val="clear" w:color="auto" w:fill="E1DFDD"/>
    </w:rPr>
  </w:style>
  <w:style w:type="paragraph" w:styleId="Textnotdesubsol">
    <w:name w:val="footnote text"/>
    <w:basedOn w:val="Normal"/>
    <w:link w:val="TextnotdesubsolCaracter"/>
    <w:uiPriority w:val="99"/>
    <w:semiHidden/>
    <w:unhideWhenUsed/>
    <w:rsid w:val="005E4D54"/>
    <w:pPr>
      <w:widowControl/>
      <w:autoSpaceDE/>
      <w:autoSpaceDN/>
      <w:spacing w:after="40"/>
      <w:ind w:firstLine="709"/>
      <w:jc w:val="both"/>
    </w:pPr>
    <w:rPr>
      <w:sz w:val="18"/>
      <w:szCs w:val="20"/>
      <w:lang w:val="en-US"/>
    </w:rPr>
  </w:style>
  <w:style w:type="character" w:customStyle="1" w:styleId="TextnotdesubsolCaracter">
    <w:name w:val="Text notă de subsol Caracter"/>
    <w:basedOn w:val="Fontdeparagrafimplicit"/>
    <w:link w:val="Textnotdesubsol"/>
    <w:uiPriority w:val="99"/>
    <w:semiHidden/>
    <w:rsid w:val="005E4D54"/>
    <w:rPr>
      <w:rFonts w:ascii="Times New Roman" w:eastAsia="Times New Roman" w:hAnsi="Times New Roman" w:cs="Times New Roman"/>
      <w:sz w:val="18"/>
      <w:szCs w:val="20"/>
    </w:rPr>
  </w:style>
  <w:style w:type="character" w:styleId="Referinnotdesubsol">
    <w:name w:val="footnote reference"/>
    <w:basedOn w:val="Fontdeparagrafimplicit"/>
    <w:uiPriority w:val="99"/>
    <w:unhideWhenUsed/>
    <w:rsid w:val="005E4D54"/>
    <w:rPr>
      <w:vertAlign w:val="superscript"/>
    </w:rPr>
  </w:style>
  <w:style w:type="character" w:customStyle="1" w:styleId="ListparagrafCaracter">
    <w:name w:val="Listă paragraf Caracter"/>
    <w:basedOn w:val="Fontdeparagrafimplicit"/>
    <w:link w:val="Listparagraf"/>
    <w:uiPriority w:val="34"/>
    <w:rsid w:val="005E4D54"/>
    <w:rPr>
      <w:rFonts w:ascii="Times New Roman" w:eastAsia="Times New Roman" w:hAnsi="Times New Roman" w:cs="Times New Roman"/>
      <w:lang w:val="ro-RO"/>
    </w:rPr>
  </w:style>
  <w:style w:type="paragraph" w:styleId="NormalWeb">
    <w:name w:val="Normal (Web)"/>
    <w:basedOn w:val="Normal"/>
    <w:uiPriority w:val="99"/>
    <w:unhideWhenUsed/>
    <w:rsid w:val="00C036AE"/>
    <w:pPr>
      <w:widowControl/>
      <w:autoSpaceDE/>
      <w:autoSpaceDN/>
      <w:spacing w:before="100" w:beforeAutospacing="1" w:after="100" w:afterAutospacing="1"/>
    </w:pPr>
    <w:rPr>
      <w:sz w:val="24"/>
      <w:szCs w:val="24"/>
      <w:lang w:eastAsia="ro-RO"/>
    </w:rPr>
  </w:style>
  <w:style w:type="character" w:styleId="Robust">
    <w:name w:val="Strong"/>
    <w:basedOn w:val="Fontdeparagrafimplicit"/>
    <w:uiPriority w:val="22"/>
    <w:qFormat/>
    <w:rsid w:val="00C036AE"/>
    <w:rPr>
      <w:b/>
      <w:bCs/>
    </w:rPr>
  </w:style>
  <w:style w:type="paragraph" w:customStyle="1" w:styleId="title-doc-first">
    <w:name w:val="title-doc-first"/>
    <w:basedOn w:val="Normal"/>
    <w:rsid w:val="00AD65BE"/>
    <w:pPr>
      <w:widowControl/>
      <w:autoSpaceDE/>
      <w:autoSpaceDN/>
      <w:spacing w:before="100" w:beforeAutospacing="1" w:after="100" w:afterAutospacing="1"/>
    </w:pPr>
    <w:rPr>
      <w:sz w:val="24"/>
      <w:szCs w:val="24"/>
      <w:lang w:val="ru-RU" w:eastAsia="ru-RU"/>
    </w:rPr>
  </w:style>
  <w:style w:type="paragraph" w:customStyle="1" w:styleId="oj-normal">
    <w:name w:val="oj-normal"/>
    <w:basedOn w:val="Normal"/>
    <w:rsid w:val="000A1C55"/>
    <w:pPr>
      <w:widowControl/>
      <w:autoSpaceDE/>
      <w:autoSpaceDN/>
      <w:spacing w:before="100" w:beforeAutospacing="1" w:after="100" w:afterAutospacing="1"/>
    </w:pPr>
    <w:rPr>
      <w:sz w:val="24"/>
      <w:szCs w:val="24"/>
      <w:lang w:val="ru-RU" w:eastAsia="ru-RU"/>
    </w:rPr>
  </w:style>
  <w:style w:type="character" w:styleId="HyperlinkParcurs">
    <w:name w:val="FollowedHyperlink"/>
    <w:basedOn w:val="Fontdeparagrafimplicit"/>
    <w:uiPriority w:val="99"/>
    <w:semiHidden/>
    <w:unhideWhenUsed/>
    <w:rsid w:val="000F3091"/>
    <w:rPr>
      <w:color w:val="800080" w:themeColor="followedHyperlink"/>
      <w:u w:val="single"/>
    </w:rPr>
  </w:style>
  <w:style w:type="paragraph" w:styleId="Antet">
    <w:name w:val="header"/>
    <w:basedOn w:val="Normal"/>
    <w:link w:val="AntetCaracter"/>
    <w:uiPriority w:val="99"/>
    <w:unhideWhenUsed/>
    <w:rsid w:val="00022E27"/>
    <w:pPr>
      <w:tabs>
        <w:tab w:val="center" w:pos="4513"/>
        <w:tab w:val="right" w:pos="9026"/>
      </w:tabs>
    </w:pPr>
  </w:style>
  <w:style w:type="character" w:customStyle="1" w:styleId="AntetCaracter">
    <w:name w:val="Antet Caracter"/>
    <w:basedOn w:val="Fontdeparagrafimplicit"/>
    <w:link w:val="Antet"/>
    <w:uiPriority w:val="99"/>
    <w:rsid w:val="00022E27"/>
    <w:rPr>
      <w:rFonts w:ascii="Times New Roman" w:eastAsia="Times New Roman" w:hAnsi="Times New Roman" w:cs="Times New Roman"/>
      <w:lang w:val="ro-RO"/>
    </w:rPr>
  </w:style>
  <w:style w:type="paragraph" w:styleId="Subsol">
    <w:name w:val="footer"/>
    <w:basedOn w:val="Normal"/>
    <w:link w:val="SubsolCaracter"/>
    <w:uiPriority w:val="99"/>
    <w:unhideWhenUsed/>
    <w:rsid w:val="00022E27"/>
    <w:pPr>
      <w:tabs>
        <w:tab w:val="center" w:pos="4513"/>
        <w:tab w:val="right" w:pos="9026"/>
      </w:tabs>
    </w:pPr>
  </w:style>
  <w:style w:type="character" w:customStyle="1" w:styleId="SubsolCaracter">
    <w:name w:val="Subsol Caracter"/>
    <w:basedOn w:val="Fontdeparagrafimplicit"/>
    <w:link w:val="Subsol"/>
    <w:uiPriority w:val="99"/>
    <w:rsid w:val="00022E27"/>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3458">
      <w:bodyDiv w:val="1"/>
      <w:marLeft w:val="0"/>
      <w:marRight w:val="0"/>
      <w:marTop w:val="0"/>
      <w:marBottom w:val="0"/>
      <w:divBdr>
        <w:top w:val="none" w:sz="0" w:space="0" w:color="auto"/>
        <w:left w:val="none" w:sz="0" w:space="0" w:color="auto"/>
        <w:bottom w:val="none" w:sz="0" w:space="0" w:color="auto"/>
        <w:right w:val="none" w:sz="0" w:space="0" w:color="auto"/>
      </w:divBdr>
    </w:div>
    <w:div w:id="1513686607">
      <w:bodyDiv w:val="1"/>
      <w:marLeft w:val="0"/>
      <w:marRight w:val="0"/>
      <w:marTop w:val="0"/>
      <w:marBottom w:val="0"/>
      <w:divBdr>
        <w:top w:val="none" w:sz="0" w:space="0" w:color="auto"/>
        <w:left w:val="none" w:sz="0" w:space="0" w:color="auto"/>
        <w:bottom w:val="none" w:sz="0" w:space="0" w:color="auto"/>
        <w:right w:val="none" w:sz="0" w:space="0" w:color="auto"/>
      </w:divBdr>
    </w:div>
    <w:div w:id="1552690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52627&amp;lang=ro" TargetMode="External"/><Relationship Id="rId13" Type="http://schemas.openxmlformats.org/officeDocument/2006/relationships/hyperlink" Target="https://eur-lex.europa.eu/legal-content/RO/TXT/?uri=CELEX:01999L0031-20240804" TargetMode="External"/><Relationship Id="rId18" Type="http://schemas.openxmlformats.org/officeDocument/2006/relationships/image" Target="media/image2.png"/><Relationship Id="rId26" Type="http://schemas.openxmlformats.org/officeDocument/2006/relationships/hyperlink" Target="http://www.particip.gov.md,"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ur-lex.europa.eu/legal-content/RO/TXT/?uri=CELEX%3A02019L0904-20190612" TargetMode="External"/><Relationship Id="rId17" Type="http://schemas.openxmlformats.org/officeDocument/2006/relationships/image" Target="media/image1.png"/><Relationship Id="rId25" Type="http://schemas.openxmlformats.org/officeDocument/2006/relationships/hyperlink" Target="https://particip.gov.md/ro/document/stages/*/16095" TargetMode="External"/><Relationship Id="rId2" Type="http://schemas.openxmlformats.org/officeDocument/2006/relationships/numbering" Target="numbering.xml"/><Relationship Id="rId16" Type="http://schemas.openxmlformats.org/officeDocument/2006/relationships/hyperlink" Target="https://eur-lex.europa.eu/legal-content/RO/TXT/?uri=CELEX:02023R1542-20250731" TargetMode="External"/><Relationship Id="rId20" Type="http://schemas.openxmlformats.org/officeDocument/2006/relationships/hyperlink" Target="http://www.siamd.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25/1892/oj/eng" TargetMode="External"/><Relationship Id="rId24" Type="http://schemas.openxmlformats.org/officeDocument/2006/relationships/hyperlink" Target="https://mediu.gov.md/" TargetMode="External"/><Relationship Id="rId5" Type="http://schemas.openxmlformats.org/officeDocument/2006/relationships/webSettings" Target="webSettings.xml"/><Relationship Id="rId15" Type="http://schemas.openxmlformats.org/officeDocument/2006/relationships/hyperlink" Target="https://eur-lex.europa.eu/legal-content/RO/TXT/?uri=CELEX:32025R0040" TargetMode="External"/><Relationship Id="rId23" Type="http://schemas.openxmlformats.org/officeDocument/2006/relationships/hyperlink" Target="https://statistica.gov.md/index.php/ro/mortalitatea-generala-dupa-principalele-clase-ale-cauzelor-de-deces-in-anul-2025-9696_62463.html" TargetMode="External"/><Relationship Id="rId28" Type="http://schemas.openxmlformats.org/officeDocument/2006/relationships/theme" Target="theme/theme1.xml"/><Relationship Id="rId10" Type="http://schemas.openxmlformats.org/officeDocument/2006/relationships/hyperlink" Target="https://eur-lex.europa.eu/legal-content/RO/TXT/?uri=CELEX%3A02008L0098-20240218" TargetMode="External"/><Relationship Id="rId19" Type="http://schemas.openxmlformats.org/officeDocument/2006/relationships/hyperlink" Target="https://mediu.gov.md/sites/default/files/Documente%20atasate%20Advance%20Pagines/USAID_MESA_PMCG_Deliverable_8_Final_Report_on_Waste_Composition_Survey_RO.pdf" TargetMode="External"/><Relationship Id="rId4" Type="http://schemas.openxmlformats.org/officeDocument/2006/relationships/settings" Target="settings.xml"/><Relationship Id="rId9" Type="http://schemas.openxmlformats.org/officeDocument/2006/relationships/hyperlink" Target="https://www.legis.md/UserFiles/Image/RO/2026/mo%2018-44%20ro/Cluster%204_818%20ro(2).pdf" TargetMode="External"/><Relationship Id="rId14" Type="http://schemas.openxmlformats.org/officeDocument/2006/relationships/hyperlink" Target="https://eur-lex.europa.eu/legal-content/RO/TXT/?uri=CELEX:32009D0292" TargetMode="External"/><Relationship Id="rId22" Type="http://schemas.openxmlformats.org/officeDocument/2006/relationships/hyperlink" Target="https://moldova1.md/p/4420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F64E-8B3A-45BB-833A-2C7B1024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21</Pages>
  <Words>11948</Words>
  <Characters>81968</Characters>
  <Application>Microsoft Office Word</Application>
  <DocSecurity>0</DocSecurity>
  <Lines>1154</Lines>
  <Paragraphs>303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Bocan</dc:creator>
  <cp:lastModifiedBy>Direcția politici de gestionare a deșeurilor și a siturilor</cp:lastModifiedBy>
  <cp:revision>47</cp:revision>
  <cp:lastPrinted>2026-07-02T05:52:00Z</cp:lastPrinted>
  <dcterms:created xsi:type="dcterms:W3CDTF">2026-02-10T13:37:00Z</dcterms:created>
  <dcterms:modified xsi:type="dcterms:W3CDTF">2026-07-06T05:56:00Z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pentru Microsoft 365</vt:lpwstr>
  </property>
  <property fmtid="{D5CDD505-2E9C-101B-9397-08002B2CF9AE}" pid="4" name="LastSaved">
    <vt:filetime>2026-02-10T00:00:00Z</vt:filetime>
  </property>
  <property fmtid="{D5CDD505-2E9C-101B-9397-08002B2CF9AE}" pid="5" name="Producer">
    <vt:lpwstr>Microsoft® Word pentru Microsoft 365; modified using iText® Core 9.1.0 (AGPL version) ©2000-2025 Apryse Group NV</vt:lpwstr>
  </property>
</Properties>
</file>