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BB891" w14:textId="77777777" w:rsidR="001E4866" w:rsidRDefault="00000000">
      <w:pPr>
        <w:pBdr>
          <w:top w:val="none" w:sz="0" w:space="0" w:color="000000"/>
          <w:left w:val="none" w:sz="0" w:space="0" w:color="000000"/>
          <w:bottom w:val="none" w:sz="0" w:space="0" w:color="000000"/>
          <w:right w:val="none" w:sz="0" w:space="0" w:color="000000"/>
        </w:pBdr>
        <w:tabs>
          <w:tab w:val="left" w:pos="884"/>
          <w:tab w:val="left" w:pos="1196"/>
        </w:tabs>
        <w:ind w:firstLine="0"/>
        <w:jc w:val="center"/>
        <w:rPr>
          <w:sz w:val="22"/>
          <w:szCs w:val="22"/>
        </w:rPr>
      </w:pPr>
      <w:r>
        <w:rPr>
          <w:b/>
          <w:bCs/>
          <w:sz w:val="22"/>
          <w:szCs w:val="22"/>
        </w:rPr>
        <w:t>SINTEZA</w:t>
      </w:r>
    </w:p>
    <w:p w14:paraId="2A845092" w14:textId="77777777" w:rsidR="001E4866" w:rsidRDefault="00000000">
      <w:pPr>
        <w:pBdr>
          <w:top w:val="none" w:sz="0" w:space="0" w:color="000000"/>
          <w:left w:val="none" w:sz="0" w:space="0" w:color="000000"/>
          <w:bottom w:val="none" w:sz="0" w:space="0" w:color="000000"/>
          <w:right w:val="none" w:sz="0" w:space="0" w:color="000000"/>
        </w:pBdr>
        <w:tabs>
          <w:tab w:val="left" w:pos="884"/>
          <w:tab w:val="left" w:pos="1196"/>
        </w:tabs>
        <w:ind w:firstLine="0"/>
        <w:jc w:val="center"/>
        <w:rPr>
          <w:b/>
          <w:bCs/>
          <w:sz w:val="22"/>
          <w:szCs w:val="22"/>
        </w:rPr>
      </w:pPr>
      <w:r>
        <w:rPr>
          <w:b/>
          <w:bCs/>
          <w:sz w:val="22"/>
          <w:szCs w:val="22"/>
        </w:rPr>
        <w:t xml:space="preserve">obiecțiilor </w:t>
      </w:r>
      <w:proofErr w:type="spellStart"/>
      <w:r>
        <w:rPr>
          <w:b/>
          <w:bCs/>
          <w:sz w:val="22"/>
          <w:szCs w:val="22"/>
        </w:rPr>
        <w:t>şi</w:t>
      </w:r>
      <w:proofErr w:type="spellEnd"/>
      <w:r>
        <w:rPr>
          <w:b/>
          <w:bCs/>
          <w:sz w:val="22"/>
          <w:szCs w:val="22"/>
        </w:rPr>
        <w:t xml:space="preserve"> propunerilor (recomandărilor) </w:t>
      </w:r>
    </w:p>
    <w:p w14:paraId="3113BCDC" w14:textId="77777777" w:rsidR="001E4866" w:rsidRDefault="00000000">
      <w:pPr>
        <w:pBdr>
          <w:top w:val="none" w:sz="0" w:space="0" w:color="000000"/>
          <w:left w:val="none" w:sz="0" w:space="0" w:color="000000"/>
          <w:bottom w:val="none" w:sz="0" w:space="0" w:color="000000"/>
          <w:right w:val="none" w:sz="0" w:space="0" w:color="000000"/>
        </w:pBdr>
        <w:tabs>
          <w:tab w:val="left" w:pos="884"/>
          <w:tab w:val="left" w:pos="1196"/>
        </w:tabs>
        <w:ind w:firstLine="0"/>
        <w:jc w:val="center"/>
        <w:rPr>
          <w:b/>
          <w:bCs/>
          <w:sz w:val="22"/>
          <w:szCs w:val="22"/>
        </w:rPr>
      </w:pPr>
      <w:r>
        <w:rPr>
          <w:b/>
          <w:bCs/>
          <w:sz w:val="22"/>
          <w:szCs w:val="22"/>
        </w:rPr>
        <w:t>la proiectul</w:t>
      </w:r>
      <w:r>
        <w:rPr>
          <w:sz w:val="22"/>
          <w:szCs w:val="22"/>
        </w:rPr>
        <w:t xml:space="preserve"> </w:t>
      </w:r>
      <w:r>
        <w:rPr>
          <w:b/>
          <w:bCs/>
          <w:sz w:val="22"/>
          <w:szCs w:val="22"/>
        </w:rPr>
        <w:t>de Lege</w:t>
      </w:r>
      <w:r>
        <w:rPr>
          <w:b/>
          <w:bCs/>
          <w:sz w:val="18"/>
          <w:szCs w:val="18"/>
        </w:rPr>
        <w:t xml:space="preserve"> </w:t>
      </w:r>
      <w:r>
        <w:rPr>
          <w:b/>
          <w:bCs/>
          <w:sz w:val="24"/>
          <w:szCs w:val="24"/>
        </w:rPr>
        <w:t>privind modificarea unor acte normative (reglementarea exercitării profesiunilor medico-sanitare și farmaceutice)</w:t>
      </w:r>
    </w:p>
    <w:p w14:paraId="5D41079E" w14:textId="77777777" w:rsidR="001E4866" w:rsidRDefault="001E4866">
      <w:pPr>
        <w:tabs>
          <w:tab w:val="left" w:pos="851"/>
          <w:tab w:val="left" w:pos="993"/>
        </w:tabs>
        <w:ind w:firstLine="567"/>
        <w:jc w:val="center"/>
        <w:rPr>
          <w:sz w:val="22"/>
          <w:szCs w:val="22"/>
        </w:rPr>
      </w:pPr>
    </w:p>
    <w:p w14:paraId="22CE29BB" w14:textId="77777777" w:rsidR="001E4866" w:rsidRDefault="00000000">
      <w:pPr>
        <w:tabs>
          <w:tab w:val="left" w:pos="851"/>
          <w:tab w:val="left" w:pos="993"/>
        </w:tabs>
        <w:ind w:firstLine="567"/>
        <w:jc w:val="center"/>
        <w:rPr>
          <w:sz w:val="22"/>
          <w:szCs w:val="22"/>
        </w:rPr>
      </w:pPr>
      <w:r>
        <w:rPr>
          <w:sz w:val="22"/>
          <w:szCs w:val="22"/>
        </w:rPr>
        <w:t>(număr unic 464/MS/2025)</w:t>
      </w:r>
    </w:p>
    <w:p w14:paraId="5A23A753" w14:textId="77777777" w:rsidR="001E4866" w:rsidRDefault="001E4866">
      <w:pPr>
        <w:pBdr>
          <w:top w:val="none" w:sz="0" w:space="0" w:color="000000"/>
          <w:left w:val="none" w:sz="0" w:space="0" w:color="000000"/>
          <w:bottom w:val="none" w:sz="0" w:space="0" w:color="000000"/>
          <w:right w:val="none" w:sz="0" w:space="0" w:color="000000"/>
        </w:pBdr>
        <w:tabs>
          <w:tab w:val="left" w:pos="884"/>
          <w:tab w:val="left" w:pos="1196"/>
        </w:tabs>
        <w:ind w:firstLine="0"/>
        <w:rPr>
          <w:sz w:val="22"/>
          <w:szCs w:val="22"/>
        </w:rPr>
      </w:pPr>
    </w:p>
    <w:tbl>
      <w:tblPr>
        <w:tblStyle w:val="a"/>
        <w:tblpPr w:leftFromText="180" w:rightFromText="180" w:vertAnchor="text" w:tblpX="-382" w:tblpY="26"/>
        <w:tblW w:w="142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5"/>
        <w:gridCol w:w="1905"/>
        <w:gridCol w:w="1575"/>
        <w:gridCol w:w="4785"/>
        <w:gridCol w:w="4635"/>
      </w:tblGrid>
      <w:tr w:rsidR="001E4866" w14:paraId="3DABB892" w14:textId="77777777">
        <w:trPr>
          <w:trHeight w:val="960"/>
          <w:tblHeader/>
        </w:trPr>
        <w:tc>
          <w:tcPr>
            <w:tcW w:w="1335" w:type="dxa"/>
          </w:tcPr>
          <w:p w14:paraId="24D7046E"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Nr. ord.</w:t>
            </w:r>
          </w:p>
        </w:tc>
        <w:tc>
          <w:tcPr>
            <w:tcW w:w="1905" w:type="dxa"/>
            <w:tcMar>
              <w:top w:w="0" w:type="dxa"/>
              <w:bottom w:w="0" w:type="dxa"/>
            </w:tcMar>
          </w:tcPr>
          <w:p w14:paraId="67D1AB4D"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Participantul la avizare, consultare publică, expertizare</w:t>
            </w:r>
          </w:p>
        </w:tc>
        <w:tc>
          <w:tcPr>
            <w:tcW w:w="1575" w:type="dxa"/>
            <w:tcMar>
              <w:top w:w="0" w:type="dxa"/>
              <w:bottom w:w="0" w:type="dxa"/>
            </w:tcMar>
          </w:tcPr>
          <w:p w14:paraId="71A5A3C7"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Nr. crt.</w:t>
            </w:r>
          </w:p>
        </w:tc>
        <w:tc>
          <w:tcPr>
            <w:tcW w:w="4785" w:type="dxa"/>
            <w:tcMar>
              <w:top w:w="0" w:type="dxa"/>
              <w:bottom w:w="0" w:type="dxa"/>
            </w:tcMar>
          </w:tcPr>
          <w:p w14:paraId="7A88FE54" w14:textId="77777777" w:rsidR="001E4866" w:rsidRDefault="00000000">
            <w:pPr>
              <w:pBdr>
                <w:top w:val="none" w:sz="0" w:space="0" w:color="000000"/>
                <w:left w:val="none" w:sz="0" w:space="0" w:color="000000"/>
                <w:bottom w:val="none" w:sz="0" w:space="0" w:color="000000"/>
                <w:right w:val="none" w:sz="0" w:space="0" w:color="000000"/>
              </w:pBdr>
              <w:tabs>
                <w:tab w:val="left" w:pos="884"/>
                <w:tab w:val="left" w:pos="1196"/>
              </w:tabs>
              <w:ind w:firstLine="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Conținutul obiecției,</w:t>
            </w:r>
          </w:p>
          <w:p w14:paraId="7491D23A"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propunerii, recomandării, concluziei</w:t>
            </w:r>
          </w:p>
        </w:tc>
        <w:tc>
          <w:tcPr>
            <w:tcW w:w="4635" w:type="dxa"/>
            <w:tcMar>
              <w:top w:w="0" w:type="dxa"/>
              <w:bottom w:w="0" w:type="dxa"/>
            </w:tcMar>
          </w:tcPr>
          <w:p w14:paraId="193AE2B3" w14:textId="77777777" w:rsidR="001E4866" w:rsidRDefault="00000000">
            <w:pPr>
              <w:pBdr>
                <w:top w:val="none" w:sz="0" w:space="0" w:color="000000"/>
                <w:left w:val="none" w:sz="0" w:space="0" w:color="000000"/>
                <w:bottom w:val="none" w:sz="0" w:space="0" w:color="000000"/>
                <w:right w:val="none" w:sz="0" w:space="0" w:color="000000"/>
              </w:pBdr>
              <w:tabs>
                <w:tab w:val="left" w:pos="884"/>
                <w:tab w:val="left" w:pos="1196"/>
              </w:tabs>
              <w:ind w:firstLine="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Argumentarea</w:t>
            </w:r>
          </w:p>
          <w:p w14:paraId="0317A899"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autorului proiectului</w:t>
            </w:r>
          </w:p>
        </w:tc>
      </w:tr>
      <w:tr w:rsidR="001E4866" w14:paraId="6FB3B12A" w14:textId="77777777">
        <w:trPr>
          <w:trHeight w:val="198"/>
          <w:tblHeader/>
        </w:trPr>
        <w:tc>
          <w:tcPr>
            <w:tcW w:w="1335" w:type="dxa"/>
          </w:tcPr>
          <w:p w14:paraId="7FD47B59"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w:t>
            </w:r>
          </w:p>
        </w:tc>
        <w:tc>
          <w:tcPr>
            <w:tcW w:w="1905" w:type="dxa"/>
            <w:tcMar>
              <w:top w:w="0" w:type="dxa"/>
              <w:bottom w:w="0" w:type="dxa"/>
            </w:tcMar>
          </w:tcPr>
          <w:p w14:paraId="158D1306"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2</w:t>
            </w:r>
          </w:p>
        </w:tc>
        <w:tc>
          <w:tcPr>
            <w:tcW w:w="1575" w:type="dxa"/>
            <w:tcMar>
              <w:top w:w="0" w:type="dxa"/>
              <w:bottom w:w="0" w:type="dxa"/>
            </w:tcMar>
          </w:tcPr>
          <w:p w14:paraId="601F933C"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3</w:t>
            </w:r>
          </w:p>
        </w:tc>
        <w:tc>
          <w:tcPr>
            <w:tcW w:w="4785" w:type="dxa"/>
            <w:tcMar>
              <w:top w:w="0" w:type="dxa"/>
              <w:bottom w:w="0" w:type="dxa"/>
            </w:tcMar>
          </w:tcPr>
          <w:p w14:paraId="36605EA2" w14:textId="77777777" w:rsidR="001E4866" w:rsidRDefault="00000000">
            <w:pPr>
              <w:pBdr>
                <w:top w:val="none" w:sz="0" w:space="0" w:color="000000"/>
                <w:left w:val="none" w:sz="0" w:space="0" w:color="000000"/>
                <w:bottom w:val="none" w:sz="0" w:space="0" w:color="000000"/>
                <w:right w:val="none" w:sz="0" w:space="0" w:color="000000"/>
              </w:pBdr>
              <w:tabs>
                <w:tab w:val="left" w:pos="884"/>
                <w:tab w:val="left" w:pos="1196"/>
              </w:tabs>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w:t>
            </w:r>
          </w:p>
        </w:tc>
        <w:tc>
          <w:tcPr>
            <w:tcW w:w="4635" w:type="dxa"/>
            <w:tcMar>
              <w:top w:w="0" w:type="dxa"/>
              <w:bottom w:w="0" w:type="dxa"/>
            </w:tcMar>
          </w:tcPr>
          <w:p w14:paraId="2A1B2DAB" w14:textId="77777777" w:rsidR="001E4866" w:rsidRDefault="00000000">
            <w:pPr>
              <w:pBdr>
                <w:top w:val="none" w:sz="0" w:space="0" w:color="000000"/>
                <w:left w:val="none" w:sz="0" w:space="0" w:color="000000"/>
                <w:bottom w:val="none" w:sz="0" w:space="0" w:color="000000"/>
                <w:right w:val="none" w:sz="0" w:space="0" w:color="000000"/>
              </w:pBdr>
              <w:tabs>
                <w:tab w:val="left" w:pos="884"/>
                <w:tab w:val="left" w:pos="1196"/>
              </w:tabs>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5</w:t>
            </w:r>
          </w:p>
        </w:tc>
      </w:tr>
      <w:tr w:rsidR="001E4866" w14:paraId="1AD41ED5" w14:textId="77777777">
        <w:trPr>
          <w:trHeight w:val="220"/>
        </w:trPr>
        <w:tc>
          <w:tcPr>
            <w:tcW w:w="1335" w:type="dxa"/>
          </w:tcPr>
          <w:p w14:paraId="5BA0935D"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2900" w:type="dxa"/>
            <w:gridSpan w:val="4"/>
            <w:tcMar>
              <w:top w:w="0" w:type="dxa"/>
              <w:bottom w:w="0" w:type="dxa"/>
            </w:tcMar>
          </w:tcPr>
          <w:p w14:paraId="3A424169"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Avizare și consultare publică</w:t>
            </w:r>
          </w:p>
        </w:tc>
      </w:tr>
      <w:tr w:rsidR="001E4866" w14:paraId="759F27D3" w14:textId="77777777">
        <w:trPr>
          <w:trHeight w:val="6823"/>
        </w:trPr>
        <w:tc>
          <w:tcPr>
            <w:tcW w:w="1335" w:type="dxa"/>
            <w:vMerge w:val="restart"/>
          </w:tcPr>
          <w:p w14:paraId="56AF8202" w14:textId="77777777" w:rsidR="001E4866" w:rsidRDefault="001E4866">
            <w:pPr>
              <w:numPr>
                <w:ilvl w:val="0"/>
                <w:numId w:val="1"/>
              </w:numPr>
              <w:pBdr>
                <w:top w:val="none" w:sz="0" w:space="0" w:color="000000"/>
                <w:left w:val="none" w:sz="0" w:space="0" w:color="000000"/>
                <w:bottom w:val="none" w:sz="0" w:space="0" w:color="000000"/>
                <w:right w:val="none" w:sz="0" w:space="0" w:color="000000"/>
              </w:pBdr>
              <w:ind w:hanging="660"/>
              <w:jc w:val="center"/>
              <w:rPr>
                <w:sz w:val="22"/>
                <w:szCs w:val="22"/>
              </w:rPr>
            </w:pPr>
          </w:p>
        </w:tc>
        <w:tc>
          <w:tcPr>
            <w:tcW w:w="1905" w:type="dxa"/>
            <w:vMerge w:val="restart"/>
            <w:tcMar>
              <w:top w:w="0" w:type="dxa"/>
              <w:bottom w:w="0" w:type="dxa"/>
            </w:tcMar>
          </w:tcPr>
          <w:p w14:paraId="261B5C26"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Ministerul Educației și Cercetării </w:t>
            </w:r>
          </w:p>
        </w:tc>
        <w:tc>
          <w:tcPr>
            <w:tcW w:w="1575" w:type="dxa"/>
            <w:vMerge w:val="restart"/>
            <w:tcMar>
              <w:top w:w="0" w:type="dxa"/>
              <w:bottom w:w="0" w:type="dxa"/>
            </w:tcMar>
          </w:tcPr>
          <w:p w14:paraId="02AAD3FB"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 nr. 03/3-09/4516 din 23.06.2025</w:t>
            </w:r>
          </w:p>
        </w:tc>
        <w:tc>
          <w:tcPr>
            <w:tcW w:w="4785" w:type="dxa"/>
            <w:vMerge w:val="restart"/>
            <w:tcMar>
              <w:top w:w="0" w:type="dxa"/>
              <w:bottom w:w="0" w:type="dxa"/>
            </w:tcMar>
          </w:tcPr>
          <w:p w14:paraId="6E93042B"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În clauza de armonizare de exclus textul „art. 3, pct. (1), lit. (b, c, f, h, k), art. 56 pct. (4), art. 57b pct. (2)”. Astfel, propunerile de modificare care transpun articolele de mai sus, de exclus.</w:t>
            </w:r>
          </w:p>
          <w:p w14:paraId="1913EA79"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Întru argumentarea celor menționate, informăm că potrivit art. 140, lit. t1) și t2) din Codul Educației nr. 152/2014, Ministerul Educației „exercită rolul de coordonator național al activităților autorităților competente pentru recunoașterea calificărilor profesionale obținute într-un stat membru al Uniunii Europene, într-un stat al Spațiului Economic European și în Confederația Elvețiană” și „rolul Centrului de asistență privind recunoașterea calificărilor profesionale”, respectiv, astfel fiind transpuse art. 56 pct. (4) și art. 57b. În context, art. 3 din Directiva (UE) 2005/36/CE a Parlamentului European și a Consiliului privind recunoașterea calificărilor profesionale este transpus integral în Proiectul de Lege privind recunoașterea calificărilor profesionale, înaintat Cancelariei de Stat la 06 iunie 2025.</w:t>
            </w:r>
          </w:p>
        </w:tc>
        <w:tc>
          <w:tcPr>
            <w:tcW w:w="4635" w:type="dxa"/>
            <w:vMerge w:val="restart"/>
            <w:tcMar>
              <w:top w:w="0" w:type="dxa"/>
              <w:bottom w:w="0" w:type="dxa"/>
            </w:tcMar>
          </w:tcPr>
          <w:p w14:paraId="2C16F04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070DE410"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Clauza de armonizare s-a expus în redacția propusă de Centrul de armonizare a legislației. Prevederile aferente stabilirii Coordonatorului național al activităților autorităților competente și Centrului de asistență privind recunoașterea calificărilor profesionale au fost excluse (modificările operate la art. 12</w:t>
            </w:r>
            <w:r>
              <w:rPr>
                <w:rFonts w:ascii="Times New Roman" w:eastAsia="Times New Roman" w:hAnsi="Times New Roman" w:cs="Times New Roman"/>
                <w:sz w:val="22"/>
                <w:szCs w:val="22"/>
                <w:vertAlign w:val="superscript"/>
              </w:rPr>
              <w:t xml:space="preserve">6 </w:t>
            </w:r>
            <w:r>
              <w:rPr>
                <w:rFonts w:ascii="Times New Roman" w:eastAsia="Times New Roman" w:hAnsi="Times New Roman" w:cs="Times New Roman"/>
                <w:sz w:val="22"/>
                <w:szCs w:val="22"/>
              </w:rPr>
              <w:t>și art. 12</w:t>
            </w:r>
            <w:r>
              <w:rPr>
                <w:rFonts w:ascii="Times New Roman" w:eastAsia="Times New Roman" w:hAnsi="Times New Roman" w:cs="Times New Roman"/>
                <w:sz w:val="22"/>
                <w:szCs w:val="22"/>
                <w:vertAlign w:val="superscript"/>
              </w:rPr>
              <w:t xml:space="preserve">7 </w:t>
            </w:r>
            <w:r>
              <w:rPr>
                <w:rFonts w:ascii="Times New Roman" w:eastAsia="Times New Roman" w:hAnsi="Times New Roman" w:cs="Times New Roman"/>
                <w:sz w:val="22"/>
                <w:szCs w:val="22"/>
              </w:rPr>
              <w:t xml:space="preserve"> din Legea nr. 552 din 18.10.2001 privind evaluarea și</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2"/>
                <w:szCs w:val="22"/>
              </w:rPr>
              <w:t xml:space="preserve">acreditarea în sănătate.  </w:t>
            </w:r>
          </w:p>
          <w:p w14:paraId="3AF2F9BA"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16632C17"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Cu referire la transpunerea noțiunilor prevăzute la art. 3 din Directiva (UE) 2005/36/CE, menționăm că, proiectul elaborat de MS prezintă un act normativ cu caracter special, care se aplică </w:t>
            </w:r>
            <w:proofErr w:type="spellStart"/>
            <w:r>
              <w:rPr>
                <w:rFonts w:ascii="Times New Roman" w:eastAsia="Times New Roman" w:hAnsi="Times New Roman" w:cs="Times New Roman"/>
                <w:sz w:val="22"/>
                <w:szCs w:val="22"/>
              </w:rPr>
              <w:t>aplică</w:t>
            </w:r>
            <w:proofErr w:type="spellEnd"/>
            <w:r>
              <w:rPr>
                <w:rFonts w:ascii="Times New Roman" w:eastAsia="Times New Roman" w:hAnsi="Times New Roman" w:cs="Times New Roman"/>
                <w:sz w:val="22"/>
                <w:szCs w:val="22"/>
              </w:rPr>
              <w:t xml:space="preserve"> unui sector reglementat distinc</w:t>
            </w:r>
            <w:r>
              <w:rPr>
                <w:rFonts w:ascii="Times New Roman" w:eastAsia="Times New Roman" w:hAnsi="Times New Roman" w:cs="Times New Roman"/>
                <w:b/>
                <w:bCs/>
                <w:sz w:val="22"/>
                <w:szCs w:val="22"/>
              </w:rPr>
              <w:t>t</w:t>
            </w:r>
            <w:r>
              <w:rPr>
                <w:rFonts w:ascii="Times New Roman" w:eastAsia="Times New Roman" w:hAnsi="Times New Roman" w:cs="Times New Roman"/>
                <w:sz w:val="22"/>
                <w:szCs w:val="22"/>
              </w:rPr>
              <w:t xml:space="preserve"> – cel al profesiilor medico-sanitare și farmaceutice – și asigură transpunerea unor dispoziții sectoriale specifice ale Directivei 2005/36/CE. Spre deosebire de proiectul cadru general elaborat de Ministerul Educației, care vizează ansamblul profesiilor reglementate, prezentul proiect detaliază norme adaptate particularităților din domeniul sănătății. În acest sens, unele noțiuni au un conținut mai restrâns, în conformitate cu cerințele specifice aplicate profesiilor medico-sanitare și </w:t>
            </w:r>
            <w:r>
              <w:rPr>
                <w:rFonts w:ascii="Times New Roman" w:eastAsia="Times New Roman" w:hAnsi="Times New Roman" w:cs="Times New Roman"/>
                <w:sz w:val="22"/>
                <w:szCs w:val="22"/>
              </w:rPr>
              <w:lastRenderedPageBreak/>
              <w:t>farmaceutice. Adițional, noțiunile vizate sunt utilizate direct în textul proiectului de lege. Astfel, din punct de vedere al coerenței legislative și al clarității aplicării legii, este rațional și necesar ca aceste noțiuni să fie definite în mod expres în articolul dedicat termenilor, pentru a asigura interpretarea unitară și pentru a evita orice ambiguități în aplicarea normelor.</w:t>
            </w:r>
          </w:p>
        </w:tc>
      </w:tr>
      <w:tr w:rsidR="001E4866" w14:paraId="4A8D7158" w14:textId="77777777">
        <w:trPr>
          <w:trHeight w:val="1740"/>
        </w:trPr>
        <w:tc>
          <w:tcPr>
            <w:tcW w:w="1335" w:type="dxa"/>
            <w:vMerge/>
          </w:tcPr>
          <w:p w14:paraId="75C7AFB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8AC758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B251CC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vMerge/>
            <w:tcMar>
              <w:top w:w="0" w:type="dxa"/>
              <w:bottom w:w="0" w:type="dxa"/>
            </w:tcMar>
          </w:tcPr>
          <w:p w14:paraId="39CEA1C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635" w:type="dxa"/>
            <w:vMerge/>
            <w:tcMar>
              <w:top w:w="0" w:type="dxa"/>
              <w:bottom w:w="0" w:type="dxa"/>
            </w:tcMar>
          </w:tcPr>
          <w:p w14:paraId="4720A60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r>
      <w:tr w:rsidR="001E4866" w14:paraId="4475FF09" w14:textId="77777777">
        <w:trPr>
          <w:trHeight w:val="1245"/>
        </w:trPr>
        <w:tc>
          <w:tcPr>
            <w:tcW w:w="1335" w:type="dxa"/>
            <w:vMerge/>
          </w:tcPr>
          <w:p w14:paraId="2F4215E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54F566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1FB351B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3D52A336"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în scopul corelării prevederilor actelor normative propuse spre modificare cu prevederile Codului Educației nr. 152/2014, se recomandă la:</w:t>
            </w:r>
          </w:p>
          <w:p w14:paraId="264C1E45"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Legea nr. 411/1995 ocrotirii sănătății:</w:t>
            </w:r>
          </w:p>
          <w:p w14:paraId="5131F3C3"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Art. 11. alin. (1</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alin. (2), alin. 2), lit. b), alin. (4), Art. 14. alin. (5) după cuvântul „licență” se completează cu sintagma „/studiilor superioare integrate în medicină”.</w:t>
            </w:r>
          </w:p>
        </w:tc>
        <w:tc>
          <w:tcPr>
            <w:tcW w:w="4635" w:type="dxa"/>
            <w:tcMar>
              <w:top w:w="0" w:type="dxa"/>
              <w:bottom w:w="0" w:type="dxa"/>
            </w:tcMar>
          </w:tcPr>
          <w:p w14:paraId="0461709C"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color w:val="FF0000"/>
                <w:sz w:val="22"/>
                <w:szCs w:val="22"/>
              </w:rPr>
            </w:pPr>
            <w:r>
              <w:rPr>
                <w:rFonts w:ascii="Times New Roman" w:eastAsia="Times New Roman" w:hAnsi="Times New Roman" w:cs="Times New Roman"/>
                <w:b/>
                <w:bCs/>
                <w:sz w:val="22"/>
                <w:szCs w:val="22"/>
              </w:rPr>
              <w:t>Nu se acceptă.</w:t>
            </w:r>
            <w:r>
              <w:rPr>
                <w:rFonts w:ascii="Times New Roman" w:eastAsia="Times New Roman" w:hAnsi="Times New Roman" w:cs="Times New Roman"/>
                <w:b/>
                <w:bCs/>
                <w:color w:val="FF0000"/>
                <w:sz w:val="22"/>
                <w:szCs w:val="22"/>
              </w:rPr>
              <w:t xml:space="preserve"> </w:t>
            </w:r>
          </w:p>
          <w:p w14:paraId="2929D250"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Nu constituie obiectul reglementării proiectului de lege supus avizării, care urmărește exclusiv reglementarea sistemului de certificare a cadrelor medicale și mecanismelor de recunoaștere a calificărilor profesionale. Includerea unor modificări adiționale care țin de înlesniri pentru lucrătorii medico-sanitari și farmaceutici ar extinde nejustificat obiectul de reglementare al proiectului și ar putea genera necorelări </w:t>
            </w:r>
            <w:proofErr w:type="spellStart"/>
            <w:r>
              <w:rPr>
                <w:rFonts w:ascii="Times New Roman" w:eastAsia="Times New Roman" w:hAnsi="Times New Roman" w:cs="Times New Roman"/>
                <w:sz w:val="22"/>
                <w:szCs w:val="22"/>
              </w:rPr>
              <w:t>tehnico</w:t>
            </w:r>
            <w:proofErr w:type="spellEnd"/>
            <w:r>
              <w:rPr>
                <w:rFonts w:ascii="Times New Roman" w:eastAsia="Times New Roman" w:hAnsi="Times New Roman" w:cs="Times New Roman"/>
                <w:sz w:val="22"/>
                <w:szCs w:val="22"/>
              </w:rPr>
              <w:t>-juridice suplimentare în lipsa unei evaluări de impact și a unei consultări intersectoriale corespunzătoare.</w:t>
            </w:r>
          </w:p>
        </w:tc>
      </w:tr>
      <w:tr w:rsidR="001E4866" w14:paraId="708246BC" w14:textId="77777777">
        <w:trPr>
          <w:trHeight w:val="2545"/>
        </w:trPr>
        <w:tc>
          <w:tcPr>
            <w:tcW w:w="1335" w:type="dxa"/>
            <w:vMerge/>
          </w:tcPr>
          <w:p w14:paraId="7DC5CA0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27E4F6A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15D7BC8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1068B960" w14:textId="77777777" w:rsidR="001E4866" w:rsidRDefault="00000000">
            <w:pPr>
              <w:pBdr>
                <w:top w:val="none" w:sz="0" w:space="0" w:color="000000"/>
                <w:left w:val="none" w:sz="0" w:space="0" w:color="000000"/>
                <w:bottom w:val="none" w:sz="0" w:space="0" w:color="000000"/>
                <w:right w:val="none" w:sz="0" w:space="0" w:color="000000"/>
              </w:pBdr>
              <w:ind w:left="29" w:firstLine="0"/>
              <w:rPr>
                <w:rFonts w:ascii="Times New Roman" w:eastAsia="Times New Roman" w:hAnsi="Times New Roman" w:cs="Times New Roman"/>
                <w:i/>
                <w:iCs/>
                <w:sz w:val="22"/>
                <w:szCs w:val="22"/>
              </w:rPr>
            </w:pPr>
            <w:r>
              <w:rPr>
                <w:rFonts w:ascii="Times New Roman" w:eastAsia="Times New Roman" w:hAnsi="Times New Roman" w:cs="Times New Roman"/>
                <w:sz w:val="22"/>
                <w:szCs w:val="22"/>
              </w:rPr>
              <w:t xml:space="preserve">Noțiunea „certificare” se regăsește în art. 3 din Codul educației și conform prevederilor art. 55, alin. (5) din Legea nr. 100/2017 cu privire la actele normative pentru a evita reproducerea normelor complementare </w:t>
            </w:r>
            <w:r>
              <w:rPr>
                <w:rFonts w:ascii="Times New Roman" w:eastAsia="Times New Roman" w:hAnsi="Times New Roman" w:cs="Times New Roman"/>
                <w:i/>
                <w:iCs/>
                <w:sz w:val="22"/>
                <w:szCs w:val="22"/>
              </w:rPr>
              <w:t>recomandăm reformularea noțiunii după cum urmează:</w:t>
            </w:r>
          </w:p>
          <w:p w14:paraId="1C9C570B"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i/>
                <w:iCs/>
                <w:sz w:val="22"/>
                <w:szCs w:val="22"/>
              </w:rPr>
              <w:t>certificarea competențelor în domeniul medico-sanitar și farmaceutic</w:t>
            </w:r>
            <w:r>
              <w:rPr>
                <w:rFonts w:ascii="Times New Roman" w:eastAsia="Times New Roman" w:hAnsi="Times New Roman" w:cs="Times New Roman"/>
                <w:sz w:val="22"/>
                <w:szCs w:val="22"/>
              </w:rPr>
              <w:t xml:space="preserve"> – procedura realizată de autoritatea publică prin care se atestă îndeplinirea tuturor condițiilor necesare pentru accederea și exercitarea profesiunilor medico-sanitare și farmaceutice, inclusiv deținerea competențelor pentru executarea activităților specifice titlului de </w:t>
            </w:r>
            <w:r>
              <w:rPr>
                <w:rFonts w:ascii="Times New Roman" w:eastAsia="Times New Roman" w:hAnsi="Times New Roman" w:cs="Times New Roman"/>
                <w:sz w:val="22"/>
                <w:szCs w:val="22"/>
              </w:rPr>
              <w:lastRenderedPageBreak/>
              <w:t>calificare, rezultată prin emiterea cardului profesional național;”</w:t>
            </w:r>
          </w:p>
        </w:tc>
        <w:tc>
          <w:tcPr>
            <w:tcW w:w="4635" w:type="dxa"/>
            <w:tcMar>
              <w:top w:w="0" w:type="dxa"/>
              <w:bottom w:w="0" w:type="dxa"/>
            </w:tcMar>
          </w:tcPr>
          <w:p w14:paraId="34C3F931"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Nu se acceptă. </w:t>
            </w:r>
          </w:p>
          <w:p w14:paraId="5D3BAF7B"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Utilizarea repetată a unei expresii extinse, precum </w:t>
            </w:r>
            <w:r>
              <w:rPr>
                <w:rFonts w:ascii="Times New Roman" w:eastAsia="Times New Roman" w:hAnsi="Times New Roman" w:cs="Times New Roman"/>
                <w:i/>
                <w:iCs/>
                <w:sz w:val="22"/>
                <w:szCs w:val="22"/>
              </w:rPr>
              <w:t>„certificarea competențelor în domeniul medico-sanitar și farmaceutic”</w:t>
            </w:r>
            <w:r>
              <w:rPr>
                <w:rFonts w:ascii="Times New Roman" w:eastAsia="Times New Roman" w:hAnsi="Times New Roman" w:cs="Times New Roman"/>
                <w:sz w:val="22"/>
                <w:szCs w:val="22"/>
              </w:rPr>
              <w:t>, ar afecta negativ lizibilitatea și coerența normei juridice, contrar cerințelor de tehnică legislativă.</w:t>
            </w:r>
          </w:p>
          <w:p w14:paraId="55C7E3FD"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Utilizarea termenului extins </w:t>
            </w:r>
            <w:r>
              <w:rPr>
                <w:rFonts w:ascii="Times New Roman" w:eastAsia="Times New Roman" w:hAnsi="Times New Roman" w:cs="Times New Roman"/>
                <w:i/>
                <w:iCs/>
                <w:sz w:val="22"/>
                <w:szCs w:val="22"/>
              </w:rPr>
              <w:t>„certificarea competențelor în domeniul medico‑sanitar și farmaceutic”</w:t>
            </w:r>
            <w:r>
              <w:rPr>
                <w:rFonts w:ascii="Times New Roman" w:eastAsia="Times New Roman" w:hAnsi="Times New Roman" w:cs="Times New Roman"/>
                <w:sz w:val="22"/>
                <w:szCs w:val="22"/>
              </w:rPr>
              <w:t xml:space="preserve">  ar afecta negativ lizibilitatea și coerența normei juridice, contrar cerințelor de tehnică legislativă, ar conduce la încărcarea inutilă a textului normativ și ar îngreuna interpretarea și aplicarea. Prin urmare, noțiunea </w:t>
            </w:r>
            <w:r>
              <w:rPr>
                <w:rFonts w:ascii="Times New Roman" w:eastAsia="Times New Roman" w:hAnsi="Times New Roman" w:cs="Times New Roman"/>
                <w:i/>
                <w:iCs/>
                <w:sz w:val="22"/>
                <w:szCs w:val="22"/>
              </w:rPr>
              <w:t>„certificare”</w:t>
            </w:r>
            <w:r>
              <w:rPr>
                <w:rFonts w:ascii="Times New Roman" w:eastAsia="Times New Roman" w:hAnsi="Times New Roman" w:cs="Times New Roman"/>
                <w:sz w:val="22"/>
                <w:szCs w:val="22"/>
              </w:rPr>
              <w:t xml:space="preserve"> este </w:t>
            </w:r>
            <w:r>
              <w:rPr>
                <w:rFonts w:ascii="Times New Roman" w:eastAsia="Times New Roman" w:hAnsi="Times New Roman" w:cs="Times New Roman"/>
                <w:sz w:val="22"/>
                <w:szCs w:val="22"/>
              </w:rPr>
              <w:lastRenderedPageBreak/>
              <w:t xml:space="preserve">menținută, iar în art. 3 este introdusă formula </w:t>
            </w:r>
            <w:r>
              <w:rPr>
                <w:rFonts w:ascii="Times New Roman" w:eastAsia="Times New Roman" w:hAnsi="Times New Roman" w:cs="Times New Roman"/>
                <w:i/>
                <w:iCs/>
                <w:sz w:val="22"/>
                <w:szCs w:val="22"/>
              </w:rPr>
              <w:t>„În sensul prezentei legi, principalele noțiuni semnifică:”</w:t>
            </w:r>
            <w:r>
              <w:rPr>
                <w:rFonts w:ascii="Times New Roman" w:eastAsia="Times New Roman" w:hAnsi="Times New Roman" w:cs="Times New Roman"/>
                <w:sz w:val="22"/>
                <w:szCs w:val="22"/>
              </w:rPr>
              <w:t>, pentru a delimita clar contextul utilizării sale față de Codul educației.</w:t>
            </w:r>
          </w:p>
        </w:tc>
      </w:tr>
      <w:tr w:rsidR="001E4866" w14:paraId="5F58D8AA" w14:textId="77777777">
        <w:trPr>
          <w:trHeight w:val="975"/>
        </w:trPr>
        <w:tc>
          <w:tcPr>
            <w:tcW w:w="1335" w:type="dxa"/>
            <w:vMerge/>
          </w:tcPr>
          <w:p w14:paraId="50E094B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52B69C4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4296418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195CF445"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Legea nr. 264/2005 cu privire la exercitarea profesiunii de medic</w:t>
            </w:r>
            <w:r>
              <w:rPr>
                <w:rFonts w:ascii="Times New Roman" w:eastAsia="Times New Roman" w:hAnsi="Times New Roman" w:cs="Times New Roman"/>
                <w:sz w:val="22"/>
                <w:szCs w:val="22"/>
              </w:rPr>
              <w:t xml:space="preserve"> la</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Art. 12. după cuvântul „certificării” se completează cu textul „competențelor în domeniul medico-sanitar și farmaceutic”.</w:t>
            </w:r>
          </w:p>
        </w:tc>
        <w:tc>
          <w:tcPr>
            <w:tcW w:w="4635" w:type="dxa"/>
            <w:tcMar>
              <w:top w:w="0" w:type="dxa"/>
              <w:bottom w:w="0" w:type="dxa"/>
            </w:tcMar>
          </w:tcPr>
          <w:p w14:paraId="1E13CA31"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Nu se acceptă</w:t>
            </w:r>
          </w:p>
          <w:p w14:paraId="78408C72"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Pentru coerență cu poziția exprimată la punctul precedent. </w:t>
            </w:r>
          </w:p>
        </w:tc>
      </w:tr>
      <w:tr w:rsidR="001E4866" w14:paraId="07007FD2" w14:textId="77777777">
        <w:trPr>
          <w:trHeight w:val="579"/>
        </w:trPr>
        <w:tc>
          <w:tcPr>
            <w:tcW w:w="1335" w:type="dxa"/>
          </w:tcPr>
          <w:p w14:paraId="6E7CD748" w14:textId="77777777" w:rsidR="001E4866" w:rsidRDefault="001E4866">
            <w:pPr>
              <w:numPr>
                <w:ilvl w:val="0"/>
                <w:numId w:val="1"/>
              </w:numPr>
              <w:pBdr>
                <w:top w:val="none" w:sz="0" w:space="0" w:color="000000"/>
                <w:left w:val="none" w:sz="0" w:space="0" w:color="000000"/>
                <w:bottom w:val="none" w:sz="0" w:space="0" w:color="000000"/>
                <w:right w:val="none" w:sz="0" w:space="0" w:color="000000"/>
              </w:pBdr>
              <w:ind w:hanging="660"/>
              <w:jc w:val="center"/>
              <w:rPr>
                <w:sz w:val="22"/>
                <w:szCs w:val="22"/>
              </w:rPr>
            </w:pPr>
          </w:p>
        </w:tc>
        <w:tc>
          <w:tcPr>
            <w:tcW w:w="1905" w:type="dxa"/>
            <w:tcMar>
              <w:top w:w="0" w:type="dxa"/>
              <w:bottom w:w="0" w:type="dxa"/>
            </w:tcMar>
          </w:tcPr>
          <w:p w14:paraId="465BEA14"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Grupul de lucru</w:t>
            </w:r>
          </w:p>
          <w:p w14:paraId="4F2FE418"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al Comisiei de stat pentru reglementarea</w:t>
            </w:r>
          </w:p>
          <w:p w14:paraId="7B4E5CF5"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activității de întreprinzător</w:t>
            </w:r>
          </w:p>
        </w:tc>
        <w:tc>
          <w:tcPr>
            <w:tcW w:w="1575" w:type="dxa"/>
            <w:tcMar>
              <w:top w:w="0" w:type="dxa"/>
              <w:bottom w:w="0" w:type="dxa"/>
            </w:tcMar>
          </w:tcPr>
          <w:p w14:paraId="085126F5"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 nr. 38-78-6642 din 18.06.2025</w:t>
            </w:r>
          </w:p>
        </w:tc>
        <w:tc>
          <w:tcPr>
            <w:tcW w:w="4785" w:type="dxa"/>
            <w:tcMar>
              <w:top w:w="0" w:type="dxa"/>
              <w:bottom w:w="0" w:type="dxa"/>
            </w:tcMar>
          </w:tcPr>
          <w:p w14:paraId="2C503389"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În forma actuală, proiectul de lege propune, prin articolul IV, completarea Anexei nr. 1 la Legea       nr. 160/2011 privind reglementarea prin autorizare a activității de întreprinzător, prin includerea „cardului profesional național” în categoria actelor permisive, în rândul certificatelor. Considerăm că această propunere este fundamentată juridic și trebuie eliminată din proiect, întrucât cardul respectiv nu întrunește criteriile legale pentru a fi considerat act permisiv în sensul acestei legi. În esență, cardul profesional național are natura unui instrument administrativ de certificare profesională, guvernat de reglementări speciale din domeniul sănătății publice (Legea nr. 552/2001 și Legea nr. 411/1995), și nu de regimul general aplicabil activităților de întreprinzător. Includerea lui în Legea nr. 160/2011 este nu doar inoportună, ci și neconformă cu scopul și domeniul de aplicare al acestei legi, care vizează strict autorizarea </w:t>
            </w:r>
            <w:r>
              <w:rPr>
                <w:rFonts w:ascii="Times New Roman" w:eastAsia="Times New Roman" w:hAnsi="Times New Roman" w:cs="Times New Roman"/>
                <w:sz w:val="22"/>
                <w:szCs w:val="22"/>
              </w:rPr>
              <w:lastRenderedPageBreak/>
              <w:t>activităților economice desfășurate în scop lucrativ. Prin urmare, se recomandă excluderea articolului IV din proiectul de lege și menținerea cadrului de reglementare a cardului profesional național exclusiv în legislația sectorială, respectiv Legea nr. 552/2001 privind evaluarea și acreditarea în sănătate.</w:t>
            </w:r>
          </w:p>
        </w:tc>
        <w:tc>
          <w:tcPr>
            <w:tcW w:w="4635" w:type="dxa"/>
            <w:tcMar>
              <w:top w:w="0" w:type="dxa"/>
              <w:bottom w:w="0" w:type="dxa"/>
            </w:tcMar>
          </w:tcPr>
          <w:p w14:paraId="1BD5E0E5"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w:t>
            </w:r>
          </w:p>
          <w:p w14:paraId="772167A9"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modificat, cu excluderea articolului IV (completări la Anexa nr. 1 din Legea nr. 160/2011 privind reglementarea prin autorizare a activității de întreprinzător) și  și reglementarea Cardului profesional național în legislația sectorială (modificări la Legea ocrotirii sănătății nr. 411/1995).</w:t>
            </w:r>
          </w:p>
          <w:p w14:paraId="5792C09E"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33F461EA"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415D12CB"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2AA6C5D9"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5B00CFFA"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493781DC"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717DBF2B"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001BC432"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p>
          <w:p w14:paraId="4442511C"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3F2E79B0"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74FF26FB"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7B876769"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14972DA5"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06BEC838"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6013C570"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718A4342"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6043388E"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p w14:paraId="0DDD89EA"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tc>
      </w:tr>
      <w:tr w:rsidR="001E4866" w14:paraId="506B7AA4" w14:textId="77777777">
        <w:trPr>
          <w:trHeight w:val="501"/>
        </w:trPr>
        <w:tc>
          <w:tcPr>
            <w:tcW w:w="1335" w:type="dxa"/>
            <w:vMerge w:val="restart"/>
          </w:tcPr>
          <w:p w14:paraId="39345C67" w14:textId="77777777" w:rsidR="001E4866" w:rsidRDefault="001E4866">
            <w:pPr>
              <w:numPr>
                <w:ilvl w:val="0"/>
                <w:numId w:val="1"/>
              </w:numPr>
              <w:pBdr>
                <w:top w:val="none" w:sz="0" w:space="0" w:color="000000"/>
                <w:left w:val="none" w:sz="0" w:space="0" w:color="000000"/>
                <w:bottom w:val="none" w:sz="0" w:space="0" w:color="000000"/>
                <w:right w:val="none" w:sz="0" w:space="0" w:color="000000"/>
              </w:pBdr>
              <w:ind w:hanging="660"/>
              <w:jc w:val="center"/>
              <w:rPr>
                <w:sz w:val="22"/>
                <w:szCs w:val="22"/>
              </w:rPr>
            </w:pPr>
          </w:p>
        </w:tc>
        <w:tc>
          <w:tcPr>
            <w:tcW w:w="1905" w:type="dxa"/>
            <w:vMerge w:val="restart"/>
            <w:tcMar>
              <w:top w:w="0" w:type="dxa"/>
              <w:bottom w:w="0" w:type="dxa"/>
            </w:tcMar>
          </w:tcPr>
          <w:p w14:paraId="28C9AF57"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Ministerul Dezvoltării Economice și Digitalizării </w:t>
            </w:r>
          </w:p>
        </w:tc>
        <w:tc>
          <w:tcPr>
            <w:tcW w:w="1575" w:type="dxa"/>
            <w:vMerge w:val="restart"/>
            <w:tcMar>
              <w:top w:w="0" w:type="dxa"/>
              <w:bottom w:w="0" w:type="dxa"/>
            </w:tcMar>
          </w:tcPr>
          <w:p w14:paraId="5C5860DD" w14:textId="77777777" w:rsidR="001E4866" w:rsidRDefault="00000000">
            <w:pP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 nr. 09-1819</w:t>
            </w:r>
          </w:p>
          <w:p w14:paraId="4588EA55"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din 20. 06. 2025 </w:t>
            </w:r>
          </w:p>
        </w:tc>
        <w:tc>
          <w:tcPr>
            <w:tcW w:w="4785" w:type="dxa"/>
            <w:tcMar>
              <w:top w:w="0" w:type="dxa"/>
              <w:bottom w:w="0" w:type="dxa"/>
            </w:tcMar>
          </w:tcPr>
          <w:p w14:paraId="309295D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La Art. I. – Lege nr. 411/1995 ocrotirii sănătății </w:t>
            </w:r>
          </w:p>
          <w:p w14:paraId="028C616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pct. 2, art. 11 noțiunea „certificare – procedura realizată de autoritatea publică prin care se atestă îndeplinirea tuturor condițiilor necesare pentru accederea și exercitarea profesiunilor medico-sanitare și farmaceutice, inclusiv deținerea competențelor pentru executarea activităților specifice titlului de calificare, rezultată prin emiterea cardului profesional național;” necesită revizuire. În forma propusă, noțiunea induce echivoc între certificarea profesională (în sens de recunoaștere a competențelor) și actele permisive prevăzute de Legea nr. 160/2011, în contextul reglementării activității de întreprinzător. </w:t>
            </w:r>
          </w:p>
          <w:p w14:paraId="5E82957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Potrivit art. 4 din Legea nr. 160/2011, un act permisiv trebuie să întrunească cel puțin unul din următoarele criterii: </w:t>
            </w:r>
          </w:p>
          <w:p w14:paraId="52AE0F7E"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constituie o condiție și/sau o cerință pentru inițierea, desfășurarea sau încetarea activității de întreprinzător în unul sau în mai multe domenii concrete; </w:t>
            </w:r>
          </w:p>
          <w:p w14:paraId="7A9523E5"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b) se referă la bunurile mobile și/sau imobile și la serviciile utilizate, fabricate sau comercializate în activitatea de întreprinzător;</w:t>
            </w:r>
          </w:p>
          <w:p w14:paraId="468F0133"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c) confirmă și/sau atestă competențele profesionale ale angajaților unei întreprinderi, care sunt valabile doar pentru activitatea întreprinderii respective și indispensabile pentru activitatea de întreprinzător </w:t>
            </w:r>
            <w:r>
              <w:rPr>
                <w:rFonts w:ascii="Times New Roman" w:eastAsia="Times New Roman" w:hAnsi="Times New Roman" w:cs="Times New Roman"/>
                <w:sz w:val="22"/>
                <w:szCs w:val="22"/>
              </w:rPr>
              <w:lastRenderedPageBreak/>
              <w:t xml:space="preserve">desfășurată de aceasta; acest act nu poate fi utilizat de către angajatul în cauză la o altă întreprindere cu activitate similară. </w:t>
            </w:r>
          </w:p>
          <w:p w14:paraId="772DE8DA"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Or, cardul profesional național, așa cum este reglementat în proiect, nu îndeplinește niciunul dintre aceste criterii. Acesta reprezintă o formă de atestare profesională individuală, cu aplicabilitate în sectorul medical, fără a fi condiționat de existența unei activități economice. În consecință, nu poate fi calificat drept act permisiv în sensul Legii nr. 160/2011. </w:t>
            </w:r>
          </w:p>
        </w:tc>
        <w:tc>
          <w:tcPr>
            <w:tcW w:w="4635" w:type="dxa"/>
            <w:tcMar>
              <w:top w:w="0" w:type="dxa"/>
              <w:bottom w:w="0" w:type="dxa"/>
            </w:tcMar>
          </w:tcPr>
          <w:p w14:paraId="374ADF8B"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Se acceptă.    </w:t>
            </w:r>
          </w:p>
          <w:p w14:paraId="4E6EA426"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modificat, s-a exclus reglementarea cardului profesional național în sensul Legii nr. 160/2011 privind reglementarea prin autorizare a activității de întreprinzător, .fiind operate modificările corespunzătoare în legislația sectorială -  Legea ocrotirii sănătății nr. 411/1995.</w:t>
            </w:r>
          </w:p>
          <w:p w14:paraId="059C18AE"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tc>
      </w:tr>
      <w:tr w:rsidR="001E4866" w14:paraId="6C21782D" w14:textId="77777777">
        <w:trPr>
          <w:trHeight w:val="2610"/>
        </w:trPr>
        <w:tc>
          <w:tcPr>
            <w:tcW w:w="1335" w:type="dxa"/>
            <w:vMerge/>
          </w:tcPr>
          <w:p w14:paraId="464CBE9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9389EF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C374A1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50221E75"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La Art. III. - Legea nr. 552/2001</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privind evaluarea și acreditarea în sănătate.</w:t>
            </w:r>
            <w:r>
              <w:rPr>
                <w:rFonts w:ascii="Times New Roman" w:eastAsia="Times New Roman" w:hAnsi="Times New Roman" w:cs="Times New Roman"/>
                <w:sz w:val="22"/>
                <w:szCs w:val="22"/>
              </w:rPr>
              <w:t xml:space="preserve"> </w:t>
            </w:r>
          </w:p>
          <w:p w14:paraId="47F760F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La pct. 3, art. 2 noțiunea „solicitant al actului permisiv – persoană juridică, înregistrată în modul stabilit de lege în Republica Moldova sau persoană fizică, abilitata în modul stabilit, care intenționează să practice sau practică activitate medico-sanitară și/sau farmaceutică și care depune la organismul național de evaluare și acreditare în sănătate cererea de autorizare a activității;” urmează a fi exclusă, întrucât în cadrul proiectului nu este clar definit ce act permisiv urmează să fie emis de autoritatea competentă. În lipsa unei delimitări clare a regimului juridic, această noțiune riscă să creeze ambiguități și suprapuneri nejustificate între regimul certificării profesionale și cel al autorizării activității de întreprinzător. </w:t>
            </w:r>
          </w:p>
        </w:tc>
        <w:tc>
          <w:tcPr>
            <w:tcW w:w="4635" w:type="dxa"/>
            <w:tcMar>
              <w:top w:w="0" w:type="dxa"/>
              <w:bottom w:w="0" w:type="dxa"/>
            </w:tcMar>
          </w:tcPr>
          <w:p w14:paraId="7850DF17"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highlight w:val="yellow"/>
              </w:rPr>
            </w:pPr>
            <w:r>
              <w:rPr>
                <w:rFonts w:ascii="Times New Roman" w:eastAsia="Times New Roman" w:hAnsi="Times New Roman" w:cs="Times New Roman"/>
                <w:b/>
                <w:bCs/>
                <w:sz w:val="22"/>
                <w:szCs w:val="22"/>
              </w:rPr>
              <w:t xml:space="preserve">Se acceptă. </w:t>
            </w:r>
            <w:r>
              <w:rPr>
                <w:rFonts w:ascii="Times New Roman" w:eastAsia="Times New Roman" w:hAnsi="Times New Roman" w:cs="Times New Roman"/>
                <w:b/>
                <w:bCs/>
                <w:sz w:val="22"/>
                <w:szCs w:val="22"/>
                <w:highlight w:val="yellow"/>
              </w:rPr>
              <w:t xml:space="preserve"> </w:t>
            </w:r>
            <w:r>
              <w:rPr>
                <w:rFonts w:ascii="Times New Roman" w:eastAsia="Times New Roman" w:hAnsi="Times New Roman" w:cs="Times New Roman"/>
                <w:sz w:val="22"/>
                <w:szCs w:val="22"/>
                <w:highlight w:val="yellow"/>
              </w:rPr>
              <w:t xml:space="preserve"> </w:t>
            </w:r>
          </w:p>
          <w:p w14:paraId="518B67F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modificat prin operarea modificărilor la Legea nr. 411/1995 ocrotirii sănătății, astfel fiind instituit regimul juridic pentru reglementarea prin acte permisive.</w:t>
            </w:r>
          </w:p>
        </w:tc>
      </w:tr>
      <w:tr w:rsidR="001E4866" w14:paraId="23A499DF" w14:textId="77777777">
        <w:trPr>
          <w:trHeight w:val="1230"/>
        </w:trPr>
        <w:tc>
          <w:tcPr>
            <w:tcW w:w="1335" w:type="dxa"/>
            <w:vMerge/>
          </w:tcPr>
          <w:p w14:paraId="5B0C4EA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2335EA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07C1EBC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358002D9"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La pct. 5. completarea cu Capitolul III , se propune excluderea alin. (2) al art. 12¹, care prevede că modul de solicitare, eliberare, suspendare și retragere a cardului profesional național este stabilit de Legea nr. 160/2011. Având în vedere caracterul profesional și personal al cardului, reglementarea </w:t>
            </w:r>
            <w:r>
              <w:rPr>
                <w:rFonts w:ascii="Times New Roman" w:eastAsia="Times New Roman" w:hAnsi="Times New Roman" w:cs="Times New Roman"/>
                <w:sz w:val="22"/>
                <w:szCs w:val="22"/>
              </w:rPr>
              <w:lastRenderedPageBreak/>
              <w:t xml:space="preserve">acestuia trebuie să fie prevăzută exclusiv în Legea                 nr. 552/2001, care vizează evaluarea și acreditarea în domeniul sănătății. </w:t>
            </w:r>
          </w:p>
        </w:tc>
        <w:tc>
          <w:tcPr>
            <w:tcW w:w="4635" w:type="dxa"/>
            <w:tcMar>
              <w:top w:w="0" w:type="dxa"/>
              <w:bottom w:w="0" w:type="dxa"/>
            </w:tcMar>
          </w:tcPr>
          <w:p w14:paraId="0AFA1478"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 xml:space="preserve">Se acceptă. </w:t>
            </w:r>
          </w:p>
          <w:p w14:paraId="36EFFB63"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modificat, fiind operate modificările la Legea ocrotirii sănătății nr. 411/1995.</w:t>
            </w:r>
          </w:p>
          <w:p w14:paraId="2F8BDCDB"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tc>
      </w:tr>
      <w:tr w:rsidR="001E4866" w14:paraId="412B3312" w14:textId="77777777">
        <w:trPr>
          <w:trHeight w:val="979"/>
        </w:trPr>
        <w:tc>
          <w:tcPr>
            <w:tcW w:w="1335" w:type="dxa"/>
            <w:vMerge/>
          </w:tcPr>
          <w:p w14:paraId="7CAFD17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003605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1C94377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7D1F75E3"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se consideră necesară excluderea art. IV al proiectului, care propune includerea cardului profesional național în Anexa nr. 1 la Legea             nr. 160/2011. În lipsa îndeplinirii criteriilor legale pentru a fi considerat act permisiv, această includere nu este justificată și contravine regimului actelor permisive reglementat prin lege specială.     </w:t>
            </w:r>
          </w:p>
        </w:tc>
        <w:tc>
          <w:tcPr>
            <w:tcW w:w="4635" w:type="dxa"/>
            <w:tcMar>
              <w:top w:w="0" w:type="dxa"/>
              <w:bottom w:w="0" w:type="dxa"/>
            </w:tcMar>
          </w:tcPr>
          <w:p w14:paraId="3AFA87F4"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Se acceptă.  </w:t>
            </w:r>
            <w:r>
              <w:rPr>
                <w:rFonts w:ascii="Times New Roman" w:eastAsia="Times New Roman" w:hAnsi="Times New Roman" w:cs="Times New Roman"/>
                <w:sz w:val="22"/>
                <w:szCs w:val="22"/>
              </w:rPr>
              <w:t xml:space="preserve"> </w:t>
            </w:r>
          </w:p>
          <w:p w14:paraId="383E6EE3"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modificat, fiind operate modificările la Legea ocrotirii sănătății nr. 411/1995.</w:t>
            </w:r>
          </w:p>
          <w:p w14:paraId="4E30CCBC"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p>
        </w:tc>
      </w:tr>
      <w:tr w:rsidR="001E4866" w14:paraId="609FD9CA" w14:textId="77777777">
        <w:trPr>
          <w:trHeight w:val="2471"/>
        </w:trPr>
        <w:tc>
          <w:tcPr>
            <w:tcW w:w="1335" w:type="dxa"/>
            <w:vMerge/>
          </w:tcPr>
          <w:p w14:paraId="31530D2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5A2CACA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7EE80C1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272563AB"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color w:val="FF0000"/>
                <w:sz w:val="22"/>
                <w:szCs w:val="22"/>
              </w:rPr>
            </w:pPr>
            <w:r>
              <w:rPr>
                <w:rFonts w:ascii="Times New Roman" w:eastAsia="Times New Roman" w:hAnsi="Times New Roman" w:cs="Times New Roman"/>
                <w:sz w:val="22"/>
                <w:szCs w:val="22"/>
              </w:rPr>
              <w:t>Totodată, se recomandă înlocuirea cuvintelor „autorizat”/„autorizare”, utilizate în mod repetat în proiectul de lege, cu termeni corecți din perspectiva regimului juridic aplicabil, cum ar fi „certificat”, „certificare profesională”, „atestat” sau „drept de exercitare a profesiei”, în funcție de context. Termenii menționați nu se suprapun conceptual cu regimul de autorizare instituit de Legea nr. 160/2011</w:t>
            </w:r>
            <w:r>
              <w:rPr>
                <w:rFonts w:ascii="Times New Roman" w:eastAsia="Times New Roman" w:hAnsi="Times New Roman" w:cs="Times New Roman"/>
                <w:color w:val="FF0000"/>
                <w:sz w:val="22"/>
                <w:szCs w:val="22"/>
              </w:rPr>
              <w:t>.</w:t>
            </w:r>
          </w:p>
        </w:tc>
        <w:tc>
          <w:tcPr>
            <w:tcW w:w="4635" w:type="dxa"/>
            <w:tcMar>
              <w:top w:w="0" w:type="dxa"/>
              <w:bottom w:w="0" w:type="dxa"/>
            </w:tcMar>
          </w:tcPr>
          <w:p w14:paraId="606D5456"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Nu se acceptă.</w:t>
            </w:r>
          </w:p>
          <w:p w14:paraId="5D495071"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modificat prin operarea modificărilor la Legea ocrotirii sănătății nr. 411/1995, astfel fiind instituit regimul juridic pentru reglementarea prin acte permisive</w:t>
            </w:r>
          </w:p>
        </w:tc>
      </w:tr>
      <w:tr w:rsidR="001E4866" w14:paraId="2BB3B44F" w14:textId="77777777">
        <w:trPr>
          <w:trHeight w:val="2910"/>
        </w:trPr>
        <w:tc>
          <w:tcPr>
            <w:tcW w:w="1335" w:type="dxa"/>
            <w:vMerge/>
          </w:tcPr>
          <w:p w14:paraId="6F72F2F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27DF229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63E5A9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vMerge w:val="restart"/>
            <w:tcMar>
              <w:top w:w="0" w:type="dxa"/>
              <w:bottom w:w="0" w:type="dxa"/>
            </w:tcMar>
          </w:tcPr>
          <w:p w14:paraId="11251524"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Subsidiar, evidențiem că pe întregul text al proiectului de lege sunt prevăzute norme care prezintă un caracter vag și netransparent, prin următoarele sintagme.</w:t>
            </w:r>
          </w:p>
          <w:p w14:paraId="56A8BCDA"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„prevăzut de legislație pentru calificarea profesională însușită” (art. I. pct. 3 – art. 8 alin. (3)); </w:t>
            </w:r>
          </w:p>
          <w:p w14:paraId="2261C892"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„stabilită în acest sens de legislație” (art. I. pct. 3 – art. 8 alin. (4) și alin. (7));</w:t>
            </w:r>
          </w:p>
          <w:p w14:paraId="1C58468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„în modul stabilit” (</w:t>
            </w:r>
            <w:proofErr w:type="spellStart"/>
            <w:r>
              <w:rPr>
                <w:rFonts w:ascii="Times New Roman" w:eastAsia="Times New Roman" w:hAnsi="Times New Roman" w:cs="Times New Roman"/>
                <w:sz w:val="22"/>
                <w:szCs w:val="22"/>
              </w:rPr>
              <w:t>art.I</w:t>
            </w:r>
            <w:proofErr w:type="spellEnd"/>
            <w:r>
              <w:rPr>
                <w:rFonts w:ascii="Times New Roman" w:eastAsia="Times New Roman" w:hAnsi="Times New Roman" w:cs="Times New Roman"/>
                <w:sz w:val="22"/>
                <w:szCs w:val="22"/>
              </w:rPr>
              <w:t xml:space="preserve">. pct.4 – art.8 1 alin.(4) și </w:t>
            </w:r>
            <w:proofErr w:type="spellStart"/>
            <w:r>
              <w:rPr>
                <w:rFonts w:ascii="Times New Roman" w:eastAsia="Times New Roman" w:hAnsi="Times New Roman" w:cs="Times New Roman"/>
                <w:sz w:val="22"/>
                <w:szCs w:val="22"/>
              </w:rPr>
              <w:t>art.III</w:t>
            </w:r>
            <w:proofErr w:type="spellEnd"/>
            <w:r>
              <w:rPr>
                <w:rFonts w:ascii="Times New Roman" w:eastAsia="Times New Roman" w:hAnsi="Times New Roman" w:cs="Times New Roman"/>
                <w:sz w:val="22"/>
                <w:szCs w:val="22"/>
              </w:rPr>
              <w:t xml:space="preserve">. – art.12 4 alin.(1) </w:t>
            </w:r>
            <w:proofErr w:type="spellStart"/>
            <w:r>
              <w:rPr>
                <w:rFonts w:ascii="Times New Roman" w:eastAsia="Times New Roman" w:hAnsi="Times New Roman" w:cs="Times New Roman"/>
                <w:sz w:val="22"/>
                <w:szCs w:val="22"/>
              </w:rPr>
              <w:t>lit.b</w:t>
            </w:r>
            <w:proofErr w:type="spellEnd"/>
            <w:r>
              <w:rPr>
                <w:rFonts w:ascii="Times New Roman" w:eastAsia="Times New Roman" w:hAnsi="Times New Roman" w:cs="Times New Roman"/>
                <w:sz w:val="22"/>
                <w:szCs w:val="22"/>
              </w:rPr>
              <w:t xml:space="preserve">)); „reglementările legale” (art. I. – art. 81 alin. (5)); </w:t>
            </w:r>
          </w:p>
          <w:p w14:paraId="0197944D"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„în modul stabilit de legislație (art. I. pct. 4 – art. 81 alin. (7) și art. II pct. 2 – art. 4 alin</w:t>
            </w:r>
          </w:p>
          <w:p w14:paraId="2F20F1DD"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(1); art. III. – art. 127 alin. (2) și alin. (3)); </w:t>
            </w:r>
          </w:p>
          <w:p w14:paraId="1DEB855A"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„pe deplin” (art. III. – art. 127 alin. (2) lit. c)). </w:t>
            </w:r>
          </w:p>
          <w:p w14:paraId="6F679968"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Astfel, pentru asigurarea respectării principiului transparenței actului normativ și predictibilității normelor juridice, consacrat de art.3 din Legea nr. 100/2017 cu privire la actele normative, precum și întru evitarea unor eventuale aplicării eronate a normelor propuse, considerăm necesară inserarea unei prevederi certe și transparente sau excluderea acestei norme.</w:t>
            </w:r>
          </w:p>
        </w:tc>
        <w:tc>
          <w:tcPr>
            <w:tcW w:w="4635" w:type="dxa"/>
            <w:vMerge w:val="restart"/>
            <w:tcMar>
              <w:top w:w="0" w:type="dxa"/>
              <w:bottom w:w="0" w:type="dxa"/>
            </w:tcMar>
          </w:tcPr>
          <w:p w14:paraId="74752CD1"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 parțial.</w:t>
            </w:r>
          </w:p>
          <w:p w14:paraId="4E454416"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Se acceptă necesitatea de a asigura claritatea și predictibilitatea normelor, sens în care anumite formulări au fost revizuite punctual, acolo unde este posibil, fără a afecta coerența textului legislativ.</w:t>
            </w:r>
          </w:p>
          <w:p w14:paraId="5251EB10" w14:textId="77777777" w:rsidR="001E4866" w:rsidRDefault="00000000">
            <w:pPr>
              <w:pBdr>
                <w:top w:val="none" w:sz="0" w:space="0" w:color="000000"/>
                <w:left w:val="none" w:sz="0" w:space="0" w:color="000000"/>
                <w:bottom w:val="none" w:sz="0" w:space="0" w:color="000000"/>
                <w:right w:val="none" w:sz="0" w:space="0" w:color="000000"/>
              </w:pBd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se consideră justificată menținerea unor expresii de trimitere generală la cadrul normativ existent, în special în acele situații în care condițiile și procedurile sunt deja reglementate </w:t>
            </w:r>
            <w:r>
              <w:rPr>
                <w:rFonts w:ascii="Times New Roman" w:eastAsia="Times New Roman" w:hAnsi="Times New Roman" w:cs="Times New Roman"/>
                <w:sz w:val="22"/>
                <w:szCs w:val="22"/>
              </w:rPr>
              <w:lastRenderedPageBreak/>
              <w:t>prin alte acte normative sau urmează a fi detaliate prin acte subordonate Guvernului. Aceste formule sunt uzuale în practica legislativă și permit corelarea eficientă cu legislația în vigoare, evitând repetarea inutilă a normelor, în conformitate cu art. 55 alin. (5) din Legea nr. 100/2017 privind actele normative.</w:t>
            </w:r>
          </w:p>
        </w:tc>
      </w:tr>
      <w:tr w:rsidR="001E4866" w14:paraId="54752331" w14:textId="77777777">
        <w:trPr>
          <w:trHeight w:val="1275"/>
        </w:trPr>
        <w:tc>
          <w:tcPr>
            <w:tcW w:w="1335" w:type="dxa"/>
            <w:vMerge/>
          </w:tcPr>
          <w:p w14:paraId="2818F8F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6113F36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56D577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vMerge/>
            <w:tcMar>
              <w:top w:w="0" w:type="dxa"/>
              <w:bottom w:w="0" w:type="dxa"/>
            </w:tcMar>
          </w:tcPr>
          <w:p w14:paraId="5EC127A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635" w:type="dxa"/>
            <w:vMerge/>
            <w:tcMar>
              <w:top w:w="0" w:type="dxa"/>
              <w:bottom w:w="0" w:type="dxa"/>
            </w:tcMar>
          </w:tcPr>
          <w:p w14:paraId="331C019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r>
      <w:tr w:rsidR="001E4866" w14:paraId="20893154" w14:textId="77777777">
        <w:trPr>
          <w:trHeight w:val="1410"/>
        </w:trPr>
        <w:tc>
          <w:tcPr>
            <w:tcW w:w="1335" w:type="dxa"/>
            <w:vMerge w:val="restart"/>
          </w:tcPr>
          <w:p w14:paraId="2CD3F0E2" w14:textId="77777777" w:rsidR="001E4866" w:rsidRDefault="001E4866">
            <w:pPr>
              <w:numPr>
                <w:ilvl w:val="0"/>
                <w:numId w:val="1"/>
              </w:numPr>
              <w:pBdr>
                <w:top w:val="none" w:sz="0" w:space="0" w:color="000000"/>
                <w:left w:val="none" w:sz="0" w:space="0" w:color="000000"/>
                <w:bottom w:val="none" w:sz="0" w:space="0" w:color="000000"/>
                <w:right w:val="none" w:sz="0" w:space="0" w:color="000000"/>
              </w:pBdr>
              <w:ind w:hanging="660"/>
              <w:jc w:val="center"/>
              <w:rPr>
                <w:sz w:val="22"/>
                <w:szCs w:val="22"/>
              </w:rPr>
            </w:pPr>
          </w:p>
        </w:tc>
        <w:tc>
          <w:tcPr>
            <w:tcW w:w="1905" w:type="dxa"/>
            <w:vMerge w:val="restart"/>
            <w:tcMar>
              <w:top w:w="0" w:type="dxa"/>
              <w:bottom w:w="0" w:type="dxa"/>
            </w:tcMar>
          </w:tcPr>
          <w:p w14:paraId="59CCDF06" w14:textId="77777777" w:rsidR="001E4866" w:rsidRDefault="00000000">
            <w:pP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Ministerul Finanțelor </w:t>
            </w:r>
          </w:p>
          <w:p w14:paraId="2394C99D"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vMerge w:val="restart"/>
            <w:tcMar>
              <w:top w:w="0" w:type="dxa"/>
              <w:bottom w:w="0" w:type="dxa"/>
            </w:tcMar>
          </w:tcPr>
          <w:p w14:paraId="1E075D1C" w14:textId="77777777" w:rsidR="001E4866" w:rsidRDefault="00000000">
            <w:pP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 nr. 07/2-03/103/921</w:t>
            </w:r>
          </w:p>
          <w:p w14:paraId="1B8BC32E"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din 20.06.2025</w:t>
            </w:r>
          </w:p>
        </w:tc>
        <w:tc>
          <w:tcPr>
            <w:tcW w:w="4785" w:type="dxa"/>
            <w:tcMar>
              <w:top w:w="0" w:type="dxa"/>
              <w:bottom w:w="0" w:type="dxa"/>
            </w:tcMar>
          </w:tcPr>
          <w:p w14:paraId="5BCB848A"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compartimentul 4.2 „Impactul financiar și argumentarea costurilor estimative” se menționează că, costul estimativ aferent instituirii unei subdiviziuni specializate pentru certificarea cadrelor medicale, în cadrul CNEAS, în volum de 2231,1 mii lei va fi acoperit din contul veniturilor proprii ale Consiliul Național de Evaluare și Acreditare în Sănătate (CNEAS).</w:t>
            </w:r>
          </w:p>
        </w:tc>
        <w:tc>
          <w:tcPr>
            <w:tcW w:w="4635" w:type="dxa"/>
            <w:tcMar>
              <w:top w:w="0" w:type="dxa"/>
              <w:bottom w:w="0" w:type="dxa"/>
            </w:tcMar>
          </w:tcPr>
          <w:p w14:paraId="29A89141"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42D92C67"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Nota de fundamentare a fost modificată, s-a elaborat fișa financiară.</w:t>
            </w:r>
          </w:p>
        </w:tc>
      </w:tr>
      <w:tr w:rsidR="001E4866" w14:paraId="048F01A2" w14:textId="77777777">
        <w:trPr>
          <w:trHeight w:val="3397"/>
        </w:trPr>
        <w:tc>
          <w:tcPr>
            <w:tcW w:w="1335" w:type="dxa"/>
            <w:vMerge/>
          </w:tcPr>
          <w:p w14:paraId="4A36290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AD1A0C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7711CFF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01639F6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autorul menționează despre cheltuielile suplimentare în volum de </w:t>
            </w:r>
            <w:r>
              <w:rPr>
                <w:rFonts w:ascii="Times New Roman" w:eastAsia="Times New Roman" w:hAnsi="Times New Roman" w:cs="Times New Roman"/>
                <w:b/>
                <w:bCs/>
                <w:sz w:val="22"/>
                <w:szCs w:val="22"/>
              </w:rPr>
              <w:t xml:space="preserve">11.191,3 mii lei </w:t>
            </w:r>
            <w:r>
              <w:rPr>
                <w:rFonts w:ascii="Times New Roman" w:eastAsia="Times New Roman" w:hAnsi="Times New Roman" w:cs="Times New Roman"/>
                <w:sz w:val="22"/>
                <w:szCs w:val="22"/>
              </w:rPr>
              <w:t>pentru mai multe acțiuni de dezvoltare a capacităților CNEAS (ex: recrutarea și instruirea personalului, dezvoltarea și implementarea sistemelor informaționale, etc.) fără a menționa sursa de finanțare a acestora.  Suplimentar, comunicăm că la etapa de elaborarea Cadrului Bugetar pe Termen Mediu pe anii 2026-2028, Ministerul Sănătății a prezentat propuneri în scopurile vizate, cu solicitarea finanțării acestora din Planul de creștere economică a Moldovei (</w:t>
            </w:r>
            <w:proofErr w:type="spellStart"/>
            <w:r>
              <w:rPr>
                <w:rFonts w:ascii="Times New Roman" w:eastAsia="Times New Roman" w:hAnsi="Times New Roman" w:cs="Times New Roman"/>
                <w:sz w:val="22"/>
                <w:szCs w:val="22"/>
              </w:rPr>
              <w:t>Growth</w:t>
            </w:r>
            <w:proofErr w:type="spellEnd"/>
            <w:r>
              <w:rPr>
                <w:rFonts w:ascii="Times New Roman" w:eastAsia="Times New Roman" w:hAnsi="Times New Roman" w:cs="Times New Roman"/>
                <w:sz w:val="22"/>
                <w:szCs w:val="22"/>
              </w:rPr>
              <w:t xml:space="preserve"> Plan).  Astfel, în vederea asigurării promovării unei legi fundamentate și susținute din punct de vedere </w:t>
            </w:r>
            <w:r>
              <w:rPr>
                <w:rFonts w:ascii="Times New Roman" w:eastAsia="Times New Roman" w:hAnsi="Times New Roman" w:cs="Times New Roman"/>
                <w:sz w:val="22"/>
                <w:szCs w:val="22"/>
              </w:rPr>
              <w:lastRenderedPageBreak/>
              <w:t>financiar, autorul urmează să completeze Nota de fundamentare cu sursa de finanțare al propunerilor de modificare, precum și să confirme impactul financiar expus la compartimentul 4.2 prin fișa financiară, conform Metodologiei de analiză a impactului de reglementare, aprobată prin HG nr.574/2024.</w:t>
            </w:r>
          </w:p>
        </w:tc>
        <w:tc>
          <w:tcPr>
            <w:tcW w:w="4635" w:type="dxa"/>
            <w:tcMar>
              <w:top w:w="0" w:type="dxa"/>
              <w:bottom w:w="0" w:type="dxa"/>
            </w:tcMar>
          </w:tcPr>
          <w:p w14:paraId="65E80611" w14:textId="77777777" w:rsidR="001E4866" w:rsidRDefault="00000000">
            <w:pPr>
              <w:pBdr>
                <w:top w:val="none" w:sz="0" w:space="0" w:color="000000"/>
                <w:left w:val="none" w:sz="0" w:space="0" w:color="000000"/>
                <w:bottom w:val="none" w:sz="0" w:space="0" w:color="000000"/>
                <w:right w:val="none" w:sz="0" w:space="0" w:color="000000"/>
              </w:pBdr>
              <w:ind w:left="73"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Precizare</w:t>
            </w:r>
          </w:p>
          <w:p w14:paraId="113DA27B" w14:textId="77777777" w:rsidR="001E4866" w:rsidRDefault="00000000">
            <w:pPr>
              <w:pBdr>
                <w:top w:val="none" w:sz="0" w:space="0" w:color="000000"/>
                <w:left w:val="none" w:sz="0" w:space="0" w:color="000000"/>
                <w:bottom w:val="none" w:sz="0" w:space="0" w:color="000000"/>
                <w:right w:val="none" w:sz="0" w:space="0" w:color="000000"/>
              </w:pBdr>
              <w:ind w:left="73"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Sursele financiare în volum de 11.191,3 mii lei necesare suplimentar pentru dezvoltarea și implementarea sistemului național de </w:t>
            </w:r>
            <w:proofErr w:type="spellStart"/>
            <w:r>
              <w:rPr>
                <w:rFonts w:ascii="Times New Roman" w:eastAsia="Times New Roman" w:hAnsi="Times New Roman" w:cs="Times New Roman"/>
                <w:sz w:val="22"/>
                <w:szCs w:val="22"/>
              </w:rPr>
              <w:t>certificarelicențiere</w:t>
            </w:r>
            <w:proofErr w:type="spellEnd"/>
            <w:r>
              <w:rPr>
                <w:rFonts w:ascii="Times New Roman" w:eastAsia="Times New Roman" w:hAnsi="Times New Roman" w:cs="Times New Roman"/>
                <w:sz w:val="22"/>
                <w:szCs w:val="22"/>
              </w:rPr>
              <w:t xml:space="preserve">, vor fi acoperite conform Planului de creștere al Republicii Moldova pentru anii 2025-2027          ( </w:t>
            </w:r>
            <w:proofErr w:type="spellStart"/>
            <w:r>
              <w:rPr>
                <w:rFonts w:ascii="Times New Roman" w:eastAsia="Times New Roman" w:hAnsi="Times New Roman" w:cs="Times New Roman"/>
                <w:sz w:val="22"/>
                <w:szCs w:val="22"/>
              </w:rPr>
              <w:t>Growth</w:t>
            </w:r>
            <w:proofErr w:type="spellEnd"/>
            <w:r>
              <w:rPr>
                <w:rFonts w:ascii="Times New Roman" w:eastAsia="Times New Roman" w:hAnsi="Times New Roman" w:cs="Times New Roman"/>
                <w:sz w:val="22"/>
                <w:szCs w:val="22"/>
              </w:rPr>
              <w:t xml:space="preserve"> Plan )</w:t>
            </w:r>
          </w:p>
        </w:tc>
      </w:tr>
      <w:tr w:rsidR="001E4866" w14:paraId="177B63EF" w14:textId="77777777">
        <w:trPr>
          <w:trHeight w:val="915"/>
        </w:trPr>
        <w:tc>
          <w:tcPr>
            <w:tcW w:w="1335" w:type="dxa"/>
          </w:tcPr>
          <w:p w14:paraId="7D3E591F" w14:textId="77777777" w:rsidR="001E4866" w:rsidRDefault="001E4866">
            <w:pPr>
              <w:numPr>
                <w:ilvl w:val="0"/>
                <w:numId w:val="1"/>
              </w:numPr>
              <w:pBdr>
                <w:top w:val="none" w:sz="0" w:space="0" w:color="000000"/>
                <w:left w:val="none" w:sz="0" w:space="0" w:color="000000"/>
                <w:bottom w:val="none" w:sz="0" w:space="0" w:color="000000"/>
                <w:right w:val="none" w:sz="0" w:space="0" w:color="000000"/>
              </w:pBdr>
              <w:ind w:hanging="660"/>
              <w:jc w:val="center"/>
              <w:rPr>
                <w:sz w:val="22"/>
                <w:szCs w:val="22"/>
              </w:rPr>
            </w:pPr>
          </w:p>
        </w:tc>
        <w:tc>
          <w:tcPr>
            <w:tcW w:w="1905" w:type="dxa"/>
            <w:tcMar>
              <w:top w:w="0" w:type="dxa"/>
              <w:bottom w:w="0" w:type="dxa"/>
            </w:tcMar>
          </w:tcPr>
          <w:p w14:paraId="5BEE0015"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Ministerul Muncii și Protecției Sociale</w:t>
            </w:r>
          </w:p>
        </w:tc>
        <w:tc>
          <w:tcPr>
            <w:tcW w:w="1575" w:type="dxa"/>
            <w:tcMar>
              <w:top w:w="0" w:type="dxa"/>
              <w:bottom w:w="0" w:type="dxa"/>
            </w:tcMar>
          </w:tcPr>
          <w:p w14:paraId="54860F5A"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 nr. 20/3097 din 20.06.2025</w:t>
            </w:r>
          </w:p>
        </w:tc>
        <w:tc>
          <w:tcPr>
            <w:tcW w:w="4785" w:type="dxa"/>
            <w:tcMar>
              <w:top w:w="0" w:type="dxa"/>
              <w:bottom w:w="0" w:type="dxa"/>
            </w:tcMar>
          </w:tcPr>
          <w:p w14:paraId="3607D4D9"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Lipsă de obiecții și propuneri.</w:t>
            </w:r>
          </w:p>
        </w:tc>
        <w:tc>
          <w:tcPr>
            <w:tcW w:w="4635" w:type="dxa"/>
            <w:tcMar>
              <w:top w:w="0" w:type="dxa"/>
              <w:bottom w:w="0" w:type="dxa"/>
            </w:tcMar>
          </w:tcPr>
          <w:p w14:paraId="657D6AE9" w14:textId="77777777" w:rsidR="001E4866" w:rsidRDefault="001E4866">
            <w:pPr>
              <w:pBdr>
                <w:top w:val="none" w:sz="0" w:space="0" w:color="000000"/>
                <w:left w:val="none" w:sz="0" w:space="0" w:color="000000"/>
                <w:bottom w:val="none" w:sz="0" w:space="0" w:color="000000"/>
                <w:right w:val="none" w:sz="0" w:space="0" w:color="000000"/>
              </w:pBdr>
              <w:ind w:left="73" w:firstLine="0"/>
              <w:rPr>
                <w:rFonts w:ascii="Times New Roman" w:eastAsia="Times New Roman" w:hAnsi="Times New Roman" w:cs="Times New Roman"/>
                <w:sz w:val="22"/>
                <w:szCs w:val="22"/>
              </w:rPr>
            </w:pPr>
          </w:p>
        </w:tc>
      </w:tr>
      <w:tr w:rsidR="001E4866" w14:paraId="561AD770" w14:textId="77777777">
        <w:trPr>
          <w:trHeight w:val="2385"/>
        </w:trPr>
        <w:tc>
          <w:tcPr>
            <w:tcW w:w="1335" w:type="dxa"/>
            <w:vMerge w:val="restart"/>
          </w:tcPr>
          <w:p w14:paraId="73B581E4" w14:textId="77777777" w:rsidR="001E4866" w:rsidRDefault="001E4866">
            <w:pPr>
              <w:numPr>
                <w:ilvl w:val="0"/>
                <w:numId w:val="1"/>
              </w:numPr>
              <w:pBdr>
                <w:top w:val="none" w:sz="0" w:space="0" w:color="000000"/>
                <w:left w:val="none" w:sz="0" w:space="0" w:color="000000"/>
                <w:bottom w:val="none" w:sz="0" w:space="0" w:color="000000"/>
                <w:right w:val="none" w:sz="0" w:space="0" w:color="000000"/>
              </w:pBdr>
              <w:ind w:hanging="660"/>
              <w:jc w:val="center"/>
              <w:rPr>
                <w:sz w:val="22"/>
                <w:szCs w:val="22"/>
              </w:rPr>
            </w:pPr>
          </w:p>
        </w:tc>
        <w:tc>
          <w:tcPr>
            <w:tcW w:w="1905" w:type="dxa"/>
            <w:vMerge w:val="restart"/>
            <w:tcMar>
              <w:top w:w="0" w:type="dxa"/>
              <w:bottom w:w="0" w:type="dxa"/>
            </w:tcMar>
          </w:tcPr>
          <w:p w14:paraId="1544FF44"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Centrul de armonizare a legislației</w:t>
            </w:r>
          </w:p>
        </w:tc>
        <w:tc>
          <w:tcPr>
            <w:tcW w:w="1575" w:type="dxa"/>
            <w:vMerge w:val="restart"/>
            <w:tcMar>
              <w:top w:w="0" w:type="dxa"/>
              <w:bottom w:w="0" w:type="dxa"/>
            </w:tcMar>
          </w:tcPr>
          <w:p w14:paraId="13019BDD"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 nr.. 31/02-126-12989 din 26.11.2024</w:t>
            </w:r>
          </w:p>
        </w:tc>
        <w:tc>
          <w:tcPr>
            <w:tcW w:w="4785" w:type="dxa"/>
            <w:vMerge w:val="restart"/>
            <w:tcMar>
              <w:top w:w="0" w:type="dxa"/>
              <w:bottom w:w="0" w:type="dxa"/>
            </w:tcMar>
          </w:tcPr>
          <w:p w14:paraId="3FC51DB0"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Proiectul de lege, prin pct. 2, Art. I și pct. 3, Art. III, completează art. 11 „Noțiuni principale” din Legea nr. 411/1995 ocrotirii sănătății și art. 2 „Noțiuni principale” din Legea nr. 552/2001 privind evaluarea și acreditarea în sănătate cu noțiuni noi specifice de reglementare, în speță, noțiunea de: „calificări profesionale”, „titlu de calificare”, „experiență profesională”, „probă de aptitudini”, „card profesional european”, asigurând transpunerea noțiunilor corespondențe din art. 3 (1), lit. (b), (c), (f), (h), (k) din Directiva 2005/36/CE. Cu referire la noțiunile respective, menționăm că, necesită a fi revăzut conținutul termenului de „calificări profesionale” și „titlu de calificare” </w:t>
            </w:r>
            <w:r>
              <w:rPr>
                <w:rFonts w:ascii="Times New Roman" w:eastAsia="Times New Roman" w:hAnsi="Times New Roman" w:cs="Times New Roman"/>
                <w:b/>
                <w:bCs/>
                <w:sz w:val="22"/>
                <w:szCs w:val="22"/>
              </w:rPr>
              <w:t>potrivit următoarelor:</w:t>
            </w:r>
            <w:r>
              <w:rPr>
                <w:rFonts w:ascii="Times New Roman" w:eastAsia="Times New Roman" w:hAnsi="Times New Roman" w:cs="Times New Roman"/>
                <w:sz w:val="22"/>
                <w:szCs w:val="22"/>
              </w:rPr>
              <w:t xml:space="preserve"> </w:t>
            </w:r>
          </w:p>
          <w:p w14:paraId="0810CFD1"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Cu referire la noțiunea de „calificări profesionale” se constată că proiectul de lege definește diferit </w:t>
            </w:r>
            <w:r>
              <w:rPr>
                <w:rFonts w:ascii="Times New Roman" w:eastAsia="Times New Roman" w:hAnsi="Times New Roman" w:cs="Times New Roman"/>
                <w:sz w:val="22"/>
                <w:szCs w:val="22"/>
              </w:rPr>
              <w:lastRenderedPageBreak/>
              <w:t xml:space="preserve">termenul dat, or actul UE, în art. 3 (1), lit. (b) prevede că prin calificare profesională se subînțelege „calificările atestate printr-un titlu de calificare, un atestat de competență prevăzut la articolul 11 litera (a) punctul (i) și/sau experiență profesională”. Așadar, noțiunea oferită de proiectul de lege nu prevede atestatul de competență, dar și prin omisiunea </w:t>
            </w:r>
            <w:proofErr w:type="spellStart"/>
            <w:r>
              <w:rPr>
                <w:rFonts w:ascii="Times New Roman" w:eastAsia="Times New Roman" w:hAnsi="Times New Roman" w:cs="Times New Roman"/>
                <w:sz w:val="22"/>
                <w:szCs w:val="22"/>
              </w:rPr>
              <w:t>conjunctiei</w:t>
            </w:r>
            <w:proofErr w:type="spellEnd"/>
            <w:r>
              <w:rPr>
                <w:rFonts w:ascii="Times New Roman" w:eastAsia="Times New Roman" w:hAnsi="Times New Roman" w:cs="Times New Roman"/>
                <w:sz w:val="22"/>
                <w:szCs w:val="22"/>
              </w:rPr>
              <w:t xml:space="preserve"> „/sau” face ca prevederea dată să fie interpretată mai restrictiv, prin cerința de a deține obligatoriu ambele criterii;</w:t>
            </w:r>
          </w:p>
          <w:p w14:paraId="08014777" w14:textId="77777777" w:rsidR="001E4866" w:rsidRDefault="001E4866">
            <w:pPr>
              <w:ind w:firstLine="0"/>
              <w:rPr>
                <w:rFonts w:ascii="Times New Roman" w:eastAsia="Times New Roman" w:hAnsi="Times New Roman" w:cs="Times New Roman"/>
                <w:sz w:val="22"/>
                <w:szCs w:val="22"/>
              </w:rPr>
            </w:pPr>
          </w:p>
          <w:p w14:paraId="341F5F19" w14:textId="77777777" w:rsidR="001E4866" w:rsidRDefault="001E4866">
            <w:pPr>
              <w:ind w:firstLine="0"/>
              <w:rPr>
                <w:rFonts w:ascii="Times New Roman" w:eastAsia="Times New Roman" w:hAnsi="Times New Roman" w:cs="Times New Roman"/>
                <w:sz w:val="22"/>
                <w:szCs w:val="22"/>
              </w:rPr>
            </w:pPr>
          </w:p>
        </w:tc>
        <w:tc>
          <w:tcPr>
            <w:tcW w:w="4635" w:type="dxa"/>
            <w:vMerge w:val="restart"/>
            <w:tcMar>
              <w:top w:w="0" w:type="dxa"/>
              <w:bottom w:w="0" w:type="dxa"/>
            </w:tcMar>
          </w:tcPr>
          <w:p w14:paraId="329004C5"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ia act</w:t>
            </w:r>
          </w:p>
          <w:p w14:paraId="5A13C65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Directiva 36/2005 la </w:t>
            </w:r>
            <w:proofErr w:type="spellStart"/>
            <w:r>
              <w:rPr>
                <w:rFonts w:ascii="Times New Roman" w:eastAsia="Times New Roman" w:hAnsi="Times New Roman" w:cs="Times New Roman"/>
                <w:sz w:val="22"/>
                <w:szCs w:val="22"/>
              </w:rPr>
              <w:t>art</w:t>
            </w:r>
            <w:proofErr w:type="spellEnd"/>
            <w:r>
              <w:rPr>
                <w:rFonts w:ascii="Times New Roman" w:eastAsia="Times New Roman" w:hAnsi="Times New Roman" w:cs="Times New Roman"/>
                <w:sz w:val="22"/>
                <w:szCs w:val="22"/>
              </w:rPr>
              <w:t xml:space="preserve"> 11 stabilește ca atestatul de </w:t>
            </w:r>
            <w:proofErr w:type="spellStart"/>
            <w:r>
              <w:rPr>
                <w:rFonts w:ascii="Times New Roman" w:eastAsia="Times New Roman" w:hAnsi="Times New Roman" w:cs="Times New Roman"/>
                <w:sz w:val="22"/>
                <w:szCs w:val="22"/>
              </w:rPr>
              <w:t>competenţă</w:t>
            </w:r>
            <w:proofErr w:type="spellEnd"/>
            <w:r>
              <w:rPr>
                <w:rFonts w:ascii="Times New Roman" w:eastAsia="Times New Roman" w:hAnsi="Times New Roman" w:cs="Times New Roman"/>
                <w:sz w:val="22"/>
                <w:szCs w:val="22"/>
              </w:rPr>
              <w:t xml:space="preserve"> este documentul care atesta (1) fie formarea  profesională care nu face obiectul unui certificat sau al unei diplome în sensul literelor (b), (c), (d) sau (e) sau a unui examen special fără formare prealabilă sau a exercitării cu normă întreagă a profesiei într-un stat membru pe o perioadă de trei ani consecutivi sau pe o perioadă echivalentă cu </w:t>
            </w:r>
            <w:proofErr w:type="spellStart"/>
            <w:r>
              <w:rPr>
                <w:rFonts w:ascii="Times New Roman" w:eastAsia="Times New Roman" w:hAnsi="Times New Roman" w:cs="Times New Roman"/>
                <w:sz w:val="22"/>
                <w:szCs w:val="22"/>
              </w:rPr>
              <w:t>fracţiune</w:t>
            </w:r>
            <w:proofErr w:type="spellEnd"/>
            <w:r>
              <w:rPr>
                <w:rFonts w:ascii="Times New Roman" w:eastAsia="Times New Roman" w:hAnsi="Times New Roman" w:cs="Times New Roman"/>
                <w:sz w:val="22"/>
                <w:szCs w:val="22"/>
              </w:rPr>
              <w:t xml:space="preserve"> de normă în decursul ultimilor 10 ani; sau (2) fie a unei formări generale la nivel de </w:t>
            </w:r>
            <w:proofErr w:type="spellStart"/>
            <w:r>
              <w:rPr>
                <w:rFonts w:ascii="Times New Roman" w:eastAsia="Times New Roman" w:hAnsi="Times New Roman" w:cs="Times New Roman"/>
                <w:sz w:val="22"/>
                <w:szCs w:val="22"/>
              </w:rPr>
              <w:t>învăţământ</w:t>
            </w:r>
            <w:proofErr w:type="spellEnd"/>
            <w:r>
              <w:rPr>
                <w:rFonts w:ascii="Times New Roman" w:eastAsia="Times New Roman" w:hAnsi="Times New Roman" w:cs="Times New Roman"/>
                <w:sz w:val="22"/>
                <w:szCs w:val="22"/>
              </w:rPr>
              <w:t xml:space="preserve"> secundar sau liceal, care atestă că titularul posedă </w:t>
            </w:r>
            <w:proofErr w:type="spellStart"/>
            <w:r>
              <w:rPr>
                <w:rFonts w:ascii="Times New Roman" w:eastAsia="Times New Roman" w:hAnsi="Times New Roman" w:cs="Times New Roman"/>
                <w:sz w:val="22"/>
                <w:szCs w:val="22"/>
              </w:rPr>
              <w:t>cunoștinţe</w:t>
            </w:r>
            <w:proofErr w:type="spellEnd"/>
            <w:r>
              <w:rPr>
                <w:rFonts w:ascii="Times New Roman" w:eastAsia="Times New Roman" w:hAnsi="Times New Roman" w:cs="Times New Roman"/>
                <w:sz w:val="22"/>
                <w:szCs w:val="22"/>
              </w:rPr>
              <w:t xml:space="preserve"> generale. </w:t>
            </w:r>
          </w:p>
          <w:p w14:paraId="43ADE4F5" w14:textId="77777777" w:rsidR="001E4866" w:rsidRDefault="001E4866">
            <w:pPr>
              <w:ind w:firstLine="0"/>
              <w:rPr>
                <w:rFonts w:ascii="Times New Roman" w:eastAsia="Times New Roman" w:hAnsi="Times New Roman" w:cs="Times New Roman"/>
                <w:sz w:val="22"/>
                <w:szCs w:val="22"/>
              </w:rPr>
            </w:pPr>
          </w:p>
          <w:p w14:paraId="0135588F"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 asemenea, Directiva 36/2005 la </w:t>
            </w:r>
            <w:proofErr w:type="spellStart"/>
            <w:r>
              <w:rPr>
                <w:rFonts w:ascii="Times New Roman" w:eastAsia="Times New Roman" w:hAnsi="Times New Roman" w:cs="Times New Roman"/>
                <w:sz w:val="22"/>
                <w:szCs w:val="22"/>
              </w:rPr>
              <w:t>art</w:t>
            </w:r>
            <w:proofErr w:type="spellEnd"/>
            <w:r>
              <w:rPr>
                <w:rFonts w:ascii="Times New Roman" w:eastAsia="Times New Roman" w:hAnsi="Times New Roman" w:cs="Times New Roman"/>
                <w:sz w:val="22"/>
                <w:szCs w:val="22"/>
              </w:rPr>
              <w:t xml:space="preserve"> 13 stabilește ca prin derogare de la alineatele (1) și (2) de la prezentul articol și de la articolul 14, </w:t>
            </w:r>
            <w:r>
              <w:rPr>
                <w:rFonts w:ascii="Times New Roman" w:eastAsia="Times New Roman" w:hAnsi="Times New Roman" w:cs="Times New Roman"/>
                <w:sz w:val="22"/>
                <w:szCs w:val="22"/>
              </w:rPr>
              <w:lastRenderedPageBreak/>
              <w:t xml:space="preserve">autoritatea competentă a statului membru gazdă poate refuză accesul la profesie și exercitarea acesteia titularilor unui atestat de </w:t>
            </w:r>
            <w:proofErr w:type="spellStart"/>
            <w:r>
              <w:rPr>
                <w:rFonts w:ascii="Times New Roman" w:eastAsia="Times New Roman" w:hAnsi="Times New Roman" w:cs="Times New Roman"/>
                <w:sz w:val="22"/>
                <w:szCs w:val="22"/>
              </w:rPr>
              <w:t>competenţă</w:t>
            </w:r>
            <w:proofErr w:type="spellEnd"/>
            <w:r>
              <w:rPr>
                <w:rFonts w:ascii="Times New Roman" w:eastAsia="Times New Roman" w:hAnsi="Times New Roman" w:cs="Times New Roman"/>
                <w:sz w:val="22"/>
                <w:szCs w:val="22"/>
              </w:rPr>
              <w:t xml:space="preserve"> clasificat la litera (a) de la articolul 11 atunci când calificarea profesională </w:t>
            </w:r>
            <w:proofErr w:type="spellStart"/>
            <w:r>
              <w:rPr>
                <w:rFonts w:ascii="Times New Roman" w:eastAsia="Times New Roman" w:hAnsi="Times New Roman" w:cs="Times New Roman"/>
                <w:sz w:val="22"/>
                <w:szCs w:val="22"/>
              </w:rPr>
              <w:t>naţională</w:t>
            </w:r>
            <w:proofErr w:type="spellEnd"/>
            <w:r>
              <w:rPr>
                <w:rFonts w:ascii="Times New Roman" w:eastAsia="Times New Roman" w:hAnsi="Times New Roman" w:cs="Times New Roman"/>
                <w:sz w:val="22"/>
                <w:szCs w:val="22"/>
              </w:rPr>
              <w:t xml:space="preserve"> necesară pentru exercitarea profesiei pe teritoriul său este clasificată la litera (e) de la articolul 11.</w:t>
            </w:r>
          </w:p>
          <w:p w14:paraId="76931959" w14:textId="77777777" w:rsidR="001E4866" w:rsidRDefault="001E4866">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b/>
                <w:bCs/>
                <w:sz w:val="22"/>
                <w:szCs w:val="22"/>
              </w:rPr>
            </w:pPr>
          </w:p>
          <w:p w14:paraId="04405C6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Pentru profesiile reglementate din domeniul </w:t>
            </w:r>
            <w:proofErr w:type="spellStart"/>
            <w:r>
              <w:rPr>
                <w:rFonts w:ascii="Times New Roman" w:eastAsia="Times New Roman" w:hAnsi="Times New Roman" w:cs="Times New Roman"/>
                <w:sz w:val="22"/>
                <w:szCs w:val="22"/>
              </w:rPr>
              <w:t>sanatatii</w:t>
            </w:r>
            <w:proofErr w:type="spellEnd"/>
            <w:r>
              <w:rPr>
                <w:rFonts w:ascii="Times New Roman" w:eastAsia="Times New Roman" w:hAnsi="Times New Roman" w:cs="Times New Roman"/>
                <w:sz w:val="22"/>
                <w:szCs w:val="22"/>
              </w:rPr>
              <w:t>, „</w:t>
            </w:r>
            <w:proofErr w:type="spellStart"/>
            <w:r>
              <w:rPr>
                <w:rFonts w:ascii="Times New Roman" w:eastAsia="Times New Roman" w:hAnsi="Times New Roman" w:cs="Times New Roman"/>
                <w:sz w:val="22"/>
                <w:szCs w:val="22"/>
              </w:rPr>
              <w:t>experienta</w:t>
            </w:r>
            <w:proofErr w:type="spellEnd"/>
            <w:r>
              <w:rPr>
                <w:rFonts w:ascii="Times New Roman" w:eastAsia="Times New Roman" w:hAnsi="Times New Roman" w:cs="Times New Roman"/>
                <w:sz w:val="22"/>
                <w:szCs w:val="22"/>
              </w:rPr>
              <w:t xml:space="preserve"> profesionala” </w:t>
            </w:r>
            <w:proofErr w:type="spellStart"/>
            <w:r>
              <w:rPr>
                <w:rFonts w:ascii="Times New Roman" w:eastAsia="Times New Roman" w:hAnsi="Times New Roman" w:cs="Times New Roman"/>
                <w:sz w:val="22"/>
                <w:szCs w:val="22"/>
              </w:rPr>
              <w:t>reprezinta</w:t>
            </w:r>
            <w:proofErr w:type="spellEnd"/>
            <w:r>
              <w:rPr>
                <w:rFonts w:ascii="Times New Roman" w:eastAsia="Times New Roman" w:hAnsi="Times New Roman" w:cs="Times New Roman"/>
                <w:sz w:val="22"/>
                <w:szCs w:val="22"/>
              </w:rPr>
              <w:t xml:space="preserve"> o </w:t>
            </w:r>
            <w:proofErr w:type="spellStart"/>
            <w:r>
              <w:rPr>
                <w:rFonts w:ascii="Times New Roman" w:eastAsia="Times New Roman" w:hAnsi="Times New Roman" w:cs="Times New Roman"/>
                <w:sz w:val="22"/>
                <w:szCs w:val="22"/>
              </w:rPr>
              <w:t>conditie</w:t>
            </w:r>
            <w:proofErr w:type="spellEnd"/>
            <w:r>
              <w:rPr>
                <w:rFonts w:ascii="Times New Roman" w:eastAsia="Times New Roman" w:hAnsi="Times New Roman" w:cs="Times New Roman"/>
                <w:sz w:val="22"/>
                <w:szCs w:val="22"/>
              </w:rPr>
              <w:t xml:space="preserve"> cumulativa si nu substitutiva pentru titlul de calificare.</w:t>
            </w:r>
          </w:p>
          <w:p w14:paraId="34259E2E" w14:textId="77777777" w:rsidR="001E4866" w:rsidRDefault="001E4866">
            <w:pPr>
              <w:rPr>
                <w:rFonts w:ascii="Times New Roman" w:eastAsia="Times New Roman" w:hAnsi="Times New Roman" w:cs="Times New Roman"/>
                <w:sz w:val="22"/>
                <w:szCs w:val="22"/>
              </w:rPr>
            </w:pPr>
          </w:p>
          <w:p w14:paraId="22321E7C" w14:textId="77777777" w:rsidR="001E4866" w:rsidRDefault="00000000">
            <w:pPr>
              <w:spacing w:before="60" w:after="60"/>
              <w:ind w:firstLine="0"/>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Dir</w:t>
            </w:r>
            <w:proofErr w:type="spellEnd"/>
            <w:r>
              <w:rPr>
                <w:rFonts w:ascii="Times New Roman" w:eastAsia="Times New Roman" w:hAnsi="Times New Roman" w:cs="Times New Roman"/>
                <w:sz w:val="22"/>
                <w:szCs w:val="22"/>
              </w:rPr>
              <w:t xml:space="preserve"> 36/2005 la </w:t>
            </w:r>
            <w:proofErr w:type="spellStart"/>
            <w:r>
              <w:rPr>
                <w:rFonts w:ascii="Times New Roman" w:eastAsia="Times New Roman" w:hAnsi="Times New Roman" w:cs="Times New Roman"/>
                <w:sz w:val="22"/>
                <w:szCs w:val="22"/>
              </w:rPr>
              <w:t>art</w:t>
            </w:r>
            <w:proofErr w:type="spellEnd"/>
            <w:r>
              <w:rPr>
                <w:rFonts w:ascii="Times New Roman" w:eastAsia="Times New Roman" w:hAnsi="Times New Roman" w:cs="Times New Roman"/>
                <w:sz w:val="22"/>
                <w:szCs w:val="22"/>
              </w:rPr>
              <w:t xml:space="preserve"> 3 alin (3) </w:t>
            </w:r>
            <w:proofErr w:type="spellStart"/>
            <w:r>
              <w:rPr>
                <w:rFonts w:ascii="Times New Roman" w:eastAsia="Times New Roman" w:hAnsi="Times New Roman" w:cs="Times New Roman"/>
                <w:sz w:val="22"/>
                <w:szCs w:val="22"/>
              </w:rPr>
              <w:t>defineste</w:t>
            </w:r>
            <w:proofErr w:type="spellEnd"/>
            <w:r>
              <w:rPr>
                <w:rFonts w:ascii="Times New Roman" w:eastAsia="Times New Roman" w:hAnsi="Times New Roman" w:cs="Times New Roman"/>
                <w:sz w:val="22"/>
                <w:szCs w:val="22"/>
              </w:rPr>
              <w:t xml:space="preserve"> titlu de calificare orice titlu de calificare eliberat într-o </w:t>
            </w:r>
            <w:proofErr w:type="spellStart"/>
            <w:r>
              <w:rPr>
                <w:rFonts w:ascii="Times New Roman" w:eastAsia="Times New Roman" w:hAnsi="Times New Roman" w:cs="Times New Roman"/>
                <w:sz w:val="22"/>
                <w:szCs w:val="22"/>
              </w:rPr>
              <w:t>ţară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terţă</w:t>
            </w:r>
            <w:proofErr w:type="spellEnd"/>
            <w:r>
              <w:rPr>
                <w:rFonts w:ascii="Times New Roman" w:eastAsia="Times New Roman" w:hAnsi="Times New Roman" w:cs="Times New Roman"/>
                <w:sz w:val="22"/>
                <w:szCs w:val="22"/>
              </w:rPr>
              <w:t xml:space="preserve"> de îndată ce titularul său are o </w:t>
            </w:r>
            <w:proofErr w:type="spellStart"/>
            <w:r>
              <w:rPr>
                <w:rFonts w:ascii="Times New Roman" w:eastAsia="Times New Roman" w:hAnsi="Times New Roman" w:cs="Times New Roman"/>
                <w:sz w:val="22"/>
                <w:szCs w:val="22"/>
              </w:rPr>
              <w:t>experienţă</w:t>
            </w:r>
            <w:proofErr w:type="spellEnd"/>
            <w:r>
              <w:rPr>
                <w:rFonts w:ascii="Times New Roman" w:eastAsia="Times New Roman" w:hAnsi="Times New Roman" w:cs="Times New Roman"/>
                <w:sz w:val="22"/>
                <w:szCs w:val="22"/>
              </w:rPr>
              <w:t xml:space="preserve"> profesională în profesia în cauză de trei ani pe teritoriul statului membru care a recunoscut respectivul titlu de calificare în conformitate cu articolul 2 alineatul (2), certificată de respectivul stat membru. Totodată, actul UE prin norma prevăzută la </w:t>
            </w:r>
            <w:proofErr w:type="spellStart"/>
            <w:r>
              <w:rPr>
                <w:rFonts w:ascii="Times New Roman" w:eastAsia="Times New Roman" w:hAnsi="Times New Roman" w:cs="Times New Roman"/>
                <w:sz w:val="22"/>
                <w:szCs w:val="22"/>
              </w:rPr>
              <w:t>art</w:t>
            </w:r>
            <w:proofErr w:type="spellEnd"/>
            <w:r>
              <w:rPr>
                <w:rFonts w:ascii="Times New Roman" w:eastAsia="Times New Roman" w:hAnsi="Times New Roman" w:cs="Times New Roman"/>
                <w:sz w:val="22"/>
                <w:szCs w:val="22"/>
              </w:rPr>
              <w:t xml:space="preserve"> 2 stabilește ca fiecare stat membru poate permite, pe teritoriul său, în conformitate cu reglementările sale, exercitarea unei profesii reglementate în sensul articolului 3 alineatul (1) litera (a) </w:t>
            </w:r>
            <w:proofErr w:type="spellStart"/>
            <w:r>
              <w:rPr>
                <w:rFonts w:ascii="Times New Roman" w:eastAsia="Times New Roman" w:hAnsi="Times New Roman" w:cs="Times New Roman"/>
                <w:sz w:val="22"/>
                <w:szCs w:val="22"/>
              </w:rPr>
              <w:t>resortisanţilor</w:t>
            </w:r>
            <w:proofErr w:type="spellEnd"/>
            <w:r>
              <w:rPr>
                <w:rFonts w:ascii="Times New Roman" w:eastAsia="Times New Roman" w:hAnsi="Times New Roman" w:cs="Times New Roman"/>
                <w:sz w:val="22"/>
                <w:szCs w:val="22"/>
              </w:rPr>
              <w:t xml:space="preserve"> statelor membre, titulari ai unor calificări profesionale care nu au fost </w:t>
            </w:r>
            <w:proofErr w:type="spellStart"/>
            <w:r>
              <w:rPr>
                <w:rFonts w:ascii="Times New Roman" w:eastAsia="Times New Roman" w:hAnsi="Times New Roman" w:cs="Times New Roman"/>
                <w:sz w:val="22"/>
                <w:szCs w:val="22"/>
              </w:rPr>
              <w:t>obţinute</w:t>
            </w:r>
            <w:proofErr w:type="spellEnd"/>
            <w:r>
              <w:rPr>
                <w:rFonts w:ascii="Times New Roman" w:eastAsia="Times New Roman" w:hAnsi="Times New Roman" w:cs="Times New Roman"/>
                <w:sz w:val="22"/>
                <w:szCs w:val="22"/>
              </w:rPr>
              <w:t xml:space="preserve"> într-un stat membru. În ceea ce privește profesiile reglementate la titlul III capitolul III, această primă recunoaștere se realizează cu respectarea </w:t>
            </w:r>
            <w:proofErr w:type="spellStart"/>
            <w:r>
              <w:rPr>
                <w:rFonts w:ascii="Times New Roman" w:eastAsia="Times New Roman" w:hAnsi="Times New Roman" w:cs="Times New Roman"/>
                <w:sz w:val="22"/>
                <w:szCs w:val="22"/>
              </w:rPr>
              <w:t>condiţiilor</w:t>
            </w:r>
            <w:proofErr w:type="spellEnd"/>
            <w:r>
              <w:rPr>
                <w:rFonts w:ascii="Times New Roman" w:eastAsia="Times New Roman" w:hAnsi="Times New Roman" w:cs="Times New Roman"/>
                <w:sz w:val="22"/>
                <w:szCs w:val="22"/>
              </w:rPr>
              <w:t xml:space="preserve"> minime de formare profesională prevăzute la respectivele capitole.</w:t>
            </w:r>
          </w:p>
          <w:p w14:paraId="77C8315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 exemplu, </w:t>
            </w:r>
            <w:proofErr w:type="spellStart"/>
            <w:r>
              <w:rPr>
                <w:rFonts w:ascii="Times New Roman" w:eastAsia="Times New Roman" w:hAnsi="Times New Roman" w:cs="Times New Roman"/>
                <w:sz w:val="22"/>
                <w:szCs w:val="22"/>
              </w:rPr>
              <w:t>Dir</w:t>
            </w:r>
            <w:proofErr w:type="spellEnd"/>
            <w:r>
              <w:rPr>
                <w:rFonts w:ascii="Times New Roman" w:eastAsia="Times New Roman" w:hAnsi="Times New Roman" w:cs="Times New Roman"/>
                <w:sz w:val="22"/>
                <w:szCs w:val="22"/>
              </w:rPr>
              <w:t xml:space="preserve"> 36/2005 la </w:t>
            </w:r>
            <w:proofErr w:type="spellStart"/>
            <w:r>
              <w:rPr>
                <w:rFonts w:ascii="Times New Roman" w:eastAsia="Times New Roman" w:hAnsi="Times New Roman" w:cs="Times New Roman"/>
                <w:sz w:val="22"/>
                <w:szCs w:val="22"/>
              </w:rPr>
              <w:t>art</w:t>
            </w:r>
            <w:proofErr w:type="spellEnd"/>
            <w:r>
              <w:rPr>
                <w:rFonts w:ascii="Times New Roman" w:eastAsia="Times New Roman" w:hAnsi="Times New Roman" w:cs="Times New Roman"/>
                <w:sz w:val="22"/>
                <w:szCs w:val="22"/>
              </w:rPr>
              <w:t xml:space="preserve"> 28 alin (5) stabilește că statele membre stabilesc, în special, în ce măsură formarea suplimentară deja urmată de </w:t>
            </w:r>
            <w:r>
              <w:rPr>
                <w:rFonts w:ascii="Times New Roman" w:eastAsia="Times New Roman" w:hAnsi="Times New Roman" w:cs="Times New Roman"/>
                <w:sz w:val="22"/>
                <w:szCs w:val="22"/>
              </w:rPr>
              <w:lastRenderedPageBreak/>
              <w:t xml:space="preserve">către solicitant, precum și </w:t>
            </w:r>
            <w:proofErr w:type="spellStart"/>
            <w:r>
              <w:rPr>
                <w:rFonts w:ascii="Times New Roman" w:eastAsia="Times New Roman" w:hAnsi="Times New Roman" w:cs="Times New Roman"/>
                <w:sz w:val="22"/>
                <w:szCs w:val="22"/>
              </w:rPr>
              <w:t>experienţa</w:t>
            </w:r>
            <w:proofErr w:type="spellEnd"/>
            <w:r>
              <w:rPr>
                <w:rFonts w:ascii="Times New Roman" w:eastAsia="Times New Roman" w:hAnsi="Times New Roman" w:cs="Times New Roman"/>
                <w:sz w:val="22"/>
                <w:szCs w:val="22"/>
              </w:rPr>
              <w:t xml:space="preserve"> sa profesională pot fi luate în considerare pentru a înlocui formarea. Astfel, statele membre pot elibera titlul de calificare prevăzut în anexa V punctul 5.1.4 numai în cazul în care solicitantul a dobândit o </w:t>
            </w:r>
            <w:proofErr w:type="spellStart"/>
            <w:r>
              <w:rPr>
                <w:rFonts w:ascii="Times New Roman" w:eastAsia="Times New Roman" w:hAnsi="Times New Roman" w:cs="Times New Roman"/>
                <w:sz w:val="22"/>
                <w:szCs w:val="22"/>
              </w:rPr>
              <w:t>experienţă</w:t>
            </w:r>
            <w:proofErr w:type="spellEnd"/>
            <w:r>
              <w:rPr>
                <w:rFonts w:ascii="Times New Roman" w:eastAsia="Times New Roman" w:hAnsi="Times New Roman" w:cs="Times New Roman"/>
                <w:sz w:val="22"/>
                <w:szCs w:val="22"/>
              </w:rPr>
              <w:t xml:space="preserve"> în medicină generală de cel </w:t>
            </w:r>
            <w:proofErr w:type="spellStart"/>
            <w:r>
              <w:rPr>
                <w:rFonts w:ascii="Times New Roman" w:eastAsia="Times New Roman" w:hAnsi="Times New Roman" w:cs="Times New Roman"/>
                <w:sz w:val="22"/>
                <w:szCs w:val="22"/>
              </w:rPr>
              <w:t>puţin</w:t>
            </w:r>
            <w:proofErr w:type="spellEnd"/>
            <w:r>
              <w:rPr>
                <w:rFonts w:ascii="Times New Roman" w:eastAsia="Times New Roman" w:hAnsi="Times New Roman" w:cs="Times New Roman"/>
                <w:sz w:val="22"/>
                <w:szCs w:val="22"/>
              </w:rPr>
              <w:t xml:space="preserve"> șase luni în cadrul unui cabinet de medicină generală sau al unui centru în care medicii acordă </w:t>
            </w:r>
            <w:proofErr w:type="spellStart"/>
            <w:r>
              <w:rPr>
                <w:rFonts w:ascii="Times New Roman" w:eastAsia="Times New Roman" w:hAnsi="Times New Roman" w:cs="Times New Roman"/>
                <w:sz w:val="22"/>
                <w:szCs w:val="22"/>
              </w:rPr>
              <w:t>asistenţa</w:t>
            </w:r>
            <w:proofErr w:type="spellEnd"/>
            <w:r>
              <w:rPr>
                <w:rFonts w:ascii="Times New Roman" w:eastAsia="Times New Roman" w:hAnsi="Times New Roman" w:cs="Times New Roman"/>
                <w:sz w:val="22"/>
                <w:szCs w:val="22"/>
              </w:rPr>
              <w:t xml:space="preserve"> medicală primară </w:t>
            </w:r>
            <w:proofErr w:type="spellStart"/>
            <w:r>
              <w:rPr>
                <w:rFonts w:ascii="Times New Roman" w:eastAsia="Times New Roman" w:hAnsi="Times New Roman" w:cs="Times New Roman"/>
                <w:sz w:val="22"/>
                <w:szCs w:val="22"/>
              </w:rPr>
              <w:t>menţionată</w:t>
            </w:r>
            <w:proofErr w:type="spellEnd"/>
            <w:r>
              <w:rPr>
                <w:rFonts w:ascii="Times New Roman" w:eastAsia="Times New Roman" w:hAnsi="Times New Roman" w:cs="Times New Roman"/>
                <w:sz w:val="22"/>
                <w:szCs w:val="22"/>
              </w:rPr>
              <w:t xml:space="preserve"> la alineatul (3).</w:t>
            </w:r>
          </w:p>
        </w:tc>
      </w:tr>
      <w:tr w:rsidR="001E4866" w14:paraId="510B037A" w14:textId="77777777">
        <w:trPr>
          <w:trHeight w:val="630"/>
        </w:trPr>
        <w:tc>
          <w:tcPr>
            <w:tcW w:w="1335" w:type="dxa"/>
            <w:vMerge/>
          </w:tcPr>
          <w:p w14:paraId="5EC7B9E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2F34BBE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151A2C1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vMerge/>
            <w:tcMar>
              <w:top w:w="0" w:type="dxa"/>
              <w:bottom w:w="0" w:type="dxa"/>
            </w:tcMar>
          </w:tcPr>
          <w:p w14:paraId="281B5D8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635" w:type="dxa"/>
            <w:vMerge/>
            <w:tcMar>
              <w:top w:w="0" w:type="dxa"/>
              <w:bottom w:w="0" w:type="dxa"/>
            </w:tcMar>
          </w:tcPr>
          <w:p w14:paraId="3CDEF93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r>
      <w:tr w:rsidR="001E4866" w14:paraId="31E48DA2" w14:textId="77777777">
        <w:trPr>
          <w:trHeight w:val="1206"/>
        </w:trPr>
        <w:tc>
          <w:tcPr>
            <w:tcW w:w="1335" w:type="dxa"/>
            <w:vMerge/>
          </w:tcPr>
          <w:p w14:paraId="2E91330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35EF62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D16C80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vMerge/>
            <w:tcMar>
              <w:top w:w="0" w:type="dxa"/>
              <w:bottom w:w="0" w:type="dxa"/>
            </w:tcMar>
          </w:tcPr>
          <w:p w14:paraId="2E04B0C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635" w:type="dxa"/>
            <w:vMerge/>
            <w:tcMar>
              <w:top w:w="0" w:type="dxa"/>
              <w:bottom w:w="0" w:type="dxa"/>
            </w:tcMar>
          </w:tcPr>
          <w:p w14:paraId="04FE7BE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r>
      <w:tr w:rsidR="001E4866" w14:paraId="5FAFA8BE" w14:textId="77777777">
        <w:trPr>
          <w:trHeight w:val="2880"/>
        </w:trPr>
        <w:tc>
          <w:tcPr>
            <w:tcW w:w="1335" w:type="dxa"/>
            <w:vMerge/>
          </w:tcPr>
          <w:p w14:paraId="281A609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6F8211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4819B3C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1D1316B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partea ce ține de celelalte dispoziții din actului UE (art. 4, pct. (1); art. 4a, pct. (3, 5, 6, 8); art. 5, pct. (2, 3); art. 7, pct. (1, 2a, 3, 4); art. 8, pct. (1); art. 10; art. 21, pct. (1); art. 56, pct. (2) și (4); art. 56a, pct. (1, 3, 5); art. 57 b, pct. (2) declarate prin clauza de armonizare a fi transpuse integral prin prezentul proiect de lege, comunicăm că, deși a fost preluat conceptul general al acestora, transpunerea nemijlocită a prevederilor în cauză nu a fost realizată prin prezentul proiect, potrivit celor identificate infra.</w:t>
            </w:r>
          </w:p>
        </w:tc>
        <w:tc>
          <w:tcPr>
            <w:tcW w:w="4635" w:type="dxa"/>
            <w:tcMar>
              <w:top w:w="0" w:type="dxa"/>
              <w:bottom w:w="0" w:type="dxa"/>
            </w:tcMar>
          </w:tcPr>
          <w:p w14:paraId="005B252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43AD054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în special clauza de armonizare, a fost modificat.</w:t>
            </w:r>
          </w:p>
        </w:tc>
      </w:tr>
      <w:tr w:rsidR="001E4866" w14:paraId="1E9C95E3" w14:textId="77777777">
        <w:trPr>
          <w:trHeight w:val="7324"/>
        </w:trPr>
        <w:tc>
          <w:tcPr>
            <w:tcW w:w="1335" w:type="dxa"/>
            <w:vMerge/>
          </w:tcPr>
          <w:p w14:paraId="70E95B3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435E014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08651EE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2A601AC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 transpunere incompletă se atestă și la definirea termenului de „titlu de calificare” (Art. I, pct. 2 din proiect), prin prisma corespondentului acestei noțiuni prevăzut în art. 3 (1), lit. (c) din directivă. În context, potrivit noțiunii din actul UE, titlul de calificare cuprinde și experiența profesională de trei ani în profesia în cauză pe teritoriul statului membru care a recunoscut respectivul titlu de calificare, cerință care nu este reflectată în noțiunea națională. </w:t>
            </w:r>
          </w:p>
          <w:p w14:paraId="43F106DC" w14:textId="77777777" w:rsidR="001E4866" w:rsidRDefault="001E4866">
            <w:pPr>
              <w:ind w:firstLine="0"/>
              <w:rPr>
                <w:rFonts w:ascii="Times New Roman" w:eastAsia="Times New Roman" w:hAnsi="Times New Roman" w:cs="Times New Roman"/>
                <w:sz w:val="22"/>
                <w:szCs w:val="22"/>
              </w:rPr>
            </w:pPr>
          </w:p>
        </w:tc>
        <w:tc>
          <w:tcPr>
            <w:tcW w:w="4635" w:type="dxa"/>
            <w:tcMar>
              <w:top w:w="0" w:type="dxa"/>
              <w:bottom w:w="0" w:type="dxa"/>
            </w:tcMar>
          </w:tcPr>
          <w:p w14:paraId="10A0FE5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0B4A0FF9"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Directiva 36/2005, </w:t>
            </w:r>
            <w:proofErr w:type="spellStart"/>
            <w:r>
              <w:rPr>
                <w:rFonts w:ascii="Times New Roman" w:eastAsia="Times New Roman" w:hAnsi="Times New Roman" w:cs="Times New Roman"/>
                <w:sz w:val="22"/>
                <w:szCs w:val="22"/>
              </w:rPr>
              <w:t>art</w:t>
            </w:r>
            <w:proofErr w:type="spellEnd"/>
            <w:r>
              <w:rPr>
                <w:rFonts w:ascii="Times New Roman" w:eastAsia="Times New Roman" w:hAnsi="Times New Roman" w:cs="Times New Roman"/>
                <w:sz w:val="22"/>
                <w:szCs w:val="22"/>
              </w:rPr>
              <w:t xml:space="preserve"> 3 definește titlu de calificare ca fiind diplomele, certificatele și alte titluri oficiale de calificare eliberate de o autoritate a unui stat membru desemnată în temeiul actelor cu putere de lege și al actelor administrative ale respectivului stat membru și care certifică formarea profesională în special în Comunitate. În cazul în care prima teză nu se aplică, se consideră titlu de calificare orice titlu de calificare eliberat într-o </w:t>
            </w:r>
            <w:proofErr w:type="spellStart"/>
            <w:r>
              <w:rPr>
                <w:rFonts w:ascii="Times New Roman" w:eastAsia="Times New Roman" w:hAnsi="Times New Roman" w:cs="Times New Roman"/>
                <w:sz w:val="22"/>
                <w:szCs w:val="22"/>
              </w:rPr>
              <w:t>ţară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terţă</w:t>
            </w:r>
            <w:proofErr w:type="spellEnd"/>
            <w:r>
              <w:rPr>
                <w:rFonts w:ascii="Times New Roman" w:eastAsia="Times New Roman" w:hAnsi="Times New Roman" w:cs="Times New Roman"/>
                <w:sz w:val="22"/>
                <w:szCs w:val="22"/>
              </w:rPr>
              <w:t xml:space="preserve"> de îndată ce titularul său are o </w:t>
            </w:r>
            <w:proofErr w:type="spellStart"/>
            <w:r>
              <w:rPr>
                <w:rFonts w:ascii="Times New Roman" w:eastAsia="Times New Roman" w:hAnsi="Times New Roman" w:cs="Times New Roman"/>
                <w:sz w:val="22"/>
                <w:szCs w:val="22"/>
              </w:rPr>
              <w:t>experienţă</w:t>
            </w:r>
            <w:proofErr w:type="spellEnd"/>
            <w:r>
              <w:rPr>
                <w:rFonts w:ascii="Times New Roman" w:eastAsia="Times New Roman" w:hAnsi="Times New Roman" w:cs="Times New Roman"/>
                <w:sz w:val="22"/>
                <w:szCs w:val="22"/>
              </w:rPr>
              <w:t xml:space="preserve"> profesională în profesia în cauză de trei ani pe teritoriul statului membru care a recunoscut respectivul titlu de calificare în conformitate cu articolul 2 alineatul (2), certificată de respectivul stat membru.</w:t>
            </w:r>
          </w:p>
          <w:p w14:paraId="3353780F" w14:textId="77777777" w:rsidR="001E4866" w:rsidRDefault="001E4866">
            <w:pPr>
              <w:rPr>
                <w:rFonts w:ascii="Times New Roman" w:eastAsia="Times New Roman" w:hAnsi="Times New Roman" w:cs="Times New Roman"/>
                <w:sz w:val="22"/>
                <w:szCs w:val="22"/>
              </w:rPr>
            </w:pPr>
          </w:p>
          <w:p w14:paraId="24319E8F" w14:textId="77777777" w:rsidR="001E4866" w:rsidRDefault="00000000">
            <w:pPr>
              <w:ind w:firstLine="0"/>
              <w:rPr>
                <w:rFonts w:ascii="Times New Roman" w:eastAsia="Times New Roman" w:hAnsi="Times New Roman" w:cs="Times New Roman"/>
                <w:i/>
                <w:iCs/>
                <w:sz w:val="22"/>
                <w:szCs w:val="22"/>
              </w:rPr>
            </w:pPr>
            <w:r>
              <w:rPr>
                <w:rFonts w:ascii="Times New Roman" w:eastAsia="Times New Roman" w:hAnsi="Times New Roman" w:cs="Times New Roman"/>
                <w:sz w:val="22"/>
                <w:szCs w:val="22"/>
              </w:rPr>
              <w:t>Regimul juridic al recunoașterii unui titlu de calificare eliberat într-un stat terț în baza experienței de trei ani în profesia în cauză pe teritoriul unui stat membru este prevăzut la Art. 8 alin (1) din Legea nr. 411/1995 ocrotirii sănătății</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și anume</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titlu de calificare care a fost eliberat sau recunoscut în unul din statele membre ale Uniunii Europene, statele aparținând Spațiului Economic European sau Confederația Elvețiană”.</w:t>
            </w:r>
            <w:r>
              <w:rPr>
                <w:rFonts w:ascii="Times New Roman" w:eastAsia="Times New Roman" w:hAnsi="Times New Roman" w:cs="Times New Roman"/>
                <w:i/>
                <w:iCs/>
                <w:sz w:val="22"/>
                <w:szCs w:val="22"/>
              </w:rPr>
              <w:t xml:space="preserve"> </w:t>
            </w:r>
            <w:r>
              <w:rPr>
                <w:rFonts w:ascii="Times New Roman" w:eastAsia="Times New Roman" w:hAnsi="Times New Roman" w:cs="Times New Roman"/>
                <w:sz w:val="22"/>
                <w:szCs w:val="22"/>
              </w:rPr>
              <w:t>Reglementarea condițiilor de recunoaștere a titlului de calificare urmează a face obiect al transpunerii prin cadrul normativ secundar.</w:t>
            </w:r>
          </w:p>
        </w:tc>
      </w:tr>
      <w:tr w:rsidR="001E4866" w14:paraId="56B4ACE5" w14:textId="77777777">
        <w:trPr>
          <w:trHeight w:val="3120"/>
        </w:trPr>
        <w:tc>
          <w:tcPr>
            <w:tcW w:w="1335" w:type="dxa"/>
            <w:vMerge/>
          </w:tcPr>
          <w:p w14:paraId="782EF94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sz w:val="22"/>
                <w:szCs w:val="22"/>
              </w:rPr>
            </w:pPr>
          </w:p>
        </w:tc>
        <w:tc>
          <w:tcPr>
            <w:tcW w:w="1905" w:type="dxa"/>
            <w:vMerge/>
            <w:tcMar>
              <w:top w:w="0" w:type="dxa"/>
              <w:bottom w:w="0" w:type="dxa"/>
            </w:tcMar>
          </w:tcPr>
          <w:p w14:paraId="3D1F2F5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sz w:val="22"/>
                <w:szCs w:val="22"/>
              </w:rPr>
            </w:pPr>
          </w:p>
        </w:tc>
        <w:tc>
          <w:tcPr>
            <w:tcW w:w="1575" w:type="dxa"/>
            <w:vMerge/>
            <w:tcMar>
              <w:top w:w="0" w:type="dxa"/>
              <w:bottom w:w="0" w:type="dxa"/>
            </w:tcMar>
          </w:tcPr>
          <w:p w14:paraId="7068800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i/>
                <w:iCs/>
                <w:sz w:val="22"/>
                <w:szCs w:val="22"/>
              </w:rPr>
            </w:pPr>
          </w:p>
        </w:tc>
        <w:tc>
          <w:tcPr>
            <w:tcW w:w="4785" w:type="dxa"/>
            <w:tcMar>
              <w:top w:w="0" w:type="dxa"/>
              <w:bottom w:w="0" w:type="dxa"/>
            </w:tcMar>
          </w:tcPr>
          <w:p w14:paraId="7403D7A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Art. 4 (1) din directivă prevede condiția generală al efectului recunoașterii unei calificări profesionale, pe când proiectul de lege identifică expres categoriile care cad sub incidența acestei reguli (noul conținut pentru art. 8 din Legea nr. 411/1995 prevăzut în pct. 3, Art. I din proiectul de lege). În context, norma respectivă, în integralitatea sa urmează a face obiect al transpunerii fie prin prezentul proiect de lege sau ulterior în cadrul special de reglementare, or identificarea categoriilor care cad sub incidența acesteia nu exonerează de obligația de a transpune prevederile actului UE.</w:t>
            </w:r>
          </w:p>
        </w:tc>
        <w:tc>
          <w:tcPr>
            <w:tcW w:w="4635" w:type="dxa"/>
            <w:tcMar>
              <w:top w:w="0" w:type="dxa"/>
              <w:bottom w:w="0" w:type="dxa"/>
            </w:tcMar>
          </w:tcPr>
          <w:p w14:paraId="5274A5CA"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60090FE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Integralitatea normei respective va face obiect al transpunerii  prin cadrul normativ secundar.</w:t>
            </w:r>
          </w:p>
        </w:tc>
      </w:tr>
      <w:tr w:rsidR="001E4866" w14:paraId="1872F34C" w14:textId="77777777">
        <w:trPr>
          <w:trHeight w:val="5167"/>
        </w:trPr>
        <w:tc>
          <w:tcPr>
            <w:tcW w:w="1335" w:type="dxa"/>
          </w:tcPr>
          <w:p w14:paraId="6C59B710" w14:textId="77777777" w:rsidR="001E4866" w:rsidRDefault="001E4866">
            <w:pPr>
              <w:pBdr>
                <w:top w:val="none" w:sz="0" w:space="0" w:color="000000"/>
                <w:left w:val="none" w:sz="0" w:space="0" w:color="000000"/>
                <w:bottom w:val="none" w:sz="0" w:space="0" w:color="000000"/>
                <w:right w:val="none" w:sz="0" w:space="0" w:color="000000"/>
              </w:pBdr>
              <w:jc w:val="center"/>
              <w:rPr>
                <w:rFonts w:ascii="Times New Roman" w:eastAsia="Times New Roman" w:hAnsi="Times New Roman" w:cs="Times New Roman"/>
                <w:sz w:val="22"/>
                <w:szCs w:val="22"/>
              </w:rPr>
            </w:pPr>
          </w:p>
        </w:tc>
        <w:tc>
          <w:tcPr>
            <w:tcW w:w="1905" w:type="dxa"/>
            <w:tcMar>
              <w:top w:w="0" w:type="dxa"/>
              <w:bottom w:w="0" w:type="dxa"/>
            </w:tcMar>
          </w:tcPr>
          <w:p w14:paraId="48D0D3E7"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E5E1EC3"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4BCECA2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Prevederile proiectului de lege privind </w:t>
            </w:r>
            <w:r>
              <w:rPr>
                <w:rFonts w:ascii="Times New Roman" w:eastAsia="Times New Roman" w:hAnsi="Times New Roman" w:cs="Times New Roman"/>
                <w:b/>
                <w:bCs/>
                <w:sz w:val="22"/>
                <w:szCs w:val="22"/>
              </w:rPr>
              <w:t xml:space="preserve">cardul profesional european </w:t>
            </w:r>
            <w:r>
              <w:rPr>
                <w:rFonts w:ascii="Times New Roman" w:eastAsia="Times New Roman" w:hAnsi="Times New Roman" w:cs="Times New Roman"/>
                <w:sz w:val="22"/>
                <w:szCs w:val="22"/>
              </w:rPr>
              <w:t>țin exclusiv de desemnarea unei autorități naționale responsabile de recunoașterea titlului de calificare – Consiliul Național de Evaluare și Acreditare în Sănătate (în continuare – CNEAS) și definirea termenului respectiv, ceea ce nu reprezintă o transpunere a prevederilor art. 4a din Directiva 2005/36/CE, care prevede condițiile specifice de eliberare/deținere a unui astfel de card.  Totodată, pare ambiguă atribuția Consiliului, ca instituție publică responsabilă de certificarea cadrelor medicale și farmaceutice de a emite un card profesional european, în contextul în care, un astfel de document ar necesita statutul de stat membru al UE pentru Republica Moldova (noul art. 127 din Legea nr. 552/2001 prevăzut în pct. 5 din proiect).</w:t>
            </w:r>
          </w:p>
          <w:p w14:paraId="572DED31" w14:textId="77777777" w:rsidR="001E4866" w:rsidRDefault="001E4866">
            <w:pPr>
              <w:ind w:firstLine="0"/>
              <w:rPr>
                <w:rFonts w:ascii="Times New Roman" w:eastAsia="Times New Roman" w:hAnsi="Times New Roman" w:cs="Times New Roman"/>
                <w:sz w:val="22"/>
                <w:szCs w:val="22"/>
              </w:rPr>
            </w:pPr>
          </w:p>
        </w:tc>
        <w:tc>
          <w:tcPr>
            <w:tcW w:w="4635" w:type="dxa"/>
            <w:tcMar>
              <w:top w:w="0" w:type="dxa"/>
              <w:bottom w:w="0" w:type="dxa"/>
            </w:tcMar>
          </w:tcPr>
          <w:p w14:paraId="17F16564"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22CB791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de lege la noul conținut pentru art. 8 din Legea nr. 411/1995, alin (7)  reglementează condițiile generale de recunoaștere pentru accesul la profesia reglementată și exercitarea acesteia de către deținătorii unui card profesional european. Astfel, „solicitările privind certificarea primară din partea persoanelor specificate la alin. (1) lit. b) titulari a cardului profesional european se soluționează în modul și termenele stabilite în acest sens de legislație.”</w:t>
            </w:r>
          </w:p>
          <w:p w14:paraId="72F0E69A" w14:textId="77777777" w:rsidR="001E4866" w:rsidRDefault="001E4866">
            <w:pPr>
              <w:ind w:firstLine="0"/>
              <w:rPr>
                <w:rFonts w:ascii="Times New Roman" w:eastAsia="Times New Roman" w:hAnsi="Times New Roman" w:cs="Times New Roman"/>
                <w:sz w:val="22"/>
                <w:szCs w:val="22"/>
              </w:rPr>
            </w:pPr>
          </w:p>
          <w:p w14:paraId="1ECBA931"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Integralitatea normei respective va face obiect al transpunerii  prin cadrul normativ secundar. </w:t>
            </w:r>
          </w:p>
          <w:p w14:paraId="06269166" w14:textId="77777777" w:rsidR="001E4866" w:rsidRDefault="001E4866">
            <w:pPr>
              <w:ind w:firstLine="0"/>
              <w:rPr>
                <w:rFonts w:ascii="Times New Roman" w:eastAsia="Times New Roman" w:hAnsi="Times New Roman" w:cs="Times New Roman"/>
                <w:sz w:val="22"/>
                <w:szCs w:val="22"/>
              </w:rPr>
            </w:pPr>
          </w:p>
          <w:p w14:paraId="10A4AC4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termenul de aplicare a normelor stabilite în raport cu autoritățile europene și privind emiterea Cardului profesional european a fost revizuit. </w:t>
            </w:r>
          </w:p>
        </w:tc>
      </w:tr>
      <w:tr w:rsidR="001E4866" w14:paraId="5F84D6CC" w14:textId="77777777">
        <w:trPr>
          <w:trHeight w:val="6210"/>
        </w:trPr>
        <w:tc>
          <w:tcPr>
            <w:tcW w:w="1335" w:type="dxa"/>
            <w:vMerge w:val="restart"/>
          </w:tcPr>
          <w:p w14:paraId="0CEC5E9D" w14:textId="77777777" w:rsidR="001E4866" w:rsidRDefault="001E4866">
            <w:pPr>
              <w:pBdr>
                <w:top w:val="none" w:sz="0" w:space="0" w:color="000000"/>
                <w:left w:val="none" w:sz="0" w:space="0" w:color="000000"/>
                <w:bottom w:val="none" w:sz="0" w:space="0" w:color="000000"/>
                <w:right w:val="none" w:sz="0" w:space="0" w:color="000000"/>
              </w:pBdr>
              <w:jc w:val="center"/>
              <w:rPr>
                <w:rFonts w:ascii="Times New Roman" w:eastAsia="Times New Roman" w:hAnsi="Times New Roman" w:cs="Times New Roman"/>
                <w:sz w:val="22"/>
                <w:szCs w:val="22"/>
              </w:rPr>
            </w:pPr>
          </w:p>
        </w:tc>
        <w:tc>
          <w:tcPr>
            <w:tcW w:w="1905" w:type="dxa"/>
            <w:tcMar>
              <w:top w:w="0" w:type="dxa"/>
              <w:bottom w:w="0" w:type="dxa"/>
            </w:tcMar>
          </w:tcPr>
          <w:p w14:paraId="62F662C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21378F6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6B847372" w14:textId="77777777" w:rsidR="001E4866"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Cu referire la transpunerea art. 5 (2) din Directivă, se constată că prin pct. 4, art. I din proiectul de lege, se completează Legea nr. 411/1995 cu anumite condiții de exercitare a profesiilor medico-sanitare și farmaceutice (noul art. 81 (7), (9) din lege) în contextul </w:t>
            </w:r>
            <w:r>
              <w:rPr>
                <w:rFonts w:ascii="Times New Roman" w:eastAsia="Times New Roman" w:hAnsi="Times New Roman" w:cs="Times New Roman"/>
                <w:b/>
                <w:bCs/>
                <w:sz w:val="22"/>
                <w:szCs w:val="22"/>
              </w:rPr>
              <w:t xml:space="preserve">exercitării unui serviciu temporar și ocazional similare celor prevăzute în art. 5 (2) și (3). </w:t>
            </w:r>
            <w:r>
              <w:rPr>
                <w:rFonts w:ascii="Times New Roman" w:eastAsia="Times New Roman" w:hAnsi="Times New Roman" w:cs="Times New Roman"/>
                <w:sz w:val="22"/>
                <w:szCs w:val="22"/>
              </w:rPr>
              <w:t>Totodată, menționăm că, identificarea unor condiții generale de verificare a respectării normelor cu caracter profesional, de reglementare sau administrativ legate de calificarea profesională, este neclară în contextul nepreluării dispoziției art. 5 (1), care identifică inclusiv și perioada exercitării unei astfel de profesii, cât și alte aspecte conceptuale care fac aplicabilă norma art. 5 din actul UE.</w:t>
            </w:r>
          </w:p>
          <w:p w14:paraId="534DDC3E" w14:textId="77777777" w:rsidR="001E4866" w:rsidRDefault="001E4866">
            <w:pPr>
              <w:ind w:firstLine="0"/>
              <w:rPr>
                <w:rFonts w:ascii="Times New Roman" w:eastAsia="Times New Roman" w:hAnsi="Times New Roman" w:cs="Times New Roman"/>
                <w:sz w:val="22"/>
                <w:szCs w:val="22"/>
              </w:rPr>
            </w:pPr>
          </w:p>
        </w:tc>
        <w:tc>
          <w:tcPr>
            <w:tcW w:w="4635" w:type="dxa"/>
            <w:tcMar>
              <w:top w:w="0" w:type="dxa"/>
              <w:bottom w:w="0" w:type="dxa"/>
            </w:tcMar>
          </w:tcPr>
          <w:p w14:paraId="6D070BDD"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425F193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de lege aplica în mod implicit norma art. 5 din Directiva 36/2005 prin noul articol 8 și 8</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din Legea nr. 411/1995 ocrotirii sănătății. </w:t>
            </w:r>
          </w:p>
          <w:p w14:paraId="55573D9A" w14:textId="77777777" w:rsidR="001E4866" w:rsidRDefault="001E4866">
            <w:pPr>
              <w:ind w:firstLine="0"/>
              <w:rPr>
                <w:rFonts w:ascii="Times New Roman" w:eastAsia="Times New Roman" w:hAnsi="Times New Roman" w:cs="Times New Roman"/>
                <w:sz w:val="22"/>
                <w:szCs w:val="22"/>
              </w:rPr>
            </w:pPr>
          </w:p>
          <w:p w14:paraId="0EE328F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art. 5 (1) din Directiva 36/2005 stabilește ca în cazul deplasării prestatorului de servicii, dacă a exercitat profesia respectivă </w:t>
            </w:r>
            <w:proofErr w:type="spellStart"/>
            <w:r>
              <w:rPr>
                <w:rFonts w:ascii="Times New Roman" w:eastAsia="Times New Roman" w:hAnsi="Times New Roman" w:cs="Times New Roman"/>
                <w:sz w:val="22"/>
                <w:szCs w:val="22"/>
              </w:rPr>
              <w:t>într</w:t>
            </w:r>
            <w:proofErr w:type="spellEnd"/>
            <w:r>
              <w:rPr>
                <w:rFonts w:ascii="Times New Roman" w:eastAsia="Times New Roman" w:hAnsi="Times New Roman" w:cs="Times New Roman"/>
                <w:sz w:val="22"/>
                <w:szCs w:val="22"/>
              </w:rPr>
              <w:t xml:space="preserve">-unul sau mai multe state membre pe o perioadă de cel </w:t>
            </w:r>
            <w:proofErr w:type="spellStart"/>
            <w:r>
              <w:rPr>
                <w:rFonts w:ascii="Times New Roman" w:eastAsia="Times New Roman" w:hAnsi="Times New Roman" w:cs="Times New Roman"/>
                <w:sz w:val="22"/>
                <w:szCs w:val="22"/>
              </w:rPr>
              <w:t>puţin</w:t>
            </w:r>
            <w:proofErr w:type="spellEnd"/>
            <w:r>
              <w:rPr>
                <w:rFonts w:ascii="Times New Roman" w:eastAsia="Times New Roman" w:hAnsi="Times New Roman" w:cs="Times New Roman"/>
                <w:sz w:val="22"/>
                <w:szCs w:val="22"/>
              </w:rPr>
              <w:t xml:space="preserve"> un an în decursul ultimilor zece ani anteriori prestării de servicii, atunci când profesia nu este reglementată în statul membru de stabilire. Însă, </w:t>
            </w:r>
            <w:proofErr w:type="spellStart"/>
            <w:r>
              <w:rPr>
                <w:rFonts w:ascii="Times New Roman" w:eastAsia="Times New Roman" w:hAnsi="Times New Roman" w:cs="Times New Roman"/>
                <w:sz w:val="22"/>
                <w:szCs w:val="22"/>
              </w:rPr>
              <w:t>condiţia</w:t>
            </w:r>
            <w:proofErr w:type="spellEnd"/>
            <w:r>
              <w:rPr>
                <w:rFonts w:ascii="Times New Roman" w:eastAsia="Times New Roman" w:hAnsi="Times New Roman" w:cs="Times New Roman"/>
                <w:sz w:val="22"/>
                <w:szCs w:val="22"/>
              </w:rPr>
              <w:t xml:space="preserve"> de exercitare timp de un an a profesiei nu se aplică în cazul în care profesia sau </w:t>
            </w:r>
            <w:proofErr w:type="spellStart"/>
            <w:r>
              <w:rPr>
                <w:rFonts w:ascii="Times New Roman" w:eastAsia="Times New Roman" w:hAnsi="Times New Roman" w:cs="Times New Roman"/>
                <w:sz w:val="22"/>
                <w:szCs w:val="22"/>
              </w:rPr>
              <w:t>educaţia</w:t>
            </w:r>
            <w:proofErr w:type="spellEnd"/>
            <w:r>
              <w:rPr>
                <w:rFonts w:ascii="Times New Roman" w:eastAsia="Times New Roman" w:hAnsi="Times New Roman" w:cs="Times New Roman"/>
                <w:sz w:val="22"/>
                <w:szCs w:val="22"/>
              </w:rPr>
              <w:t xml:space="preserve"> și formarea care conduc la exercitarea profesiei sunt reglementate.</w:t>
            </w:r>
          </w:p>
          <w:p w14:paraId="3BA86F44" w14:textId="77777777" w:rsidR="001E4866" w:rsidRDefault="001E4866">
            <w:pPr>
              <w:ind w:firstLine="0"/>
              <w:rPr>
                <w:rFonts w:ascii="Times New Roman" w:eastAsia="Times New Roman" w:hAnsi="Times New Roman" w:cs="Times New Roman"/>
                <w:sz w:val="22"/>
                <w:szCs w:val="22"/>
              </w:rPr>
            </w:pPr>
          </w:p>
          <w:p w14:paraId="47C1591F" w14:textId="77777777" w:rsidR="001E4866" w:rsidRDefault="00000000">
            <w:pPr>
              <w:ind w:firstLine="0"/>
              <w:rPr>
                <w:rFonts w:ascii="Times New Roman" w:eastAsia="Times New Roman" w:hAnsi="Times New Roman" w:cs="Times New Roman"/>
                <w:color w:val="FF0000"/>
                <w:sz w:val="22"/>
                <w:szCs w:val="22"/>
              </w:rPr>
            </w:pPr>
            <w:r>
              <w:rPr>
                <w:rFonts w:ascii="Times New Roman" w:eastAsia="Times New Roman" w:hAnsi="Times New Roman" w:cs="Times New Roman"/>
                <w:sz w:val="22"/>
                <w:szCs w:val="22"/>
              </w:rPr>
              <w:t>Procedura și condițiile specifice privind caracterul temporar și ocazional al exercitării profesiunii va face obiect al transpunerii  prin cadrul normativ secundar, conform prevederilor art. 8</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(7) din Legea nr. 411/1995 ocrotirii sănătății. </w:t>
            </w:r>
          </w:p>
        </w:tc>
      </w:tr>
      <w:tr w:rsidR="001E4866" w14:paraId="55372397" w14:textId="77777777">
        <w:trPr>
          <w:trHeight w:val="2340"/>
        </w:trPr>
        <w:tc>
          <w:tcPr>
            <w:tcW w:w="1335" w:type="dxa"/>
            <w:vMerge/>
          </w:tcPr>
          <w:p w14:paraId="0631367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FF0000"/>
                <w:sz w:val="22"/>
                <w:szCs w:val="22"/>
              </w:rPr>
            </w:pPr>
          </w:p>
        </w:tc>
        <w:tc>
          <w:tcPr>
            <w:tcW w:w="1905" w:type="dxa"/>
            <w:tcMar>
              <w:top w:w="0" w:type="dxa"/>
              <w:bottom w:w="0" w:type="dxa"/>
            </w:tcMar>
          </w:tcPr>
          <w:p w14:paraId="29032B5A"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79A2F768"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7BFA373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În partea ce ține de conținutul art. 7 din directivă, care stabilește </w:t>
            </w:r>
            <w:r>
              <w:rPr>
                <w:rFonts w:ascii="Times New Roman" w:eastAsia="Times New Roman" w:hAnsi="Times New Roman" w:cs="Times New Roman"/>
                <w:b/>
                <w:bCs/>
                <w:sz w:val="22"/>
                <w:szCs w:val="22"/>
              </w:rPr>
              <w:t xml:space="preserve">procedura de depunere a unei declarații prealabile de către prestatorul de servicii înainte de a furniza servicii pentru prima dată într-un alt stat membru, </w:t>
            </w:r>
            <w:r>
              <w:rPr>
                <w:rFonts w:ascii="Times New Roman" w:eastAsia="Times New Roman" w:hAnsi="Times New Roman" w:cs="Times New Roman"/>
                <w:sz w:val="22"/>
                <w:szCs w:val="22"/>
              </w:rPr>
              <w:t>se constată că acesta nu are corespondent în legislația națională, în special, în prezentul proiect de lege, nefiind reglementat regimul acestui document.</w:t>
            </w:r>
          </w:p>
        </w:tc>
        <w:tc>
          <w:tcPr>
            <w:tcW w:w="4635" w:type="dxa"/>
            <w:tcMar>
              <w:top w:w="0" w:type="dxa"/>
              <w:bottom w:w="0" w:type="dxa"/>
            </w:tcMar>
          </w:tcPr>
          <w:p w14:paraId="4924D1C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2490C44B"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de lege prevede la art. 8</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(4) din Legea nr. 411/1995 ocrotirii sănătății reglementează condițiile generale ale normei art. 7 din actul UE. Procedura și condițiile specifice privind notificarea (inclusiv depunerea și reînnoirea declarației, etc.) va face obiect al transpunerii  prin cadrul normativ secundar.</w:t>
            </w:r>
          </w:p>
          <w:p w14:paraId="60C73488" w14:textId="77777777" w:rsidR="001E4866" w:rsidRDefault="001E4866">
            <w:pPr>
              <w:ind w:firstLine="0"/>
              <w:rPr>
                <w:rFonts w:ascii="Times New Roman" w:eastAsia="Times New Roman" w:hAnsi="Times New Roman" w:cs="Times New Roman"/>
                <w:color w:val="FF0000"/>
                <w:sz w:val="22"/>
                <w:szCs w:val="22"/>
              </w:rPr>
            </w:pPr>
          </w:p>
        </w:tc>
      </w:tr>
      <w:tr w:rsidR="001E4866" w14:paraId="0323D7D4" w14:textId="77777777">
        <w:trPr>
          <w:trHeight w:val="2985"/>
        </w:trPr>
        <w:tc>
          <w:tcPr>
            <w:tcW w:w="1335" w:type="dxa"/>
            <w:vMerge/>
          </w:tcPr>
          <w:p w14:paraId="3F5D3E0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FF0000"/>
                <w:sz w:val="22"/>
                <w:szCs w:val="22"/>
              </w:rPr>
            </w:pPr>
          </w:p>
        </w:tc>
        <w:tc>
          <w:tcPr>
            <w:tcW w:w="1905" w:type="dxa"/>
            <w:tcMar>
              <w:top w:w="0" w:type="dxa"/>
              <w:bottom w:w="0" w:type="dxa"/>
            </w:tcMar>
          </w:tcPr>
          <w:p w14:paraId="772295FE"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4E13B98"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4FB7F5A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 transpunere parțială a art. 8 (1) din Directivă se atestă prin noul art. 127 din Legea nr. 552/2001 (pct. 5 din Art. III la proiect), care prevede atribuția Consiliului de a face schimb de informații cu autoritățile competente din statele membre ale Uniunii Europene. Cu toate acestea, </w:t>
            </w:r>
            <w:r>
              <w:rPr>
                <w:rFonts w:ascii="Times New Roman" w:eastAsia="Times New Roman" w:hAnsi="Times New Roman" w:cs="Times New Roman"/>
                <w:b/>
                <w:bCs/>
                <w:sz w:val="22"/>
                <w:szCs w:val="22"/>
              </w:rPr>
              <w:t>acesta nu asigură o transpunere integrală a prevederii date, în măsura în care acesta nu conține ultima condiție de la art. 56 din actul UE, la care acest articol face referință, și, care, prevede obligația respectării datelor cu caracter personal.</w:t>
            </w:r>
          </w:p>
        </w:tc>
        <w:tc>
          <w:tcPr>
            <w:tcW w:w="4635" w:type="dxa"/>
            <w:tcMar>
              <w:top w:w="0" w:type="dxa"/>
              <w:bottom w:w="0" w:type="dxa"/>
            </w:tcMar>
          </w:tcPr>
          <w:p w14:paraId="5F590EA4"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7693A222"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Procedura și condițiile specifice privind schimbul de informații cu autoritățile competente din statele membre ale Uniunii Europene va face obiect al transpunerii  prin cadrul normativ secundar care va intra în vigoare la data aderării RM la UE.</w:t>
            </w:r>
          </w:p>
          <w:p w14:paraId="18BFFC8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Normele privind schimbul de informații au fost completate cu trimitere la prevederile Legii nr. 133/2011 privind protecția datelor cu caracter personal.</w:t>
            </w:r>
          </w:p>
          <w:p w14:paraId="1847520F" w14:textId="77777777" w:rsidR="001E4866" w:rsidRDefault="001E4866">
            <w:pPr>
              <w:rPr>
                <w:rFonts w:ascii="Times New Roman" w:eastAsia="Times New Roman" w:hAnsi="Times New Roman" w:cs="Times New Roman"/>
                <w:color w:val="FF0000"/>
                <w:sz w:val="22"/>
                <w:szCs w:val="22"/>
              </w:rPr>
            </w:pPr>
          </w:p>
        </w:tc>
      </w:tr>
      <w:tr w:rsidR="001E4866" w14:paraId="6D3A0B2C" w14:textId="77777777">
        <w:trPr>
          <w:trHeight w:val="2955"/>
        </w:trPr>
        <w:tc>
          <w:tcPr>
            <w:tcW w:w="1335" w:type="dxa"/>
            <w:vMerge/>
          </w:tcPr>
          <w:p w14:paraId="111B935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color w:val="FF0000"/>
                <w:sz w:val="22"/>
                <w:szCs w:val="22"/>
              </w:rPr>
            </w:pPr>
          </w:p>
        </w:tc>
        <w:tc>
          <w:tcPr>
            <w:tcW w:w="1905" w:type="dxa"/>
            <w:tcMar>
              <w:top w:w="0" w:type="dxa"/>
              <w:bottom w:w="0" w:type="dxa"/>
            </w:tcMar>
          </w:tcPr>
          <w:p w14:paraId="69F05AB4"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44D4A40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CA564F4"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Cu referire la sarcinile autorității competente astfel prevăzute în art. 56 (4), 56a (1), (3), (5) și art. 57b (2), se constată o transpunere parțială a conținutului general al acestora, prin delegarea CNEAS a atribuției de notificare prin alertă (nouă lit. e) – g) din art. 127 (1) și 127 (2) din Legea nr. 552/2001) prevăzută de actul UE pentru un centru de asistență. Totodată, </w:t>
            </w:r>
            <w:r>
              <w:rPr>
                <w:rFonts w:ascii="Times New Roman" w:eastAsia="Times New Roman" w:hAnsi="Times New Roman" w:cs="Times New Roman"/>
                <w:b/>
                <w:bCs/>
                <w:sz w:val="22"/>
                <w:szCs w:val="22"/>
              </w:rPr>
              <w:t>rămâne neclară aplicabilitatea acestora, în contextul în care, art. 56 (2a) prevede utilizarea Sistemului de informare al pieței interne, pentru colaborarea propriu-zisă.</w:t>
            </w:r>
          </w:p>
        </w:tc>
        <w:tc>
          <w:tcPr>
            <w:tcW w:w="4635" w:type="dxa"/>
            <w:tcMar>
              <w:top w:w="0" w:type="dxa"/>
              <w:bottom w:w="0" w:type="dxa"/>
            </w:tcMar>
          </w:tcPr>
          <w:p w14:paraId="601EB84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158FB118"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Procedura și condițiile specifice privind notificarea prin alertă a autorităților competente din statele membre ale Uniunii Europene va face obiect al transpunerii  prin cadrul normativ secundar care va intra în vigoare la data aderării RM la UE.</w:t>
            </w:r>
          </w:p>
          <w:p w14:paraId="44899586" w14:textId="77777777" w:rsidR="001E4866" w:rsidRDefault="001E4866">
            <w:pPr>
              <w:rPr>
                <w:rFonts w:ascii="Times New Roman" w:eastAsia="Times New Roman" w:hAnsi="Times New Roman" w:cs="Times New Roman"/>
                <w:color w:val="FF0000"/>
                <w:sz w:val="22"/>
                <w:szCs w:val="22"/>
              </w:rPr>
            </w:pPr>
          </w:p>
        </w:tc>
      </w:tr>
      <w:tr w:rsidR="001E4866" w14:paraId="1D9A071D" w14:textId="77777777">
        <w:trPr>
          <w:trHeight w:val="6675"/>
        </w:trPr>
        <w:tc>
          <w:tcPr>
            <w:tcW w:w="1335" w:type="dxa"/>
          </w:tcPr>
          <w:p w14:paraId="66CB7A7D" w14:textId="77777777" w:rsidR="001E4866" w:rsidRDefault="001E4866">
            <w:pPr>
              <w:pBdr>
                <w:top w:val="none" w:sz="0" w:space="0" w:color="000000"/>
                <w:left w:val="none" w:sz="0" w:space="0" w:color="000000"/>
                <w:bottom w:val="none" w:sz="0" w:space="0" w:color="000000"/>
                <w:right w:val="none" w:sz="0" w:space="0" w:color="000000"/>
              </w:pBdr>
              <w:jc w:val="center"/>
              <w:rPr>
                <w:rFonts w:ascii="Times New Roman" w:eastAsia="Times New Roman" w:hAnsi="Times New Roman" w:cs="Times New Roman"/>
                <w:sz w:val="22"/>
                <w:szCs w:val="22"/>
              </w:rPr>
            </w:pPr>
          </w:p>
        </w:tc>
        <w:tc>
          <w:tcPr>
            <w:tcW w:w="1905" w:type="dxa"/>
            <w:tcMar>
              <w:top w:w="0" w:type="dxa"/>
              <w:bottom w:w="0" w:type="dxa"/>
            </w:tcMar>
          </w:tcPr>
          <w:p w14:paraId="2726EFA5"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1BC44571"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53A8B1E1"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III. Respectarea mecanismului de armonizare</w:t>
            </w:r>
          </w:p>
          <w:p w14:paraId="09BCD690"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 Obiecții privind clauza de armonizare</w:t>
            </w:r>
          </w:p>
          <w:p w14:paraId="2C80134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Ținând cont de prevederile art. 31, alin (2) din Legea nr. 100/2017 cu privire la actele normative și pct. 30 din HG 1171/2018 pentru aprobarea Regulamentului privind armonizarea, precum și constatările expuse, clauza de armonizare a proiectului de lege urmează a fi prevăzută în redacția dată infra.</w:t>
            </w:r>
          </w:p>
          <w:p w14:paraId="487050C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„Prezenta lege transpune parțial Directiva 2005/36/CE a Parlamentului European și a Consiliului din 7 septembrie 2005 privind recunoașterea calificărilor profesionale, publicată în Jurnalul Oficial al Uniunii Europene L 255 din 30 septembrie 2005 (CELEX: 32005L0036), așa cum a fost modificată ultima dată prin Directiva delegată (UE) 2024/782 a Comisiei din 4 martie 2024.</w:t>
            </w:r>
          </w:p>
          <w:p w14:paraId="17D7AEC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în aceeași redacție, clauza va fi inclusă și în Legea nr. 411/1995 ocrotirii sănătății (pct. 1, Art. I din proiect) și Legea nr. 552/2001 privind evaluarea și acreditarea în sănătate (pct. 1, Art. III din proiect).</w:t>
            </w:r>
          </w:p>
          <w:p w14:paraId="48598D0B" w14:textId="77777777" w:rsidR="001E4866" w:rsidRDefault="001E4866">
            <w:pPr>
              <w:ind w:firstLine="0"/>
              <w:rPr>
                <w:rFonts w:ascii="Times New Roman" w:eastAsia="Times New Roman" w:hAnsi="Times New Roman" w:cs="Times New Roman"/>
                <w:sz w:val="22"/>
                <w:szCs w:val="22"/>
              </w:rPr>
            </w:pPr>
          </w:p>
          <w:p w14:paraId="2E84BD08"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b) Obiecții la Tabelul de concordanță</w:t>
            </w:r>
          </w:p>
          <w:p w14:paraId="3554B42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Tabelul de concordanță prezentat urmează a fi revizuit la compartimentul 7 și 8 prin prisma constatărilor prezentate în prezenta Declarație de compatibilitate.</w:t>
            </w:r>
          </w:p>
        </w:tc>
        <w:tc>
          <w:tcPr>
            <w:tcW w:w="4635" w:type="dxa"/>
            <w:tcMar>
              <w:top w:w="0" w:type="dxa"/>
              <w:bottom w:w="0" w:type="dxa"/>
            </w:tcMar>
          </w:tcPr>
          <w:p w14:paraId="0D90D4C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083F932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 Clauza de armonizare a fost modificată corespunzător.</w:t>
            </w:r>
          </w:p>
          <w:p w14:paraId="09FC6C13" w14:textId="77777777" w:rsidR="001E4866" w:rsidRDefault="001E4866">
            <w:pPr>
              <w:ind w:firstLine="0"/>
              <w:rPr>
                <w:rFonts w:ascii="Times New Roman" w:eastAsia="Times New Roman" w:hAnsi="Times New Roman" w:cs="Times New Roman"/>
                <w:sz w:val="22"/>
                <w:szCs w:val="22"/>
              </w:rPr>
            </w:pPr>
          </w:p>
          <w:p w14:paraId="33CADDE2" w14:textId="77777777" w:rsidR="001E4866" w:rsidRDefault="001E4866">
            <w:pPr>
              <w:ind w:firstLine="0"/>
              <w:rPr>
                <w:rFonts w:ascii="Times New Roman" w:eastAsia="Times New Roman" w:hAnsi="Times New Roman" w:cs="Times New Roman"/>
                <w:sz w:val="22"/>
                <w:szCs w:val="22"/>
              </w:rPr>
            </w:pPr>
          </w:p>
          <w:p w14:paraId="08AEFDCC" w14:textId="77777777" w:rsidR="001E4866" w:rsidRDefault="001E4866">
            <w:pPr>
              <w:ind w:firstLine="0"/>
              <w:rPr>
                <w:rFonts w:ascii="Times New Roman" w:eastAsia="Times New Roman" w:hAnsi="Times New Roman" w:cs="Times New Roman"/>
                <w:sz w:val="22"/>
                <w:szCs w:val="22"/>
              </w:rPr>
            </w:pPr>
          </w:p>
          <w:p w14:paraId="3C4B34A8" w14:textId="77777777" w:rsidR="001E4866" w:rsidRDefault="001E4866">
            <w:pPr>
              <w:ind w:firstLine="0"/>
              <w:rPr>
                <w:rFonts w:ascii="Times New Roman" w:eastAsia="Times New Roman" w:hAnsi="Times New Roman" w:cs="Times New Roman"/>
                <w:sz w:val="22"/>
                <w:szCs w:val="22"/>
              </w:rPr>
            </w:pPr>
          </w:p>
          <w:p w14:paraId="2C2FD7B1" w14:textId="77777777" w:rsidR="001E4866" w:rsidRDefault="001E4866">
            <w:pPr>
              <w:ind w:firstLine="0"/>
              <w:rPr>
                <w:rFonts w:ascii="Times New Roman" w:eastAsia="Times New Roman" w:hAnsi="Times New Roman" w:cs="Times New Roman"/>
                <w:sz w:val="22"/>
                <w:szCs w:val="22"/>
              </w:rPr>
            </w:pPr>
          </w:p>
          <w:p w14:paraId="42725FCB" w14:textId="77777777" w:rsidR="001E4866" w:rsidRDefault="001E4866">
            <w:pPr>
              <w:ind w:firstLine="0"/>
              <w:rPr>
                <w:rFonts w:ascii="Times New Roman" w:eastAsia="Times New Roman" w:hAnsi="Times New Roman" w:cs="Times New Roman"/>
                <w:sz w:val="22"/>
                <w:szCs w:val="22"/>
              </w:rPr>
            </w:pPr>
          </w:p>
          <w:p w14:paraId="38D1B4F4" w14:textId="77777777" w:rsidR="001E4866" w:rsidRDefault="001E4866">
            <w:pPr>
              <w:ind w:firstLine="0"/>
              <w:rPr>
                <w:rFonts w:ascii="Times New Roman" w:eastAsia="Times New Roman" w:hAnsi="Times New Roman" w:cs="Times New Roman"/>
                <w:sz w:val="22"/>
                <w:szCs w:val="22"/>
              </w:rPr>
            </w:pPr>
          </w:p>
          <w:p w14:paraId="6017D60C" w14:textId="77777777" w:rsidR="001E4866" w:rsidRDefault="001E4866">
            <w:pPr>
              <w:ind w:firstLine="0"/>
              <w:rPr>
                <w:rFonts w:ascii="Times New Roman" w:eastAsia="Times New Roman" w:hAnsi="Times New Roman" w:cs="Times New Roman"/>
                <w:sz w:val="22"/>
                <w:szCs w:val="22"/>
              </w:rPr>
            </w:pPr>
          </w:p>
          <w:p w14:paraId="0D7B694C" w14:textId="77777777" w:rsidR="001E4866" w:rsidRDefault="001E4866">
            <w:pPr>
              <w:ind w:firstLine="0"/>
              <w:rPr>
                <w:rFonts w:ascii="Times New Roman" w:eastAsia="Times New Roman" w:hAnsi="Times New Roman" w:cs="Times New Roman"/>
                <w:sz w:val="22"/>
                <w:szCs w:val="22"/>
              </w:rPr>
            </w:pPr>
          </w:p>
          <w:p w14:paraId="52834167" w14:textId="77777777" w:rsidR="001E4866" w:rsidRDefault="001E4866">
            <w:pPr>
              <w:ind w:firstLine="0"/>
              <w:rPr>
                <w:rFonts w:ascii="Times New Roman" w:eastAsia="Times New Roman" w:hAnsi="Times New Roman" w:cs="Times New Roman"/>
                <w:sz w:val="22"/>
                <w:szCs w:val="22"/>
              </w:rPr>
            </w:pPr>
          </w:p>
          <w:p w14:paraId="1071007C" w14:textId="77777777" w:rsidR="001E4866" w:rsidRDefault="001E4866">
            <w:pPr>
              <w:ind w:firstLine="0"/>
              <w:rPr>
                <w:rFonts w:ascii="Times New Roman" w:eastAsia="Times New Roman" w:hAnsi="Times New Roman" w:cs="Times New Roman"/>
                <w:sz w:val="22"/>
                <w:szCs w:val="22"/>
              </w:rPr>
            </w:pPr>
          </w:p>
          <w:p w14:paraId="5A2C5662" w14:textId="77777777" w:rsidR="001E4866" w:rsidRDefault="001E4866">
            <w:pPr>
              <w:ind w:firstLine="0"/>
              <w:rPr>
                <w:rFonts w:ascii="Times New Roman" w:eastAsia="Times New Roman" w:hAnsi="Times New Roman" w:cs="Times New Roman"/>
                <w:sz w:val="22"/>
                <w:szCs w:val="22"/>
              </w:rPr>
            </w:pPr>
          </w:p>
          <w:p w14:paraId="71FAD66C" w14:textId="77777777" w:rsidR="001E4866" w:rsidRDefault="001E4866">
            <w:pPr>
              <w:ind w:firstLine="0"/>
              <w:rPr>
                <w:rFonts w:ascii="Times New Roman" w:eastAsia="Times New Roman" w:hAnsi="Times New Roman" w:cs="Times New Roman"/>
                <w:sz w:val="22"/>
                <w:szCs w:val="22"/>
              </w:rPr>
            </w:pPr>
          </w:p>
          <w:p w14:paraId="3F00F1DC" w14:textId="77777777" w:rsidR="001E4866" w:rsidRDefault="001E4866">
            <w:pPr>
              <w:ind w:firstLine="0"/>
              <w:rPr>
                <w:rFonts w:ascii="Times New Roman" w:eastAsia="Times New Roman" w:hAnsi="Times New Roman" w:cs="Times New Roman"/>
                <w:sz w:val="22"/>
                <w:szCs w:val="22"/>
              </w:rPr>
            </w:pPr>
          </w:p>
          <w:p w14:paraId="224B4BE2" w14:textId="77777777" w:rsidR="001E4866" w:rsidRDefault="001E4866">
            <w:pPr>
              <w:ind w:firstLine="0"/>
              <w:rPr>
                <w:rFonts w:ascii="Times New Roman" w:eastAsia="Times New Roman" w:hAnsi="Times New Roman" w:cs="Times New Roman"/>
                <w:sz w:val="22"/>
                <w:szCs w:val="22"/>
              </w:rPr>
            </w:pPr>
          </w:p>
          <w:p w14:paraId="3DAAD11A" w14:textId="77777777" w:rsidR="001E4866" w:rsidRDefault="001E4866">
            <w:pPr>
              <w:ind w:firstLine="0"/>
              <w:rPr>
                <w:rFonts w:ascii="Times New Roman" w:eastAsia="Times New Roman" w:hAnsi="Times New Roman" w:cs="Times New Roman"/>
                <w:sz w:val="22"/>
                <w:szCs w:val="22"/>
              </w:rPr>
            </w:pPr>
          </w:p>
          <w:p w14:paraId="5D24AE88" w14:textId="77777777" w:rsidR="001E4866" w:rsidRDefault="001E4866">
            <w:pPr>
              <w:ind w:firstLine="0"/>
              <w:rPr>
                <w:rFonts w:ascii="Times New Roman" w:eastAsia="Times New Roman" w:hAnsi="Times New Roman" w:cs="Times New Roman"/>
                <w:sz w:val="22"/>
                <w:szCs w:val="22"/>
              </w:rPr>
            </w:pPr>
          </w:p>
          <w:p w14:paraId="63487A4F" w14:textId="77777777" w:rsidR="001E4866" w:rsidRDefault="001E4866">
            <w:pPr>
              <w:ind w:firstLine="0"/>
              <w:rPr>
                <w:rFonts w:ascii="Times New Roman" w:eastAsia="Times New Roman" w:hAnsi="Times New Roman" w:cs="Times New Roman"/>
                <w:sz w:val="22"/>
                <w:szCs w:val="22"/>
              </w:rPr>
            </w:pPr>
          </w:p>
          <w:p w14:paraId="6E891FE8"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Tabelul de concordanță a fost revizuit corespunzător. </w:t>
            </w:r>
          </w:p>
        </w:tc>
      </w:tr>
      <w:tr w:rsidR="001E4866" w14:paraId="55E2C3FC" w14:textId="77777777">
        <w:trPr>
          <w:trHeight w:val="2505"/>
        </w:trPr>
        <w:tc>
          <w:tcPr>
            <w:tcW w:w="1335" w:type="dxa"/>
          </w:tcPr>
          <w:p w14:paraId="390F9284" w14:textId="77777777" w:rsidR="001E4866" w:rsidRDefault="001E4866">
            <w:pPr>
              <w:numPr>
                <w:ilvl w:val="0"/>
                <w:numId w:val="1"/>
              </w:numPr>
              <w:pBdr>
                <w:top w:val="none" w:sz="0" w:space="0" w:color="000000"/>
                <w:left w:val="none" w:sz="0" w:space="0" w:color="000000"/>
                <w:bottom w:val="none" w:sz="0" w:space="0" w:color="000000"/>
                <w:right w:val="none" w:sz="0" w:space="0" w:color="000000"/>
              </w:pBdr>
              <w:jc w:val="center"/>
              <w:rPr>
                <w:sz w:val="22"/>
                <w:szCs w:val="22"/>
              </w:rPr>
            </w:pPr>
          </w:p>
        </w:tc>
        <w:tc>
          <w:tcPr>
            <w:tcW w:w="1905" w:type="dxa"/>
            <w:tcMar>
              <w:top w:w="0" w:type="dxa"/>
              <w:bottom w:w="0" w:type="dxa"/>
            </w:tcMar>
          </w:tcPr>
          <w:p w14:paraId="2574A786"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Consiliul Național de Evaluare și Acreditare în Sănătate</w:t>
            </w:r>
          </w:p>
        </w:tc>
        <w:tc>
          <w:tcPr>
            <w:tcW w:w="1575" w:type="dxa"/>
            <w:tcMar>
              <w:top w:w="0" w:type="dxa"/>
              <w:bottom w:w="0" w:type="dxa"/>
            </w:tcMar>
          </w:tcPr>
          <w:p w14:paraId="074B83CB"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Nr. </w:t>
            </w:r>
            <w:proofErr w:type="spellStart"/>
            <w:r>
              <w:rPr>
                <w:rFonts w:ascii="Times New Roman" w:eastAsia="Times New Roman" w:hAnsi="Times New Roman" w:cs="Times New Roman"/>
                <w:b/>
                <w:bCs/>
                <w:sz w:val="22"/>
                <w:szCs w:val="22"/>
              </w:rPr>
              <w:t>Rg</w:t>
            </w:r>
            <w:proofErr w:type="spellEnd"/>
            <w:r>
              <w:rPr>
                <w:rFonts w:ascii="Times New Roman" w:eastAsia="Times New Roman" w:hAnsi="Times New Roman" w:cs="Times New Roman"/>
                <w:b/>
                <w:bCs/>
                <w:sz w:val="22"/>
                <w:szCs w:val="22"/>
              </w:rPr>
              <w:t xml:space="preserve"> 02-811 din 25.06.2025</w:t>
            </w:r>
          </w:p>
          <w:p w14:paraId="770BBA7D"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17FE530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art. 10 din Legea nr. 552/2001 privind evaluarea </w:t>
            </w:r>
            <w:proofErr w:type="spellStart"/>
            <w:r>
              <w:rPr>
                <w:rFonts w:ascii="Times New Roman" w:eastAsia="Times New Roman" w:hAnsi="Times New Roman" w:cs="Times New Roman"/>
                <w:sz w:val="22"/>
                <w:szCs w:val="22"/>
              </w:rPr>
              <w:t>şi</w:t>
            </w:r>
            <w:proofErr w:type="spellEnd"/>
            <w:r>
              <w:rPr>
                <w:rFonts w:ascii="Times New Roman" w:eastAsia="Times New Roman" w:hAnsi="Times New Roman" w:cs="Times New Roman"/>
                <w:sz w:val="22"/>
                <w:szCs w:val="22"/>
              </w:rPr>
              <w:t xml:space="preserve"> acreditarea în sănătate după alin.(3) de introdus un alineat nou - (31) cu următorul text:</w:t>
            </w:r>
          </w:p>
          <w:p w14:paraId="12C34879"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„(31) Angajatorul experților  evaluatori în sănătate de la locul de muncă de bază, va permite, în temeiul avizului emis de către Consiliul Național de Evaluare și Acreditare în Sănătate,  participarea acestora la  evaluarea în scop de acreditare a prestatorului de servicii medicale, menținându-le salariul de bază.”</w:t>
            </w:r>
          </w:p>
          <w:p w14:paraId="68C00E24" w14:textId="77777777" w:rsidR="001E4866" w:rsidRDefault="001E4866">
            <w:pPr>
              <w:ind w:firstLine="0"/>
              <w:rPr>
                <w:rFonts w:ascii="Times New Roman" w:eastAsia="Times New Roman" w:hAnsi="Times New Roman" w:cs="Times New Roman"/>
                <w:sz w:val="22"/>
                <w:szCs w:val="22"/>
              </w:rPr>
            </w:pPr>
          </w:p>
        </w:tc>
        <w:tc>
          <w:tcPr>
            <w:tcW w:w="4635" w:type="dxa"/>
            <w:tcMar>
              <w:top w:w="0" w:type="dxa"/>
              <w:bottom w:w="0" w:type="dxa"/>
            </w:tcMar>
          </w:tcPr>
          <w:p w14:paraId="2AEB602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Nu se acceptă.</w:t>
            </w:r>
          </w:p>
          <w:p w14:paraId="22D4B9A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Nu face obiectul proiectului de lege</w:t>
            </w:r>
          </w:p>
        </w:tc>
      </w:tr>
      <w:tr w:rsidR="001E4866" w14:paraId="56BD60E7" w14:textId="77777777">
        <w:trPr>
          <w:trHeight w:val="795"/>
        </w:trPr>
        <w:tc>
          <w:tcPr>
            <w:tcW w:w="14235" w:type="dxa"/>
            <w:gridSpan w:val="5"/>
          </w:tcPr>
          <w:p w14:paraId="77857A9A" w14:textId="77777777" w:rsidR="001E4866" w:rsidRDefault="00000000">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ETAPA DE EXPERTIZARE</w:t>
            </w:r>
          </w:p>
        </w:tc>
      </w:tr>
      <w:tr w:rsidR="001E4866" w14:paraId="09F2A73C" w14:textId="77777777">
        <w:trPr>
          <w:trHeight w:val="1590"/>
        </w:trPr>
        <w:tc>
          <w:tcPr>
            <w:tcW w:w="1335" w:type="dxa"/>
            <w:vMerge w:val="restart"/>
          </w:tcPr>
          <w:p w14:paraId="3A3B5A9B" w14:textId="77777777" w:rsidR="001E4866" w:rsidRDefault="00000000">
            <w:pPr>
              <w:pBdr>
                <w:top w:val="none" w:sz="0" w:space="0" w:color="000000"/>
                <w:left w:val="none" w:sz="0" w:space="0" w:color="000000"/>
                <w:bottom w:val="none" w:sz="0" w:space="0" w:color="000000"/>
                <w:right w:val="none" w:sz="0" w:space="0" w:color="000000"/>
              </w:pBdr>
              <w:ind w:left="927" w:hanging="36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8.</w:t>
            </w:r>
          </w:p>
        </w:tc>
        <w:tc>
          <w:tcPr>
            <w:tcW w:w="1905" w:type="dxa"/>
            <w:vMerge w:val="restart"/>
            <w:tcMar>
              <w:top w:w="0" w:type="dxa"/>
              <w:bottom w:w="0" w:type="dxa"/>
            </w:tcMar>
          </w:tcPr>
          <w:p w14:paraId="120FBA3D"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Cancelaria de Stat</w:t>
            </w:r>
          </w:p>
        </w:tc>
        <w:tc>
          <w:tcPr>
            <w:tcW w:w="1575" w:type="dxa"/>
            <w:vMerge w:val="restart"/>
            <w:tcMar>
              <w:top w:w="0" w:type="dxa"/>
              <w:bottom w:w="0" w:type="dxa"/>
            </w:tcMar>
          </w:tcPr>
          <w:p w14:paraId="0068660B"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Aviz nr. 30-69-6916 din 26.06.2025</w:t>
            </w:r>
          </w:p>
        </w:tc>
        <w:tc>
          <w:tcPr>
            <w:tcW w:w="4785" w:type="dxa"/>
            <w:tcMar>
              <w:top w:w="0" w:type="dxa"/>
              <w:bottom w:w="0" w:type="dxa"/>
            </w:tcMar>
          </w:tcPr>
          <w:p w14:paraId="401F6A18"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Invocând prevederile art.2 și art.6 din Legea nr.100/2017 cu privire la actele normative, propunem ca sintagma ”acte legislative” din titlul proiectului de lege să fie substituită cu ”acte normative”</w:t>
            </w:r>
          </w:p>
        </w:tc>
        <w:tc>
          <w:tcPr>
            <w:tcW w:w="4635" w:type="dxa"/>
            <w:tcMar>
              <w:top w:w="0" w:type="dxa"/>
              <w:bottom w:w="0" w:type="dxa"/>
            </w:tcMar>
          </w:tcPr>
          <w:p w14:paraId="1035FA1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01C8A871"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 fost ajustat corespunzător la etapa de avizare.</w:t>
            </w:r>
          </w:p>
        </w:tc>
      </w:tr>
      <w:tr w:rsidR="001E4866" w14:paraId="6CEC11CB" w14:textId="77777777">
        <w:trPr>
          <w:trHeight w:val="1905"/>
        </w:trPr>
        <w:tc>
          <w:tcPr>
            <w:tcW w:w="1335" w:type="dxa"/>
            <w:vMerge/>
          </w:tcPr>
          <w:p w14:paraId="3D06546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36E0FFA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70BD5B9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2B6FEEE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Sintagma ”așa cum a fost modificată ultima oară prin Directiva delegată (UE)”, identificată în: clauza de armonizare a proiectului de lege/ </w:t>
            </w:r>
            <w:proofErr w:type="spellStart"/>
            <w:r>
              <w:rPr>
                <w:rFonts w:ascii="Times New Roman" w:eastAsia="Times New Roman" w:hAnsi="Times New Roman" w:cs="Times New Roman"/>
                <w:sz w:val="22"/>
                <w:szCs w:val="22"/>
              </w:rPr>
              <w:t>Art.I</w:t>
            </w:r>
            <w:proofErr w:type="spellEnd"/>
            <w:r>
              <w:rPr>
                <w:rFonts w:ascii="Times New Roman" w:eastAsia="Times New Roman" w:hAnsi="Times New Roman" w:cs="Times New Roman"/>
                <w:sz w:val="22"/>
                <w:szCs w:val="22"/>
              </w:rPr>
              <w:t xml:space="preserve"> pct.1/ </w:t>
            </w:r>
            <w:proofErr w:type="spellStart"/>
            <w:r>
              <w:rPr>
                <w:rFonts w:ascii="Times New Roman" w:eastAsia="Times New Roman" w:hAnsi="Times New Roman" w:cs="Times New Roman"/>
                <w:sz w:val="22"/>
                <w:szCs w:val="22"/>
              </w:rPr>
              <w:t>Art.II</w:t>
            </w:r>
            <w:proofErr w:type="spellEnd"/>
            <w:r>
              <w:rPr>
                <w:rFonts w:ascii="Times New Roman" w:eastAsia="Times New Roman" w:hAnsi="Times New Roman" w:cs="Times New Roman"/>
                <w:sz w:val="22"/>
                <w:szCs w:val="22"/>
              </w:rPr>
              <w:t xml:space="preserve"> pct.1/ </w:t>
            </w:r>
            <w:proofErr w:type="spellStart"/>
            <w:r>
              <w:rPr>
                <w:rFonts w:ascii="Times New Roman" w:eastAsia="Times New Roman" w:hAnsi="Times New Roman" w:cs="Times New Roman"/>
                <w:sz w:val="22"/>
                <w:szCs w:val="22"/>
              </w:rPr>
              <w:t>Art.III</w:t>
            </w:r>
            <w:proofErr w:type="spellEnd"/>
            <w:r>
              <w:rPr>
                <w:rFonts w:ascii="Times New Roman" w:eastAsia="Times New Roman" w:hAnsi="Times New Roman" w:cs="Times New Roman"/>
                <w:sz w:val="22"/>
                <w:szCs w:val="22"/>
              </w:rPr>
              <w:t xml:space="preserve"> pct.1, propunem a fi substituită cu ”astfel cum a fost modificată prin Directiva delegată (UE)”</w:t>
            </w:r>
          </w:p>
        </w:tc>
        <w:tc>
          <w:tcPr>
            <w:tcW w:w="4635" w:type="dxa"/>
            <w:tcMar>
              <w:top w:w="0" w:type="dxa"/>
              <w:bottom w:w="0" w:type="dxa"/>
            </w:tcMar>
          </w:tcPr>
          <w:p w14:paraId="002DB4C5"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747CA5A8"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Clauza de armonizare a fost redactată corespunzător.</w:t>
            </w:r>
          </w:p>
        </w:tc>
      </w:tr>
      <w:tr w:rsidR="001E4866" w14:paraId="47842BE2" w14:textId="77777777">
        <w:trPr>
          <w:trHeight w:val="1980"/>
        </w:trPr>
        <w:tc>
          <w:tcPr>
            <w:tcW w:w="1335" w:type="dxa"/>
            <w:vMerge/>
          </w:tcPr>
          <w:p w14:paraId="3773996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68D0B33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297965E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31465B7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Art. I., pct.3, art.8 alin. (6) din Legea nr. 411/1995 ocrotirii sănătății (inclusiv la pct.4 și 5) în vederea uniformizării textului proiectului de lege, propunem substituirea </w:t>
            </w:r>
            <w:proofErr w:type="spellStart"/>
            <w:r>
              <w:rPr>
                <w:rFonts w:ascii="Times New Roman" w:eastAsia="Times New Roman" w:hAnsi="Times New Roman" w:cs="Times New Roman"/>
                <w:sz w:val="22"/>
                <w:szCs w:val="22"/>
              </w:rPr>
              <w:t>abreviaturii</w:t>
            </w:r>
            <w:proofErr w:type="spellEnd"/>
            <w:r>
              <w:rPr>
                <w:rFonts w:ascii="Times New Roman" w:eastAsia="Times New Roman" w:hAnsi="Times New Roman" w:cs="Times New Roman"/>
                <w:sz w:val="22"/>
                <w:szCs w:val="22"/>
              </w:rPr>
              <w:t xml:space="preserve"> ”CNEAS” cu cea de ”Consiliu”, conform prevederilor art.8 alin.(1) din Legea nr. 552/2001 privind evaluarea și acreditarea în Sănătate.</w:t>
            </w:r>
          </w:p>
        </w:tc>
        <w:tc>
          <w:tcPr>
            <w:tcW w:w="4635" w:type="dxa"/>
            <w:tcMar>
              <w:top w:w="0" w:type="dxa"/>
              <w:bottom w:w="0" w:type="dxa"/>
            </w:tcMar>
          </w:tcPr>
          <w:p w14:paraId="732F4E80"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78E36AC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etapa de avizare, </w:t>
            </w:r>
            <w:proofErr w:type="spellStart"/>
            <w:r>
              <w:rPr>
                <w:rFonts w:ascii="Times New Roman" w:eastAsia="Times New Roman" w:hAnsi="Times New Roman" w:cs="Times New Roman"/>
                <w:sz w:val="22"/>
                <w:szCs w:val="22"/>
              </w:rPr>
              <w:t>abreviatura</w:t>
            </w:r>
            <w:proofErr w:type="spellEnd"/>
            <w:r>
              <w:rPr>
                <w:rFonts w:ascii="Times New Roman" w:eastAsia="Times New Roman" w:hAnsi="Times New Roman" w:cs="Times New Roman"/>
                <w:sz w:val="22"/>
                <w:szCs w:val="22"/>
              </w:rPr>
              <w:t xml:space="preserve"> ”CNEAS” a fost substituită cu ”Consiliu”.</w:t>
            </w:r>
          </w:p>
        </w:tc>
      </w:tr>
      <w:tr w:rsidR="001E4866" w14:paraId="3445D087" w14:textId="77777777">
        <w:trPr>
          <w:trHeight w:val="1890"/>
        </w:trPr>
        <w:tc>
          <w:tcPr>
            <w:tcW w:w="1335" w:type="dxa"/>
            <w:vMerge/>
          </w:tcPr>
          <w:p w14:paraId="349463F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3BCC56B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2927B61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7380B99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II., după textul ”– Lege nr. 264/2005 cu privire la exercitarea profesiunii de medic” propunem, conform normelor de tehnică legislativă, să urmeze textul ”(Monitorul Oficial, 2005, nr. 172-175 art. 839), cu modificările ulterioare, se modifică după cum urmează:</w:t>
            </w:r>
          </w:p>
        </w:tc>
        <w:tc>
          <w:tcPr>
            <w:tcW w:w="4635" w:type="dxa"/>
            <w:tcMar>
              <w:top w:w="0" w:type="dxa"/>
              <w:bottom w:w="0" w:type="dxa"/>
            </w:tcMar>
          </w:tcPr>
          <w:p w14:paraId="2C5CA2A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78D8E7E9"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etapa de avizare, textul a fost redactat corespunzător.</w:t>
            </w:r>
          </w:p>
        </w:tc>
      </w:tr>
      <w:tr w:rsidR="001E4866" w14:paraId="769E3C2F" w14:textId="77777777">
        <w:trPr>
          <w:trHeight w:val="1695"/>
        </w:trPr>
        <w:tc>
          <w:tcPr>
            <w:tcW w:w="1335" w:type="dxa"/>
            <w:vMerge/>
          </w:tcPr>
          <w:p w14:paraId="755DA0A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23EA4B0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6E4CB29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0F6C386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III., după textul ”– Lege nr. 552/2001 privind evaluarea și acreditarea în sănătate” propunem, conform normelor de tehnică legislativă, să urmeze textul ”(Monitorul Oficial, 2001, nr. 155-157 art. 1234), cu modificările ulterioare, se modifică după cum urmează:”</w:t>
            </w:r>
          </w:p>
        </w:tc>
        <w:tc>
          <w:tcPr>
            <w:tcW w:w="4635" w:type="dxa"/>
            <w:tcMar>
              <w:top w:w="0" w:type="dxa"/>
              <w:bottom w:w="0" w:type="dxa"/>
            </w:tcMar>
          </w:tcPr>
          <w:p w14:paraId="45BC907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DFF4F9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etapa de avizare, textul a fost redactat corespunzător.</w:t>
            </w:r>
          </w:p>
        </w:tc>
      </w:tr>
      <w:tr w:rsidR="001E4866" w14:paraId="5713538B" w14:textId="77777777">
        <w:trPr>
          <w:trHeight w:val="2505"/>
        </w:trPr>
        <w:tc>
          <w:tcPr>
            <w:tcW w:w="1335" w:type="dxa"/>
            <w:vMerge/>
          </w:tcPr>
          <w:p w14:paraId="2F77C48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20BBF0E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651475D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5CF8FF2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Textul de la Art. III., pct.1, propunem a fi revizuit prin </w:t>
            </w:r>
            <w:proofErr w:type="spellStart"/>
            <w:r>
              <w:rPr>
                <w:rFonts w:ascii="Times New Roman" w:eastAsia="Times New Roman" w:hAnsi="Times New Roman" w:cs="Times New Roman"/>
                <w:sz w:val="22"/>
                <w:szCs w:val="22"/>
              </w:rPr>
              <w:t>prizma</w:t>
            </w:r>
            <w:proofErr w:type="spellEnd"/>
            <w:r>
              <w:rPr>
                <w:rFonts w:ascii="Times New Roman" w:eastAsia="Times New Roman" w:hAnsi="Times New Roman" w:cs="Times New Roman"/>
                <w:sz w:val="22"/>
                <w:szCs w:val="22"/>
              </w:rPr>
              <w:t xml:space="preserve"> definitivării noțiunilor de ”Preambul”, ”Clauză de adoptare” și ”Clauză de armonizare” în sensul prevederilor de la art.41, 43 și 44 din Legea nr.100/2017. În context subliniem că Legea nr. 552/2001 privind evaluarea și acreditarea în sănătate nu dispune de ”Preambul”. Prin urmare textul</w:t>
            </w:r>
          </w:p>
          <w:p w14:paraId="57629E9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inserat la Art. III., pct.1, alin.2 sub denumirea de ”Preambul” corespunde noțiunii de ”Clauză de adoptare” și urmează a fi tratată ca atare. Prin urmare, alin.2 urmează a fi alin.1 și viceversa.</w:t>
            </w:r>
          </w:p>
          <w:p w14:paraId="7D6BE67E" w14:textId="77777777" w:rsidR="001E4866" w:rsidRDefault="001E4866">
            <w:pPr>
              <w:ind w:firstLine="0"/>
              <w:rPr>
                <w:rFonts w:ascii="Times New Roman" w:eastAsia="Times New Roman" w:hAnsi="Times New Roman" w:cs="Times New Roman"/>
                <w:sz w:val="22"/>
                <w:szCs w:val="22"/>
              </w:rPr>
            </w:pPr>
          </w:p>
        </w:tc>
        <w:tc>
          <w:tcPr>
            <w:tcW w:w="4635" w:type="dxa"/>
            <w:tcMar>
              <w:top w:w="0" w:type="dxa"/>
              <w:bottom w:w="0" w:type="dxa"/>
            </w:tcMar>
          </w:tcPr>
          <w:p w14:paraId="2F765A7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A79A09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La etapa de avizare, textul a fost redactat corespunzător.</w:t>
            </w:r>
          </w:p>
        </w:tc>
      </w:tr>
      <w:tr w:rsidR="001E4866" w14:paraId="6EA72780" w14:textId="77777777">
        <w:trPr>
          <w:trHeight w:val="2505"/>
        </w:trPr>
        <w:tc>
          <w:tcPr>
            <w:tcW w:w="1335" w:type="dxa"/>
            <w:vMerge/>
          </w:tcPr>
          <w:p w14:paraId="1B78D14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0501DCE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3384354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71FDAB5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 prin modificările propuse la Legea nr. 411/1995 autorul utilizează sintagma autoritate competentă/autoritate publică responsabilă de acreditarea instituțiilor medicale și calificarea profesioniștilor din domeniul medical, contrar prevederilor ... Legii nr. 552/2001 și propunerilor de modificare la această Lege. În context, autorul urmează să reconsidere termenii utilizați pentru a desemna entitatea competentă responsabilă.</w:t>
            </w:r>
          </w:p>
        </w:tc>
        <w:tc>
          <w:tcPr>
            <w:tcW w:w="4635" w:type="dxa"/>
            <w:tcMar>
              <w:top w:w="0" w:type="dxa"/>
              <w:bottom w:w="0" w:type="dxa"/>
            </w:tcMar>
          </w:tcPr>
          <w:p w14:paraId="2BA2A5FC"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19C680C0"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Utilizarea sintagmei </w:t>
            </w:r>
            <w:r>
              <w:rPr>
                <w:rFonts w:ascii="Times New Roman" w:eastAsia="Times New Roman" w:hAnsi="Times New Roman" w:cs="Times New Roman"/>
                <w:i/>
                <w:iCs/>
                <w:sz w:val="22"/>
                <w:szCs w:val="22"/>
              </w:rPr>
              <w:t>„autoritate competentă”</w:t>
            </w:r>
            <w:r>
              <w:rPr>
                <w:rFonts w:ascii="Times New Roman" w:eastAsia="Times New Roman" w:hAnsi="Times New Roman" w:cs="Times New Roman"/>
                <w:sz w:val="22"/>
                <w:szCs w:val="22"/>
              </w:rPr>
              <w:t xml:space="preserve"> este justificată prin necesitatea alinierii la terminologia utilizată în </w:t>
            </w:r>
            <w:r>
              <w:rPr>
                <w:rFonts w:ascii="Times New Roman" w:eastAsia="Times New Roman" w:hAnsi="Times New Roman" w:cs="Times New Roman"/>
                <w:b/>
                <w:bCs/>
                <w:sz w:val="22"/>
                <w:szCs w:val="22"/>
              </w:rPr>
              <w:t>Directiva 2005/36/CE</w:t>
            </w:r>
            <w:r>
              <w:rPr>
                <w:rFonts w:ascii="Times New Roman" w:eastAsia="Times New Roman" w:hAnsi="Times New Roman" w:cs="Times New Roman"/>
                <w:sz w:val="22"/>
                <w:szCs w:val="22"/>
              </w:rPr>
              <w:t xml:space="preserve"> privind recunoașterea calificărilor profesionale. Conform art. 3 pct. 1 lit. a) din Directivă, </w:t>
            </w:r>
            <w:r>
              <w:rPr>
                <w:rFonts w:ascii="Times New Roman" w:eastAsia="Times New Roman" w:hAnsi="Times New Roman" w:cs="Times New Roman"/>
                <w:i/>
                <w:iCs/>
                <w:sz w:val="22"/>
                <w:szCs w:val="22"/>
              </w:rPr>
              <w:t>autoritate competentă</w:t>
            </w:r>
            <w:r>
              <w:rPr>
                <w:rFonts w:ascii="Times New Roman" w:eastAsia="Times New Roman" w:hAnsi="Times New Roman" w:cs="Times New Roman"/>
                <w:sz w:val="22"/>
                <w:szCs w:val="22"/>
              </w:rPr>
              <w:t xml:space="preserve"> înseamnă orice autoritate sau organism desemnat oficial pentru recunoașterea calificărilor, reglementarea accesului la o profesie sau exercitarea acesteia.</w:t>
            </w:r>
          </w:p>
          <w:p w14:paraId="6F46152C"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cazul de față, folosirea termenului asigură coerența cu dreptul european și sprijină transpunerea directă și unitară a Directivei.</w:t>
            </w:r>
          </w:p>
        </w:tc>
      </w:tr>
      <w:tr w:rsidR="001E4866" w14:paraId="1FA9B046" w14:textId="77777777">
        <w:trPr>
          <w:trHeight w:val="2505"/>
        </w:trPr>
        <w:tc>
          <w:tcPr>
            <w:tcW w:w="1335" w:type="dxa"/>
            <w:vMerge/>
          </w:tcPr>
          <w:p w14:paraId="1DA356B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E42255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6A9E337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52287DE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Cu referire la completările propuse la art. III din proiect, menționăm că atribuirea dreptului de a emite „cardul profesional național” – în calitate de certificat prevăzut la anexa nr. 1, cap. III din Legea nr. 160/2011 privind reglementarea prin autorizare a </w:t>
            </w:r>
            <w:proofErr w:type="spellStart"/>
            <w:r>
              <w:rPr>
                <w:rFonts w:ascii="Times New Roman" w:eastAsia="Times New Roman" w:hAnsi="Times New Roman" w:cs="Times New Roman"/>
                <w:sz w:val="22"/>
                <w:szCs w:val="22"/>
              </w:rPr>
              <w:t>activităţii</w:t>
            </w:r>
            <w:proofErr w:type="spellEnd"/>
            <w:r>
              <w:rPr>
                <w:rFonts w:ascii="Times New Roman" w:eastAsia="Times New Roman" w:hAnsi="Times New Roman" w:cs="Times New Roman"/>
                <w:sz w:val="22"/>
                <w:szCs w:val="22"/>
              </w:rPr>
              <w:t xml:space="preserve"> de întreprinzător poate fi realizată în sensul prevederilor art. 14 din Legea nr. 98/2012 privind administrația publică centrală de specialitate. Or, potrivit prevederilor Legii nr. 552/2001 privind evaluarea și acreditarea în sănătate, Consiliul Național de Evaluare și Acreditare în Sănătate (în continuare – Consiliu, în temeiul art. 8 alin. (1) din legea evocată supra) este o instituție publică și nu are calitatea de autoritate administrativă.</w:t>
            </w:r>
          </w:p>
        </w:tc>
        <w:tc>
          <w:tcPr>
            <w:tcW w:w="4635" w:type="dxa"/>
            <w:tcMar>
              <w:top w:w="0" w:type="dxa"/>
              <w:bottom w:w="0" w:type="dxa"/>
            </w:tcMar>
          </w:tcPr>
          <w:p w14:paraId="7672A01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267493C2" w14:textId="77777777" w:rsidR="001E4866" w:rsidRDefault="00000000">
            <w:pPr>
              <w:pBdr>
                <w:top w:val="none" w:sz="0" w:space="0" w:color="000000"/>
                <w:left w:val="none" w:sz="0" w:space="0" w:color="000000"/>
                <w:bottom w:val="none" w:sz="0" w:space="0" w:color="000000"/>
                <w:right w:val="none" w:sz="0" w:space="0" w:color="000000"/>
              </w:pBd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etapa de avizare, proiectul a fost modificat -  s-a exclus reglementarea cardului profesional național în sensul Legii nr. 160/2011 privind reglementarea prin autorizare a activității de întreprinzător. Totodată. a fost instituit regimul juridic pentru reglementarea prin acte permisive în domeniul sănătății, fiind operate modificările corespunzătoare în legislația sectorială -  Legea ocrotirii sănătății nr. 411/1995.</w:t>
            </w:r>
          </w:p>
          <w:p w14:paraId="615547A0" w14:textId="77777777" w:rsidR="001E4866" w:rsidRDefault="001E4866">
            <w:pPr>
              <w:ind w:firstLine="0"/>
              <w:rPr>
                <w:rFonts w:ascii="Times New Roman" w:eastAsia="Times New Roman" w:hAnsi="Times New Roman" w:cs="Times New Roman"/>
                <w:sz w:val="22"/>
                <w:szCs w:val="22"/>
              </w:rPr>
            </w:pPr>
          </w:p>
        </w:tc>
      </w:tr>
      <w:tr w:rsidR="001E4866" w14:paraId="6E9D2413" w14:textId="77777777">
        <w:trPr>
          <w:trHeight w:val="9315"/>
        </w:trPr>
        <w:tc>
          <w:tcPr>
            <w:tcW w:w="1335" w:type="dxa"/>
            <w:vMerge/>
          </w:tcPr>
          <w:p w14:paraId="4BDC3D8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5B31448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0C1FAD4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3646CD9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prin completările cu art. 121 și 122 de la </w:t>
            </w:r>
            <w:proofErr w:type="spellStart"/>
            <w:r>
              <w:rPr>
                <w:rFonts w:ascii="Times New Roman" w:eastAsia="Times New Roman" w:hAnsi="Times New Roman" w:cs="Times New Roman"/>
                <w:sz w:val="22"/>
                <w:szCs w:val="22"/>
              </w:rPr>
              <w:t>art.III</w:t>
            </w:r>
            <w:proofErr w:type="spellEnd"/>
            <w:r>
              <w:rPr>
                <w:rFonts w:ascii="Times New Roman" w:eastAsia="Times New Roman" w:hAnsi="Times New Roman" w:cs="Times New Roman"/>
                <w:sz w:val="22"/>
                <w:szCs w:val="22"/>
              </w:rPr>
              <w:t xml:space="preserve"> din proiect se propune ca Consiliul să adopte decizia de certificare a cadrelor medicale, care devine temei pentru exercitarea profesiei pe teritoriul Republicii Moldova. Această funcție reprezintă prerogativă de putere publică specific autorităților administrative cu atribuții de reglementare și control. Atribuirea unor astfel de competențe unei instituții publice fără statut de autoritate publică sau fără existența unui act normativ de reorganizare (în sensul utilizat de autor în nota de fundamentare prin care se precizează intenția transformării în autoritate administrativă) încalcă principiul legalității administrative și poate genera incertitudine juridică.</w:t>
            </w:r>
          </w:p>
        </w:tc>
        <w:tc>
          <w:tcPr>
            <w:tcW w:w="4635" w:type="dxa"/>
            <w:tcMar>
              <w:top w:w="0" w:type="dxa"/>
              <w:bottom w:w="0" w:type="dxa"/>
            </w:tcMar>
          </w:tcPr>
          <w:p w14:paraId="5549E30F"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Nu se acceptă</w:t>
            </w:r>
          </w:p>
          <w:p w14:paraId="0E98A20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Atribuirea către CNEAS a competenței de a adopta decizia de certificare a cadrelor medicale nu contravine principiului legalității administrative, având în vedere următoarele considerente:</w:t>
            </w:r>
          </w:p>
          <w:p w14:paraId="108D79E8"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CNEAS exercită deja atribuții de putere publică, în temeiul Legii nr. 552/2001 privind evaluarea și acreditarea în sănătate, fiind instituția responsabilă pentru acreditarea instituțiilor medico-sanitare și emiterea actelor permisive în domeniu. Aceste atribuții implică, în mod evident, exercitarea unor funcții de autorizare și reglementare, similare celor prevăzute în proiectul de lege pentru certificarea profesională.</w:t>
            </w:r>
          </w:p>
          <w:p w14:paraId="1E8A8111"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Noua competență propusă este complementară celor deja exercitate de CNEAS și se încadrează în profilul său funcțional, fără a extinde în mod arbitrar sfera atribuțiilor instituției. Proiectul de lege nu transformă CNEAS într-o autoritate administrativă nouă, ci consolidează rolul său în cadrul sistemului național de asigurare a calității în sănătate, printr-un mecanism coerent de certificare profesională</w:t>
            </w:r>
          </w:p>
          <w:p w14:paraId="42861D1A"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Proiectul respectă principiul legalității administrative, întrucât instituirea atribuției de certificare se face expres prin lege organică, cu respectarea cerinței de previzibilitate și claritate a competențelor conferite instituției. </w:t>
            </w:r>
          </w:p>
          <w:p w14:paraId="2E174391" w14:textId="77777777" w:rsidR="001E4866" w:rsidRDefault="001E4866">
            <w:pPr>
              <w:ind w:firstLine="0"/>
              <w:rPr>
                <w:rFonts w:ascii="Times New Roman" w:eastAsia="Times New Roman" w:hAnsi="Times New Roman" w:cs="Times New Roman"/>
                <w:sz w:val="22"/>
                <w:szCs w:val="22"/>
              </w:rPr>
            </w:pPr>
          </w:p>
          <w:p w14:paraId="4D87D25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Atribuirea expresă prin lege a competenței de certificare către CNEAS este pe deplin justificată, nu contravine normelor de organizare administrativă și asigură un cadru coerent pentru reglementarea profesiilor medico-sanitare în Republica Moldova.</w:t>
            </w:r>
          </w:p>
        </w:tc>
      </w:tr>
      <w:tr w:rsidR="001E4866" w14:paraId="566BFF98" w14:textId="77777777">
        <w:trPr>
          <w:trHeight w:val="4530"/>
        </w:trPr>
        <w:tc>
          <w:tcPr>
            <w:tcW w:w="1335" w:type="dxa"/>
            <w:vMerge/>
          </w:tcPr>
          <w:p w14:paraId="1D7DF04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0376B12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7B75E55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74EC8788"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este esențial de clarificat în proiect, dacă procedura de certificare primară și periodică prevăzută de proiectul de lege se aplică doar medicilor care încep activitatea profesională după absolvirea studiilor și care urmează să acceadă în profesie după intrarea în vigoare a legii, sau și celor care deja exercită profesia, inclusiv medicilor cu experiență.</w:t>
            </w:r>
          </w:p>
          <w:p w14:paraId="3118648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acest sens, atragem atenția asupra aspectelor ce țin de necesitatea reglementării perioadei de tranziție, or proiectul nu prevede dispoziții tranzitorii clare cu privire la aplicabilitatea procedurii de certificare asupra personalului medical care exercită deja profesia la data intrării în vigoare a legii. Această omisiune poate genera incertitudine juridică și blocaje administrative în implementarea reformei.</w:t>
            </w:r>
          </w:p>
          <w:p w14:paraId="0FD4FC64" w14:textId="77777777" w:rsidR="001E4866" w:rsidRDefault="001E4866">
            <w:pPr>
              <w:ind w:firstLine="0"/>
              <w:rPr>
                <w:rFonts w:ascii="Times New Roman" w:eastAsia="Times New Roman" w:hAnsi="Times New Roman" w:cs="Times New Roman"/>
                <w:sz w:val="22"/>
                <w:szCs w:val="22"/>
              </w:rPr>
            </w:pPr>
          </w:p>
        </w:tc>
        <w:tc>
          <w:tcPr>
            <w:tcW w:w="4635" w:type="dxa"/>
            <w:tcMar>
              <w:top w:w="0" w:type="dxa"/>
              <w:bottom w:w="0" w:type="dxa"/>
            </w:tcMar>
          </w:tcPr>
          <w:p w14:paraId="78E3330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3F29CEA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prevede un cadru normativ general, aplicabil tuturor cadrelor medicale, indiferent de momentul accederii în profesie, având în vedere caracterul universal al reglementării certificării ca mecanism de garantare a competenței profesionale și protejare a interesului public în sănătate.</w:t>
            </w:r>
          </w:p>
          <w:p w14:paraId="41E9327C"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calendarul și procedura de aplicare graduală a sistemului de certificare asupra personalului medical care exercită deja profesia urmează să fie stabilite prin cadrul normativ secundar, adoptat de Guvern, în conformitate cu prevederile proiectului de lege. Această abordare permite adaptarea măsurilor tranzitorii la specificul categoriilor profesionale, fără a bloca activitatea sistemului sau a crea disfuncționalități administrative.</w:t>
            </w:r>
          </w:p>
          <w:p w14:paraId="2A428EC6" w14:textId="77777777" w:rsidR="001E4866" w:rsidRDefault="00000000">
            <w:pPr>
              <w:spacing w:before="240" w:after="240"/>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Prin urmare, dispozițiile proiectului oferă suficientă bază legală pentru extinderea aplicabilității certificării și asupra personalului activ, iar elaborarea normelor de tranziție va asigura o implementare etapizată și predictibilă a reformei, fără a fi necesare completări suplimentare la nivel de lege.</w:t>
            </w:r>
          </w:p>
        </w:tc>
      </w:tr>
      <w:tr w:rsidR="001E4866" w14:paraId="798BFCE4" w14:textId="77777777">
        <w:trPr>
          <w:trHeight w:val="4530"/>
        </w:trPr>
        <w:tc>
          <w:tcPr>
            <w:tcW w:w="1335" w:type="dxa"/>
            <w:vMerge/>
          </w:tcPr>
          <w:p w14:paraId="083956D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1AC644A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4344E23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44A6EACA"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cadrul proiectului analizat se constată o suprapunere conceptuală și instituțională între procesul de certificare a cadrelor medicale și procesul de acreditare a instituțiilor medico-sanitare, ambele fiind plasate în competența aceleiași entități – Consiliul Național de Evaluare și Acreditare în Sănătate. Se propune examinarea acestui cadru prin prisma principiilor administrației publice, cât și bunelor practici internaționale în materie de guvernanță în sănătate.</w:t>
            </w:r>
          </w:p>
          <w:p w14:paraId="528A1190" w14:textId="77777777" w:rsidR="001E4866" w:rsidRDefault="001E4866">
            <w:pPr>
              <w:ind w:firstLine="0"/>
              <w:rPr>
                <w:rFonts w:ascii="Times New Roman" w:eastAsia="Times New Roman" w:hAnsi="Times New Roman" w:cs="Times New Roman"/>
                <w:sz w:val="22"/>
                <w:szCs w:val="22"/>
              </w:rPr>
            </w:pPr>
          </w:p>
          <w:p w14:paraId="15D09469"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Lipsa unei delimitări clare între cele două procese ar putea genera riscuri semnificative cum ar fi conflict de interese instituțional, ambiguitate administrativă, cu posibile abuzuri în interpretarea competențelor; diminuarea încrederii beneficiarilor, în transparența și imparțialitatea proceselor de reglementare; ineficiență instituțională, prin supraîncărcarea unei singure entități cu funcții distincte, uneori contradictorii.</w:t>
            </w:r>
          </w:p>
        </w:tc>
        <w:tc>
          <w:tcPr>
            <w:tcW w:w="4635" w:type="dxa"/>
            <w:tcMar>
              <w:top w:w="0" w:type="dxa"/>
              <w:bottom w:w="0" w:type="dxa"/>
            </w:tcMar>
          </w:tcPr>
          <w:p w14:paraId="7DDA447A"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3981EF5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Atribuirea responsabilității privind certificarea cadrelor medicale către CNEAS este justificată prin rolul consolidat al instituției în domeniul evaluării și eliberării actelor permisive. </w:t>
            </w:r>
          </w:p>
          <w:p w14:paraId="48C78930" w14:textId="77777777" w:rsidR="001E4866" w:rsidRDefault="001E4866">
            <w:pPr>
              <w:ind w:firstLine="0"/>
              <w:rPr>
                <w:rFonts w:ascii="Times New Roman" w:eastAsia="Times New Roman" w:hAnsi="Times New Roman" w:cs="Times New Roman"/>
                <w:sz w:val="22"/>
                <w:szCs w:val="22"/>
              </w:rPr>
            </w:pPr>
          </w:p>
          <w:p w14:paraId="29E6D33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plus, modelul de reglementare propus a fost fundamentat inclusiv pe bunele practici din statele membre ale Uniunii Europene, în special modelul Lituaniei, unde un organism similar, aflat în afara structurilor administrative clasice, gestionează atât acreditarea instituțiilor, cât și certificarea profesională a personalului medical, cu respectarea standardelor de imparțialitate și eficiență.</w:t>
            </w:r>
          </w:p>
          <w:p w14:paraId="1741206D" w14:textId="77777777" w:rsidR="001E4866" w:rsidRDefault="001E4866">
            <w:pPr>
              <w:ind w:firstLine="0"/>
              <w:rPr>
                <w:rFonts w:ascii="Times New Roman" w:eastAsia="Times New Roman" w:hAnsi="Times New Roman" w:cs="Times New Roman"/>
                <w:sz w:val="22"/>
                <w:szCs w:val="22"/>
              </w:rPr>
            </w:pPr>
          </w:p>
          <w:p w14:paraId="3885A15B"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prevede delimitarea clară între cele două procese, iar normele de aplicare vor fi stabilite de Guvern pentru a garanta transparența și imparțialitatea.</w:t>
            </w:r>
          </w:p>
        </w:tc>
      </w:tr>
      <w:tr w:rsidR="001E4866" w14:paraId="18C93203" w14:textId="77777777">
        <w:trPr>
          <w:trHeight w:val="3675"/>
        </w:trPr>
        <w:tc>
          <w:tcPr>
            <w:tcW w:w="1335" w:type="dxa"/>
            <w:vMerge/>
          </w:tcPr>
          <w:p w14:paraId="0A71B90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47D51C3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5A914F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5295580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Se propunere revizuirea definițiilor de „certificare”, care nefiind definită clar generează dificultăți în delimitarea de alte altor forme de evaluare cum ar fi atestarea, autorizarea etc., termenul „card profesional național” nu denotă suficient de explicit natura juridică a acestuia. Totodată din termenul „solicitant al actului permisiv” apare noțiunea de „act permisiv” care nu este definit în textul legii, astfel este greu de identificat care document poate fi numit „act permisiv”.</w:t>
            </w:r>
          </w:p>
        </w:tc>
        <w:tc>
          <w:tcPr>
            <w:tcW w:w="4635" w:type="dxa"/>
            <w:tcMar>
              <w:top w:w="0" w:type="dxa"/>
              <w:bottom w:w="0" w:type="dxa"/>
            </w:tcMar>
          </w:tcPr>
          <w:p w14:paraId="465E4B9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2A8704A0"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procesul de avizare, proiectul a fost completat prin introducerea Capitolului II¹ în Legea nr. 411/1995, care reglementează în mod expres regimul juridic al actelor permisive în domeniul sănătății. Noțiunea de „act permisiv” este definită la art. 161 alin. (2), iar cadrul procedural este clar delimitat. De asemenea, termenul „card profesional național” este utilizat pentru a desemna documentul care atestă dreptul de exercitare a profesiei medicale, fiind emis în baza deciziei de certificare. Prin aceste completări, se asigură claritatea și coerența terminologică, conform cerințelor Legii nr. 100/2017.</w:t>
            </w:r>
          </w:p>
        </w:tc>
      </w:tr>
      <w:tr w:rsidR="001E4866" w14:paraId="506FF8DB" w14:textId="77777777">
        <w:trPr>
          <w:trHeight w:val="4530"/>
        </w:trPr>
        <w:tc>
          <w:tcPr>
            <w:tcW w:w="1335" w:type="dxa"/>
            <w:vMerge/>
          </w:tcPr>
          <w:p w14:paraId="7990664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33B136D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091D00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64E5F13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Sub aspect de argumentare financiară observăm că reglementările referitoare la cheltuielile aferente implementării reformei, în special cele ce privesc impactul financiar impus persoanelor fizice – cadre medicale – sunt insuficient dezvoltate, lipsite de transparență și predictibilitate bugetară, ceea ce afectează fundamentarea juridică și economică a actului.</w:t>
            </w:r>
          </w:p>
          <w:p w14:paraId="64646515" w14:textId="77777777" w:rsidR="001E4866" w:rsidRDefault="001E4866">
            <w:pPr>
              <w:ind w:firstLine="0"/>
              <w:rPr>
                <w:rFonts w:ascii="Times New Roman" w:eastAsia="Times New Roman" w:hAnsi="Times New Roman" w:cs="Times New Roman"/>
                <w:sz w:val="22"/>
                <w:szCs w:val="22"/>
              </w:rPr>
            </w:pPr>
          </w:p>
          <w:p w14:paraId="7A86D21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acest sens considerăm imperios reglementarea sub aspect de stabilire a unui plafon legal privind taxele care pot fi percepute, stabilirea expres prin lege ce categorii de cheltuieli sunt permise, ceea ce poate genera abuzuri sau creșteri nejustificate ale costurilor pentru medici și analiza impactului bugetar cumulat asupra cadrelor medico-sanitare, care urmează să fie supuse procesului de evaluare.</w:t>
            </w:r>
          </w:p>
        </w:tc>
        <w:tc>
          <w:tcPr>
            <w:tcW w:w="4635" w:type="dxa"/>
            <w:tcMar>
              <w:top w:w="0" w:type="dxa"/>
              <w:bottom w:w="0" w:type="dxa"/>
            </w:tcMar>
          </w:tcPr>
          <w:p w14:paraId="2137633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Nu se acceptă</w:t>
            </w:r>
          </w:p>
          <w:p w14:paraId="64E56C1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Stabilirea exactă a taxelor nu este obiectul de reglementare a unei legi-cadru, ci urmează a fi determinată prin acte normative secundare, conform art. 125 din proiect. Acesta prevede expres că metodologia de calcul al taxelor va fi aprobată de Guvern, iar cuantumul taxelor – de Ministerul Sănătății. Acest mecanism corespunde normelor privind reglementarea serviciilor publice administrative și permite flexibilitate în funcție de evaluarea impactului financiar și a necesităților de echitate. Totodată, în cadrul normativ subsecvent vor putea fi prevăzute scutiri sau facilități pentru categorii specifice, după consultări și analize detaliate.</w:t>
            </w:r>
          </w:p>
        </w:tc>
      </w:tr>
      <w:tr w:rsidR="001E4866" w14:paraId="72198BA0" w14:textId="77777777">
        <w:trPr>
          <w:trHeight w:val="1140"/>
        </w:trPr>
        <w:tc>
          <w:tcPr>
            <w:tcW w:w="1335" w:type="dxa"/>
            <w:vMerge w:val="restart"/>
          </w:tcPr>
          <w:p w14:paraId="72AACF3C"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9.</w:t>
            </w:r>
          </w:p>
        </w:tc>
        <w:tc>
          <w:tcPr>
            <w:tcW w:w="1905" w:type="dxa"/>
            <w:vMerge w:val="restart"/>
            <w:tcMar>
              <w:top w:w="0" w:type="dxa"/>
              <w:bottom w:w="0" w:type="dxa"/>
            </w:tcMar>
          </w:tcPr>
          <w:p w14:paraId="1DDD1D4C"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Ministerul Justiției</w:t>
            </w:r>
          </w:p>
        </w:tc>
        <w:tc>
          <w:tcPr>
            <w:tcW w:w="1575" w:type="dxa"/>
            <w:vMerge w:val="restart"/>
            <w:tcMar>
              <w:top w:w="0" w:type="dxa"/>
              <w:bottom w:w="0" w:type="dxa"/>
            </w:tcMar>
          </w:tcPr>
          <w:p w14:paraId="46B9A0AF" w14:textId="77777777" w:rsidR="001E4866" w:rsidRDefault="00000000">
            <w:pPr>
              <w:pBdr>
                <w:top w:val="none" w:sz="0" w:space="0" w:color="000000"/>
                <w:left w:val="none" w:sz="0" w:space="0" w:color="000000"/>
                <w:bottom w:val="none" w:sz="0" w:space="0" w:color="000000"/>
                <w:right w:val="none" w:sz="0" w:space="0" w:color="000000"/>
              </w:pBdr>
              <w:spacing w:before="240" w:line="276"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Aviz nr. 04/1-6211 din 26.06.2025  </w:t>
            </w:r>
          </w:p>
          <w:p w14:paraId="5A563CA1"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3960CB4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Cu titlu general, menționăm că proiectul conține o serie de deficiențe de ordin redacțional, care pot afecta claritatea, previzibilitatea și accesibilitatea normelor juridice. Aceste deficiențe se manifestă în principal prin utilizarea frecventă a unor expresii de tipul „în modul stabilit”, „prevăzut de lege”, „în condițiile stabilite”, fără a fi oferite referințe normative concrete care să delimiteze prevederile avute în vedere.</w:t>
            </w:r>
          </w:p>
        </w:tc>
        <w:tc>
          <w:tcPr>
            <w:tcW w:w="4635" w:type="dxa"/>
            <w:tcMar>
              <w:top w:w="0" w:type="dxa"/>
              <w:bottom w:w="0" w:type="dxa"/>
            </w:tcMar>
          </w:tcPr>
          <w:p w14:paraId="51630DA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600F959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Formulările de tipul „în modul stabilit”, „prevăzut de lege”, „în condițiile stabilite”, au în vedere actele normative secundare care urmează a fi elaborate în baza prezentei legi, conform prevederilor art. IV din proiect, prin care Guvernul și autoritățile competente vor adopta regulamentele de punere în aplicare. </w:t>
            </w:r>
          </w:p>
          <w:p w14:paraId="50EB689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aceste expresii se referă și la actele normative deja în vigoare, care reglementează aspectele procedurale și administrative aplicabile în mod general. Utilizarea acestor formule permite integrarea coerentă a normelor prezentei legi în cadrul juridic existent și viitor, evitând redundanța prin reluarea exhaustivă a reglementărilor procedurale deja aplicabile sau care urmează a fi </w:t>
            </w:r>
            <w:r>
              <w:rPr>
                <w:rFonts w:ascii="Times New Roman" w:eastAsia="Times New Roman" w:hAnsi="Times New Roman" w:cs="Times New Roman"/>
                <w:sz w:val="22"/>
                <w:szCs w:val="22"/>
              </w:rPr>
              <w:lastRenderedPageBreak/>
              <w:t xml:space="preserve">detaliate prin acte subsecvente, în conformitate cu principiile de tehnică legislativă. </w:t>
            </w:r>
          </w:p>
        </w:tc>
      </w:tr>
      <w:tr w:rsidR="001E4866" w14:paraId="421DECCE" w14:textId="77777777">
        <w:trPr>
          <w:trHeight w:val="1140"/>
        </w:trPr>
        <w:tc>
          <w:tcPr>
            <w:tcW w:w="1335" w:type="dxa"/>
            <w:vMerge/>
          </w:tcPr>
          <w:p w14:paraId="590E809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C6830A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641EF33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12659DEA"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Un alt aspect esențial care afectează coerența și aplicabilitatea proiectului de lege îl constituie lipsa unei delimitări conceptuale și procedurale clare între certificare, recunoaștere și validare. Deși aceste noțiuni apar frecvent în cuprinsul proiectului, ele nu sunt suficient explicate, iar raporturile dintre ele rămân neclare, ceea ce generează incertitudine juridică atât pentru destinatarii legii, cât și pentru autoritățile de aplicare.</w:t>
            </w:r>
          </w:p>
        </w:tc>
        <w:tc>
          <w:tcPr>
            <w:tcW w:w="4635" w:type="dxa"/>
            <w:tcMar>
              <w:top w:w="0" w:type="dxa"/>
              <w:bottom w:w="0" w:type="dxa"/>
            </w:tcMar>
          </w:tcPr>
          <w:p w14:paraId="5F67C311"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2AB351B2"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de lege stabilește și delimitează în mod distinct noțiunile de certificare și recunoaștere, astfel:</w:t>
            </w:r>
          </w:p>
          <w:p w14:paraId="3C51F06E"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Certificarea, conform definiției prevăzute în lege, reglementează procedura prin care se stabilește regimul juridic de exercitare a profesiunii de medic sau a altor profesii reglementate de către persoană, inclusiv verificarea îndeplinirii condițiilor profesionale și legale aplicabile.</w:t>
            </w:r>
          </w:p>
          <w:p w14:paraId="2E8192D7"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Recunoașterea vizează regimul juridic aplicabil titlului de calificare obținut într-un alt stat, respectiv validarea valorii legale a acestuia în vederea exercitării profesiei în Republica Moldova.</w:t>
            </w:r>
          </w:p>
          <w:p w14:paraId="3BEB04A4"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Delimitarea conceptuală a celor două instituții rezultă din dispozițiile proiectului, iar procedurile detaliate de implementare vor fi stabilite prin actele normative secundare, în temeiul prevederilor art. IV din proiect, cu respectarea principiilor de transparență și claritate reglementară.</w:t>
            </w:r>
          </w:p>
        </w:tc>
      </w:tr>
      <w:tr w:rsidR="001E4866" w14:paraId="0023D866" w14:textId="77777777">
        <w:trPr>
          <w:trHeight w:val="2272"/>
        </w:trPr>
        <w:tc>
          <w:tcPr>
            <w:tcW w:w="1335" w:type="dxa"/>
            <w:vMerge/>
          </w:tcPr>
          <w:p w14:paraId="111283E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E5A684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D5ED98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7ACB442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Titlul proiectului de lege, „Lege privind modificarea unor acte normative (resurse umane în sănătate)”, nu descrie cu suficientă claritate obiectul său de reglementare. Deși menționează „resurse umane în sănătate”, titlul nu reflectă în mod explicit scopul și conținutul modificărilor propuse. Nu se precizează în mod direct că proiectul vizează reglementarea accesului și exercitării profesiunilor din domeniul sănătății, procedurile de certificare, recunoaștere a calificărilor sau regimul actelor permisive specifice.</w:t>
            </w:r>
          </w:p>
          <w:p w14:paraId="6301F2D7" w14:textId="77777777" w:rsidR="001E4866" w:rsidRDefault="00000000">
            <w:pPr>
              <w:spacing w:before="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Se recomandă reformularea titlului pentru a reflecta mai precis obiectul legii și a oferi o descriere mai clară și mai exactă a scopului proiectului, facilitând înțelegerea și aplicarea corectă a reglementărilor.</w:t>
            </w:r>
          </w:p>
        </w:tc>
        <w:tc>
          <w:tcPr>
            <w:tcW w:w="4635" w:type="dxa"/>
            <w:tcMar>
              <w:top w:w="0" w:type="dxa"/>
              <w:bottom w:w="0" w:type="dxa"/>
            </w:tcMar>
          </w:tcPr>
          <w:p w14:paraId="5CCE135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8C81C3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Titlul proiectului de lege a fost reformulat</w:t>
            </w:r>
          </w:p>
          <w:p w14:paraId="5FF015C4" w14:textId="77777777" w:rsidR="001E4866" w:rsidRDefault="001E4866">
            <w:pPr>
              <w:ind w:firstLine="0"/>
              <w:rPr>
                <w:rFonts w:ascii="Times New Roman" w:eastAsia="Times New Roman" w:hAnsi="Times New Roman" w:cs="Times New Roman"/>
                <w:b/>
                <w:bCs/>
                <w:sz w:val="22"/>
                <w:szCs w:val="22"/>
              </w:rPr>
            </w:pPr>
          </w:p>
          <w:p w14:paraId="187FF698" w14:textId="77777777" w:rsidR="001E4866" w:rsidRDefault="001E4866">
            <w:pPr>
              <w:ind w:firstLine="0"/>
              <w:rPr>
                <w:rFonts w:ascii="Times New Roman" w:eastAsia="Times New Roman" w:hAnsi="Times New Roman" w:cs="Times New Roman"/>
                <w:b/>
                <w:bCs/>
                <w:sz w:val="22"/>
                <w:szCs w:val="22"/>
              </w:rPr>
            </w:pPr>
          </w:p>
        </w:tc>
      </w:tr>
      <w:tr w:rsidR="001E4866" w14:paraId="1AC38C89" w14:textId="77777777">
        <w:trPr>
          <w:trHeight w:val="1785"/>
        </w:trPr>
        <w:tc>
          <w:tcPr>
            <w:tcW w:w="1335" w:type="dxa"/>
            <w:vMerge/>
          </w:tcPr>
          <w:p w14:paraId="7A3176D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56A9731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3DB054B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30AF3F95" w14:textId="77777777" w:rsidR="001E4866" w:rsidRDefault="00000000">
            <w:pPr>
              <w:spacing w:before="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 în dispoziția de modificare cuvântul „Lege” se va articula, în sursa de publicare se va reda conform formulei: „(Monitorul Oficial al Republicii Moldova, anul publicării, numărul Monitorului, numărul articolului)” (obiecție valabilă și pentru alte cazuri similare).</w:t>
            </w:r>
          </w:p>
        </w:tc>
        <w:tc>
          <w:tcPr>
            <w:tcW w:w="4635" w:type="dxa"/>
            <w:tcMar>
              <w:top w:w="0" w:type="dxa"/>
              <w:bottom w:w="0" w:type="dxa"/>
            </w:tcMar>
          </w:tcPr>
          <w:p w14:paraId="4E271311"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4C13482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redactat, cu redarea sursei de publicare conform formulei oferite de MJ.</w:t>
            </w:r>
          </w:p>
        </w:tc>
      </w:tr>
      <w:tr w:rsidR="001E4866" w14:paraId="21F73B15" w14:textId="77777777">
        <w:trPr>
          <w:trHeight w:val="1335"/>
        </w:trPr>
        <w:tc>
          <w:tcPr>
            <w:tcW w:w="1335" w:type="dxa"/>
            <w:vMerge/>
          </w:tcPr>
          <w:p w14:paraId="5AF3161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3AA47F8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3BC1BF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728A34C9" w14:textId="77777777" w:rsidR="001E4866" w:rsidRDefault="00000000">
            <w:pPr>
              <w:spacing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pct. 1, în definiția noțiunii „titlu de calificare” cuvintele „actelor cu putere de lege și al actelor administrative” se recomandă a fi substituite cu cuvintele „actelor normative”.</w:t>
            </w:r>
          </w:p>
        </w:tc>
        <w:tc>
          <w:tcPr>
            <w:tcW w:w="4635" w:type="dxa"/>
            <w:tcMar>
              <w:top w:w="0" w:type="dxa"/>
              <w:bottom w:w="0" w:type="dxa"/>
            </w:tcMar>
          </w:tcPr>
          <w:p w14:paraId="3B18039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 parțial</w:t>
            </w:r>
          </w:p>
          <w:p w14:paraId="234ED2B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redactat, în conformitate cu prevederile Legii nr. 100/2017 cu privire la actele normative și art. 5 și 6 din Codul administrativ al Republicii Moldova 116/2018.</w:t>
            </w:r>
          </w:p>
        </w:tc>
      </w:tr>
      <w:tr w:rsidR="001E4866" w14:paraId="3D429DC2" w14:textId="77777777">
        <w:trPr>
          <w:trHeight w:val="2014"/>
        </w:trPr>
        <w:tc>
          <w:tcPr>
            <w:tcW w:w="1335" w:type="dxa"/>
            <w:vMerge/>
          </w:tcPr>
          <w:p w14:paraId="24A264B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4FF141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48B21B4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73CE6995" w14:textId="77777777" w:rsidR="001E4866" w:rsidRDefault="00000000">
            <w:pPr>
              <w:spacing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Cu referire la noțiunea „resortisant al Republicii Moldova” este de menționat că în sensul Acordului între Comunitatea Europeană și Republica Moldova privind readmisia persoanelor aflate în situație de ședere ilegală, „resortisant al Moldovei” înseamnă orice persoană care deține cetățenia Republicii Moldova. </w:t>
            </w:r>
          </w:p>
        </w:tc>
        <w:tc>
          <w:tcPr>
            <w:tcW w:w="4635" w:type="dxa"/>
            <w:tcMar>
              <w:top w:w="0" w:type="dxa"/>
              <w:bottom w:w="0" w:type="dxa"/>
            </w:tcMar>
          </w:tcPr>
          <w:p w14:paraId="50B568B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5A7E605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Comentariul se referă la o noțiune definită în proiectul de lege, care are aplicabilitate strict în contextul normelor prezentei legi. Se remarcă că, în Acordul dintre Comunitatea Europeană și Republica Moldova privind readmisia, termenul „resortisant al Republicii Moldova” este definit în sensul acelui instrument internațional. Cu toate acestea, în proiect, noțiunea are o semnificație proprie, stabilită exclusiv pentru scopurile de reglementare ale actului normativ supus adoptării, fără a afecta interpretarea termenului în alte acte juridice.</w:t>
            </w:r>
          </w:p>
        </w:tc>
      </w:tr>
      <w:tr w:rsidR="001E4866" w14:paraId="2C0A5AE3" w14:textId="77777777">
        <w:trPr>
          <w:trHeight w:val="2014"/>
        </w:trPr>
        <w:tc>
          <w:tcPr>
            <w:tcW w:w="1335" w:type="dxa"/>
            <w:vMerge/>
          </w:tcPr>
          <w:p w14:paraId="3FAADF2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93F1C6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253086D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51B1922A" w14:textId="77777777" w:rsidR="001E4866" w:rsidRDefault="00000000">
            <w:pPr>
              <w:spacing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remarcăm că, </w:t>
            </w:r>
            <w:r>
              <w:rPr>
                <w:rFonts w:ascii="Times New Roman" w:eastAsia="Times New Roman" w:hAnsi="Times New Roman" w:cs="Times New Roman"/>
                <w:i/>
                <w:iCs/>
                <w:sz w:val="22"/>
                <w:szCs w:val="22"/>
              </w:rPr>
              <w:t>Legea nr. 200/2010 privind regimul străinilor în Republica Moldova</w:t>
            </w:r>
            <w:r>
              <w:rPr>
                <w:rFonts w:ascii="Times New Roman" w:eastAsia="Times New Roman" w:hAnsi="Times New Roman" w:cs="Times New Roman"/>
                <w:sz w:val="22"/>
                <w:szCs w:val="22"/>
              </w:rPr>
              <w:t xml:space="preserve"> operează cu termenul „drept de ședere”, dar nu „drept de reședință”. Astfel, potrivit art. 3 din </w:t>
            </w:r>
            <w:r>
              <w:rPr>
                <w:rFonts w:ascii="Times New Roman" w:eastAsia="Times New Roman" w:hAnsi="Times New Roman" w:cs="Times New Roman"/>
                <w:i/>
                <w:iCs/>
                <w:sz w:val="22"/>
                <w:szCs w:val="22"/>
              </w:rPr>
              <w:t xml:space="preserve">Legea nr. 200/2010 </w:t>
            </w:r>
            <w:r>
              <w:rPr>
                <w:rFonts w:ascii="Times New Roman" w:eastAsia="Times New Roman" w:hAnsi="Times New Roman" w:cs="Times New Roman"/>
                <w:sz w:val="22"/>
                <w:szCs w:val="22"/>
              </w:rPr>
              <w:t xml:space="preserve">drept de </w:t>
            </w:r>
            <w:proofErr w:type="spellStart"/>
            <w:r>
              <w:rPr>
                <w:rFonts w:ascii="Times New Roman" w:eastAsia="Times New Roman" w:hAnsi="Times New Roman" w:cs="Times New Roman"/>
                <w:sz w:val="22"/>
                <w:szCs w:val="22"/>
              </w:rPr>
              <w:t>şedere</w:t>
            </w:r>
            <w:proofErr w:type="spellEnd"/>
            <w:r>
              <w:rPr>
                <w:rFonts w:ascii="Times New Roman" w:eastAsia="Times New Roman" w:hAnsi="Times New Roman" w:cs="Times New Roman"/>
                <w:sz w:val="22"/>
                <w:szCs w:val="22"/>
              </w:rPr>
              <w:t xml:space="preserve"> este un drept de a-</w:t>
            </w:r>
            <w:proofErr w:type="spellStart"/>
            <w:r>
              <w:rPr>
                <w:rFonts w:ascii="Times New Roman" w:eastAsia="Times New Roman" w:hAnsi="Times New Roman" w:cs="Times New Roman"/>
                <w:sz w:val="22"/>
                <w:szCs w:val="22"/>
              </w:rPr>
              <w:t>şi</w:t>
            </w:r>
            <w:proofErr w:type="spellEnd"/>
            <w:r>
              <w:rPr>
                <w:rFonts w:ascii="Times New Roman" w:eastAsia="Times New Roman" w:hAnsi="Times New Roman" w:cs="Times New Roman"/>
                <w:sz w:val="22"/>
                <w:szCs w:val="22"/>
              </w:rPr>
              <w:t xml:space="preserve"> stabili </w:t>
            </w:r>
            <w:proofErr w:type="spellStart"/>
            <w:r>
              <w:rPr>
                <w:rFonts w:ascii="Times New Roman" w:eastAsia="Times New Roman" w:hAnsi="Times New Roman" w:cs="Times New Roman"/>
                <w:sz w:val="22"/>
                <w:szCs w:val="22"/>
              </w:rPr>
              <w:t>reşedinţa</w:t>
            </w:r>
            <w:proofErr w:type="spellEnd"/>
            <w:r>
              <w:rPr>
                <w:rFonts w:ascii="Times New Roman" w:eastAsia="Times New Roman" w:hAnsi="Times New Roman" w:cs="Times New Roman"/>
                <w:sz w:val="22"/>
                <w:szCs w:val="22"/>
              </w:rPr>
              <w:t xml:space="preserve"> sau domiciliul pe teritoriul Republicii Moldova, acordat străinului, de către autoritatea competentă pentru străini.</w:t>
            </w:r>
          </w:p>
        </w:tc>
        <w:tc>
          <w:tcPr>
            <w:tcW w:w="4635" w:type="dxa"/>
            <w:tcMar>
              <w:top w:w="0" w:type="dxa"/>
              <w:bottom w:w="0" w:type="dxa"/>
            </w:tcMar>
          </w:tcPr>
          <w:p w14:paraId="2441279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729930A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Proiectului de lege a fost redactat.</w:t>
            </w:r>
          </w:p>
          <w:p w14:paraId="79ED9F6F" w14:textId="77777777" w:rsidR="001E4866" w:rsidRDefault="001E4866">
            <w:pPr>
              <w:ind w:firstLine="0"/>
              <w:rPr>
                <w:rFonts w:ascii="Times New Roman" w:eastAsia="Times New Roman" w:hAnsi="Times New Roman" w:cs="Times New Roman"/>
                <w:b/>
                <w:bCs/>
                <w:sz w:val="22"/>
                <w:szCs w:val="22"/>
              </w:rPr>
            </w:pPr>
          </w:p>
        </w:tc>
      </w:tr>
      <w:tr w:rsidR="001E4866" w14:paraId="4CB89D64" w14:textId="77777777">
        <w:trPr>
          <w:trHeight w:val="1641"/>
        </w:trPr>
        <w:tc>
          <w:tcPr>
            <w:tcW w:w="1335" w:type="dxa"/>
            <w:vMerge/>
          </w:tcPr>
          <w:p w14:paraId="244D902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4EA0124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6DE99C5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361F5CB8" w14:textId="77777777" w:rsidR="001E4866" w:rsidRDefault="00000000">
            <w:pPr>
              <w:spacing w:before="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cadrul definiției pentru „resortisant al statelor membre ale Uniunii Europene”, proiectul de lege introduce o enumerare amplă și detaliată a categoriilor de persoane considerate membri de familie ai unui cetățean al unui stat membru al UE. Această includere, depășește obiectul reglementării legii.</w:t>
            </w:r>
          </w:p>
          <w:p w14:paraId="6C34D1C9" w14:textId="77777777" w:rsidR="001E4866" w:rsidRDefault="00000000">
            <w:pPr>
              <w:spacing w:before="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Proiectul de lege are ca obiect central stabilirea cadrului normativ privind resursele umane din domeniul sănătății, respectiv condițiile de acces, exercitare și certificare a profesiilor medico-sanitare </w:t>
            </w:r>
            <w:r>
              <w:rPr>
                <w:rFonts w:ascii="Times New Roman" w:eastAsia="Times New Roman" w:hAnsi="Times New Roman" w:cs="Times New Roman"/>
                <w:sz w:val="22"/>
                <w:szCs w:val="22"/>
              </w:rPr>
              <w:lastRenderedPageBreak/>
              <w:t>și farmaceutice. În acest context, extinderea definiției resortisantului UE pentru a include categoriile de membri de familie, cu detalii specifice privind vârsta, întreținerea și filiația, depășește sfera strict profesională și funcțională a legii.</w:t>
            </w:r>
          </w:p>
          <w:p w14:paraId="41610F25" w14:textId="77777777" w:rsidR="001E4866" w:rsidRDefault="00000000">
            <w:pPr>
              <w:spacing w:before="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Definirea membrilor de familie nu are un rol direct în calificarea profesională, în recunoașterea competențelor sau în regimul de certificare a personalului medical, iar preluarea acestei categorii în forma extinsă în textul de lege creează o încărcare inutilă și riscă să deturneze atenția de la scopul principal al actului normativ.</w:t>
            </w:r>
          </w:p>
          <w:p w14:paraId="438ED37C" w14:textId="77777777" w:rsidR="001E4866" w:rsidRDefault="00000000">
            <w:pPr>
              <w:spacing w:before="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Se recomandă, prin urmare, excluderea definiției detaliate a membrilor de familie din corpul legii sau, alternativ, limitarea definiției resortisantului UE strict la acele categorii de persoane care pot exercita, în mod direct, o profesie reglementată în domeniul sănătății. </w:t>
            </w:r>
          </w:p>
        </w:tc>
        <w:tc>
          <w:tcPr>
            <w:tcW w:w="4635" w:type="dxa"/>
            <w:tcMar>
              <w:top w:w="0" w:type="dxa"/>
              <w:bottom w:w="0" w:type="dxa"/>
            </w:tcMar>
          </w:tcPr>
          <w:p w14:paraId="59541C1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Comentariu</w:t>
            </w:r>
          </w:p>
          <w:p w14:paraId="0AC70C68" w14:textId="77777777" w:rsidR="001E4866" w:rsidRDefault="00000000">
            <w:pPr>
              <w:spacing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Includerea în proiectul de lege a definiției extinse a noțiunii de </w:t>
            </w:r>
            <w:r>
              <w:rPr>
                <w:rFonts w:ascii="Times New Roman" w:eastAsia="Times New Roman" w:hAnsi="Times New Roman" w:cs="Times New Roman"/>
                <w:i/>
                <w:iCs/>
                <w:sz w:val="22"/>
                <w:szCs w:val="22"/>
              </w:rPr>
              <w:t>resortisant al statelor membre ale Uniunii Europene</w:t>
            </w:r>
            <w:r>
              <w:rPr>
                <w:rFonts w:ascii="Times New Roman" w:eastAsia="Times New Roman" w:hAnsi="Times New Roman" w:cs="Times New Roman"/>
                <w:sz w:val="22"/>
                <w:szCs w:val="22"/>
              </w:rPr>
              <w:t>, care cuprinde și categoriile de membri de familie, este justificată prin necesitatea alinierii cadrului național la obligațiile ce decurg din Directiva 2004/38/CE privind dreptul la liberă circulație și ședere pe teritoriul statelor membre pentru cetățenii Uniunii și membrii familiilor acestora.</w:t>
            </w:r>
          </w:p>
          <w:p w14:paraId="1133A808" w14:textId="77777777" w:rsidR="001E4866" w:rsidRDefault="00000000">
            <w:pPr>
              <w:spacing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 asemenea, în aplicarea Directivei 2005/36/CE privind recunoașterea calificărilor profesionale, </w:t>
            </w:r>
            <w:r>
              <w:rPr>
                <w:rFonts w:ascii="Times New Roman" w:eastAsia="Times New Roman" w:hAnsi="Times New Roman" w:cs="Times New Roman"/>
                <w:sz w:val="22"/>
                <w:szCs w:val="22"/>
              </w:rPr>
              <w:lastRenderedPageBreak/>
              <w:t>este relevant faptul că dreptul de a exercita o activitate profesională reglementată și dreptul la recunoașterea calificărilor pot fi, în anumite situații, legate de statutul de membru de familie al unui cetățean al Uniunii Europene, în temeiul principiului tratamentului egal prevăzut de legislația europeană.</w:t>
            </w:r>
          </w:p>
          <w:p w14:paraId="05C201DE" w14:textId="77777777" w:rsidR="001E4866" w:rsidRDefault="00000000">
            <w:pPr>
              <w:spacing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Prin urmare, definirea detaliată a acestor categorii nu urmărește extinderea nejustificată a obiectului reglementării legii, ci asigurarea coerenței și aplicabilității normelor în raport cu situațiile concrete care pot rezulta din exercitarea libertății de circulație și ședere, inclusiv pentru membrii de familie care dobândesc drepturi conexe.</w:t>
            </w:r>
          </w:p>
          <w:p w14:paraId="7ECE55A5" w14:textId="77777777" w:rsidR="001E4866" w:rsidRDefault="00000000">
            <w:pPr>
              <w:spacing w:after="240"/>
              <w:ind w:firstLine="0"/>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În plus, includerea acestor prevederi în corpul legii contribuie la claritatea regimului juridic aplicabil persoanelor vizate, evitând necesitatea unor trimiteri multiple la acte normative europene sau la legislația națională conexă, ceea ce sprijină previzibilitatea aplicării dispozițiilor legale în materia recunoașterii calificărilor profesionale și a exercitării profesiunilor reglementate.</w:t>
            </w:r>
          </w:p>
        </w:tc>
      </w:tr>
      <w:tr w:rsidR="001E4866" w14:paraId="3FED2A12" w14:textId="77777777">
        <w:trPr>
          <w:trHeight w:val="1560"/>
        </w:trPr>
        <w:tc>
          <w:tcPr>
            <w:tcW w:w="1335" w:type="dxa"/>
            <w:vMerge/>
          </w:tcPr>
          <w:p w14:paraId="617AE84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highlight w:val="yellow"/>
              </w:rPr>
            </w:pPr>
          </w:p>
        </w:tc>
        <w:tc>
          <w:tcPr>
            <w:tcW w:w="1905" w:type="dxa"/>
            <w:vMerge/>
            <w:tcMar>
              <w:top w:w="0" w:type="dxa"/>
              <w:bottom w:w="0" w:type="dxa"/>
            </w:tcMar>
          </w:tcPr>
          <w:p w14:paraId="432EF68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highlight w:val="yellow"/>
              </w:rPr>
            </w:pPr>
          </w:p>
        </w:tc>
        <w:tc>
          <w:tcPr>
            <w:tcW w:w="1575" w:type="dxa"/>
            <w:vMerge/>
            <w:tcMar>
              <w:top w:w="0" w:type="dxa"/>
              <w:bottom w:w="0" w:type="dxa"/>
            </w:tcMar>
          </w:tcPr>
          <w:p w14:paraId="7BB3FB4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highlight w:val="yellow"/>
              </w:rPr>
            </w:pPr>
          </w:p>
        </w:tc>
        <w:tc>
          <w:tcPr>
            <w:tcW w:w="4785" w:type="dxa"/>
            <w:tcMar>
              <w:top w:w="0" w:type="dxa"/>
              <w:bottom w:w="0" w:type="dxa"/>
            </w:tcMar>
          </w:tcPr>
          <w:p w14:paraId="42BC682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noțiunea „stat terț”, se va revedea definiția propusă, deoarece este formulată defectuos în partea ce ține de expresia „orice stat, cu excepția Republicii Moldova”, deoarece este evident că noțiunea dată nu poate include Republica Moldova.</w:t>
            </w:r>
          </w:p>
        </w:tc>
        <w:tc>
          <w:tcPr>
            <w:tcW w:w="4635" w:type="dxa"/>
            <w:tcMar>
              <w:top w:w="0" w:type="dxa"/>
              <w:bottom w:w="0" w:type="dxa"/>
            </w:tcMar>
          </w:tcPr>
          <w:p w14:paraId="50F570F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72FBC62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Definiția noțiunii a fost redactată corespunzător.</w:t>
            </w:r>
          </w:p>
        </w:tc>
      </w:tr>
      <w:tr w:rsidR="001E4866" w14:paraId="388276C3" w14:textId="77777777">
        <w:trPr>
          <w:trHeight w:val="1125"/>
        </w:trPr>
        <w:tc>
          <w:tcPr>
            <w:tcW w:w="1335" w:type="dxa"/>
            <w:vMerge/>
          </w:tcPr>
          <w:p w14:paraId="0873CA0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5D1A786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B8A366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6054DFBC" w14:textId="77777777" w:rsidR="001E4866" w:rsidRDefault="00000000">
            <w:pPr>
              <w:spacing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Definirea noțiunii „certificat constatator” nu este necesară, în situația în care terminologia respectivă nu se regăsește în cuprinsul proiectului legii.</w:t>
            </w:r>
          </w:p>
        </w:tc>
        <w:tc>
          <w:tcPr>
            <w:tcW w:w="4635" w:type="dxa"/>
            <w:tcMar>
              <w:top w:w="0" w:type="dxa"/>
              <w:bottom w:w="0" w:type="dxa"/>
            </w:tcMar>
          </w:tcPr>
          <w:p w14:paraId="3318077D"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3BE4183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Noțiunea ”certificat constatator” a fost exclusă.</w:t>
            </w:r>
          </w:p>
        </w:tc>
      </w:tr>
      <w:tr w:rsidR="001E4866" w14:paraId="39FEA59E" w14:textId="77777777">
        <w:trPr>
          <w:trHeight w:val="2540"/>
        </w:trPr>
        <w:tc>
          <w:tcPr>
            <w:tcW w:w="1335" w:type="dxa"/>
            <w:vMerge/>
          </w:tcPr>
          <w:p w14:paraId="0012DCD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6EAE572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1525E7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3FFEE70D" w14:textId="77777777" w:rsidR="001E4866" w:rsidRDefault="00000000">
            <w:pPr>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Titlul art. 8 „Autorizarea </w:t>
            </w:r>
            <w:proofErr w:type="spellStart"/>
            <w:r>
              <w:rPr>
                <w:rFonts w:ascii="Times New Roman" w:eastAsia="Times New Roman" w:hAnsi="Times New Roman" w:cs="Times New Roman"/>
                <w:sz w:val="22"/>
                <w:szCs w:val="22"/>
              </w:rPr>
              <w:t>exerciţiului</w:t>
            </w:r>
            <w:proofErr w:type="spellEnd"/>
            <w:r>
              <w:rPr>
                <w:rFonts w:ascii="Times New Roman" w:eastAsia="Times New Roman" w:hAnsi="Times New Roman" w:cs="Times New Roman"/>
                <w:sz w:val="22"/>
                <w:szCs w:val="22"/>
              </w:rPr>
              <w:t xml:space="preserve"> profesiunilor  medico-sanitare </w:t>
            </w:r>
            <w:proofErr w:type="spellStart"/>
            <w:r>
              <w:rPr>
                <w:rFonts w:ascii="Times New Roman" w:eastAsia="Times New Roman" w:hAnsi="Times New Roman" w:cs="Times New Roman"/>
                <w:sz w:val="22"/>
                <w:szCs w:val="22"/>
              </w:rPr>
              <w:t>şi</w:t>
            </w:r>
            <w:proofErr w:type="spellEnd"/>
            <w:r>
              <w:rPr>
                <w:rFonts w:ascii="Times New Roman" w:eastAsia="Times New Roman" w:hAnsi="Times New Roman" w:cs="Times New Roman"/>
                <w:sz w:val="22"/>
                <w:szCs w:val="22"/>
              </w:rPr>
              <w:t xml:space="preserve"> farmaceutice” din </w:t>
            </w:r>
            <w:r>
              <w:rPr>
                <w:rFonts w:ascii="Times New Roman" w:eastAsia="Times New Roman" w:hAnsi="Times New Roman" w:cs="Times New Roman"/>
                <w:i/>
                <w:iCs/>
                <w:sz w:val="22"/>
                <w:szCs w:val="22"/>
              </w:rPr>
              <w:t>Legea nr. 411/1995 ocrotirii sănătății</w:t>
            </w:r>
            <w:r>
              <w:rPr>
                <w:rFonts w:ascii="Times New Roman" w:eastAsia="Times New Roman" w:hAnsi="Times New Roman" w:cs="Times New Roman"/>
                <w:sz w:val="22"/>
                <w:szCs w:val="22"/>
              </w:rPr>
              <w:t xml:space="preserve"> nu corelează cu obiectul reglementat la art. 8 propus prin proiectul de lege la pct. 3. Totodată, la expunerea în redacție nouă a unui articol, între semnele citării se indică inclusive numărul și titlul acestui articol (observație valabilă și pentru restul cazurilor similar din proiect).</w:t>
            </w:r>
          </w:p>
        </w:tc>
        <w:tc>
          <w:tcPr>
            <w:tcW w:w="4635" w:type="dxa"/>
            <w:tcMar>
              <w:top w:w="0" w:type="dxa"/>
              <w:bottom w:w="0" w:type="dxa"/>
            </w:tcMar>
          </w:tcPr>
          <w:p w14:paraId="30F2C62D"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CA967C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Proiectul a fost redactat corespunzător. </w:t>
            </w:r>
          </w:p>
        </w:tc>
      </w:tr>
      <w:tr w:rsidR="001E4866" w14:paraId="2E7DE56F" w14:textId="77777777">
        <w:trPr>
          <w:trHeight w:val="1127"/>
        </w:trPr>
        <w:tc>
          <w:tcPr>
            <w:tcW w:w="1335" w:type="dxa"/>
            <w:vMerge/>
          </w:tcPr>
          <w:p w14:paraId="792468F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4DB283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66A29C3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0750132C"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alin. (2), remarcăm că, legislația Republicii Moldova nu utilizează termenul „</w:t>
            </w:r>
            <w:proofErr w:type="spellStart"/>
            <w:r>
              <w:rPr>
                <w:rFonts w:ascii="Times New Roman" w:eastAsia="Times New Roman" w:hAnsi="Times New Roman" w:cs="Times New Roman"/>
                <w:sz w:val="22"/>
                <w:szCs w:val="22"/>
              </w:rPr>
              <w:t>forţă</w:t>
            </w:r>
            <w:proofErr w:type="spellEnd"/>
            <w:r>
              <w:rPr>
                <w:rFonts w:ascii="Times New Roman" w:eastAsia="Times New Roman" w:hAnsi="Times New Roman" w:cs="Times New Roman"/>
                <w:sz w:val="22"/>
                <w:szCs w:val="22"/>
              </w:rPr>
              <w:t xml:space="preserve"> majoră”, dar „impediment care justifica neexecutarea obligației”. </w:t>
            </w:r>
          </w:p>
        </w:tc>
        <w:tc>
          <w:tcPr>
            <w:tcW w:w="4635" w:type="dxa"/>
            <w:tcMar>
              <w:top w:w="0" w:type="dxa"/>
              <w:bottom w:w="0" w:type="dxa"/>
            </w:tcMar>
          </w:tcPr>
          <w:p w14:paraId="25FC380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57FD60F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Proiectul a fost redactat corespunzător. </w:t>
            </w:r>
          </w:p>
        </w:tc>
      </w:tr>
      <w:tr w:rsidR="001E4866" w14:paraId="0D9A8D5E" w14:textId="77777777">
        <w:trPr>
          <w:trHeight w:val="1638"/>
        </w:trPr>
        <w:tc>
          <w:tcPr>
            <w:tcW w:w="1335" w:type="dxa"/>
            <w:vMerge/>
          </w:tcPr>
          <w:p w14:paraId="2ED796E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1FC53C5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6CA8AB5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1DC16134"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alin. (3) sintagma „Ministerul Sănătății” se va substitui  cu cuvintele „ministrului sănătății”, în temeiul art. 11 alin. (1) lit. k) din </w:t>
            </w:r>
            <w:r>
              <w:rPr>
                <w:rFonts w:ascii="Times New Roman" w:eastAsia="Times New Roman" w:hAnsi="Times New Roman" w:cs="Times New Roman"/>
                <w:i/>
                <w:iCs/>
                <w:sz w:val="22"/>
                <w:szCs w:val="22"/>
              </w:rPr>
              <w:t xml:space="preserve">Legea nr. 98/2012 privind </w:t>
            </w:r>
            <w:proofErr w:type="spellStart"/>
            <w:r>
              <w:rPr>
                <w:rFonts w:ascii="Times New Roman" w:eastAsia="Times New Roman" w:hAnsi="Times New Roman" w:cs="Times New Roman"/>
                <w:i/>
                <w:iCs/>
                <w:sz w:val="22"/>
                <w:szCs w:val="22"/>
              </w:rPr>
              <w:t>administraţia</w:t>
            </w:r>
            <w:proofErr w:type="spellEnd"/>
            <w:r>
              <w:rPr>
                <w:rFonts w:ascii="Times New Roman" w:eastAsia="Times New Roman" w:hAnsi="Times New Roman" w:cs="Times New Roman"/>
                <w:i/>
                <w:iCs/>
                <w:sz w:val="22"/>
                <w:szCs w:val="22"/>
              </w:rPr>
              <w:t xml:space="preserve"> publică centrală de specialitate.</w:t>
            </w:r>
          </w:p>
        </w:tc>
        <w:tc>
          <w:tcPr>
            <w:tcW w:w="4635" w:type="dxa"/>
            <w:tcMar>
              <w:top w:w="0" w:type="dxa"/>
              <w:bottom w:w="0" w:type="dxa"/>
            </w:tcMar>
          </w:tcPr>
          <w:p w14:paraId="1EBAB77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7C1D5D8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4284D902" w14:textId="77777777">
        <w:trPr>
          <w:trHeight w:val="2383"/>
        </w:trPr>
        <w:tc>
          <w:tcPr>
            <w:tcW w:w="1335" w:type="dxa"/>
            <w:vMerge/>
          </w:tcPr>
          <w:p w14:paraId="7D2E09F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6A41391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633945C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2736FC99" w14:textId="77777777" w:rsidR="001E4866" w:rsidRDefault="00000000">
            <w:pPr>
              <w:spacing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alin. (5), cu privire la aplicarea sancțiunii contravenționale și penale pentru exercitarea într-o altă calificare profesională decât cea stabilită de titlul de formare, se va ține cont că răspunderea juridică este prevăzută de normele materiale, ce stabilesc tipul concret de răspundere (penală sau contravențională, etc.), determină faptele și sancțiunile pentru comiterea acestora.</w:t>
            </w:r>
          </w:p>
        </w:tc>
        <w:tc>
          <w:tcPr>
            <w:tcW w:w="4635" w:type="dxa"/>
            <w:tcMar>
              <w:top w:w="0" w:type="dxa"/>
              <w:bottom w:w="0" w:type="dxa"/>
            </w:tcMar>
          </w:tcPr>
          <w:p w14:paraId="0385457D"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2AC77FF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modificat corespunzător.</w:t>
            </w:r>
          </w:p>
        </w:tc>
      </w:tr>
      <w:tr w:rsidR="001E4866" w14:paraId="3B52775A" w14:textId="77777777">
        <w:trPr>
          <w:trHeight w:val="1367"/>
        </w:trPr>
        <w:tc>
          <w:tcPr>
            <w:tcW w:w="1335" w:type="dxa"/>
            <w:vMerge/>
          </w:tcPr>
          <w:p w14:paraId="7D85F6F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1761633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0E28E37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51AB30EF"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 pct. 4 din alineatul introductiv se va exclude titlul articolului expus în redacție nouă după următorul exemplu: „4. Se completează cu articolul 8</w:t>
            </w:r>
            <w:r>
              <w:rPr>
                <w:rFonts w:ascii="Times New Roman" w:eastAsia="Times New Roman" w:hAnsi="Times New Roman" w:cs="Times New Roman"/>
                <w:sz w:val="22"/>
                <w:szCs w:val="22"/>
                <w:vertAlign w:val="superscript"/>
              </w:rPr>
              <w:t xml:space="preserve">1 </w:t>
            </w:r>
            <w:r>
              <w:rPr>
                <w:rFonts w:ascii="Times New Roman" w:eastAsia="Times New Roman" w:hAnsi="Times New Roman" w:cs="Times New Roman"/>
                <w:sz w:val="22"/>
                <w:szCs w:val="22"/>
              </w:rPr>
              <w:t>cu următorul cuprins:”.</w:t>
            </w:r>
          </w:p>
        </w:tc>
        <w:tc>
          <w:tcPr>
            <w:tcW w:w="4635" w:type="dxa"/>
            <w:tcMar>
              <w:top w:w="0" w:type="dxa"/>
              <w:bottom w:w="0" w:type="dxa"/>
            </w:tcMar>
          </w:tcPr>
          <w:p w14:paraId="2F811F7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07A0B52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131686FB" w14:textId="77777777">
        <w:trPr>
          <w:trHeight w:val="2266"/>
        </w:trPr>
        <w:tc>
          <w:tcPr>
            <w:tcW w:w="1335" w:type="dxa"/>
            <w:vMerge/>
          </w:tcPr>
          <w:p w14:paraId="65B99DE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1CEB511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0A93366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4C9ACCBB" w14:textId="77777777" w:rsidR="001E4866" w:rsidRDefault="00000000">
            <w:pPr>
              <w:spacing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8</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w:t>
            </w:r>
          </w:p>
          <w:p w14:paraId="69AD0E6D"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alin. (2) se prevede că exercitarea profesiunilor medico-sanitare și farmaceutice poate avea caracter permanent, „în condițiile stabilirii în Republica Moldova”, sau caracter </w:t>
            </w:r>
            <w:r>
              <w:rPr>
                <w:rFonts w:ascii="Times New Roman" w:eastAsia="Times New Roman" w:hAnsi="Times New Roman" w:cs="Times New Roman"/>
                <w:b/>
                <w:bCs/>
                <w:sz w:val="22"/>
                <w:szCs w:val="22"/>
              </w:rPr>
              <w:t>temporar și ocazional</w:t>
            </w:r>
            <w:r>
              <w:rPr>
                <w:rFonts w:ascii="Times New Roman" w:eastAsia="Times New Roman" w:hAnsi="Times New Roman" w:cs="Times New Roman"/>
                <w:sz w:val="22"/>
                <w:szCs w:val="22"/>
              </w:rPr>
              <w:t>, inclusiv în scop didactic. Cu toate acestea, noțiunile de „temporar” și „ocazional” nu sunt definite în mod clar, iar în lipsa unei delimitări explicite, norma rămâne vagă și susceptibilă de interpretări divergente.</w:t>
            </w:r>
          </w:p>
          <w:p w14:paraId="2F0F6C67" w14:textId="77777777" w:rsidR="001E4866" w:rsidRDefault="00000000">
            <w:pPr>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Confuzia este accentuată de faptul că, în cuprinsul alin. (8) al aceluiași articol, se prevede pentru o situație specifică (cetățeni ai statelor terțe și apatrizi care nu s-au stabilit în Republica Moldova) că activitatea profesională cu caracter temporar și ocazional este permisă pentru o durată de 3 luni, cu posibilitatea prelungirii pentru încă maximum 3 luni </w:t>
            </w:r>
            <w:r>
              <w:rPr>
                <w:rFonts w:ascii="Times New Roman" w:eastAsia="Times New Roman" w:hAnsi="Times New Roman" w:cs="Times New Roman"/>
                <w:sz w:val="22"/>
                <w:szCs w:val="22"/>
              </w:rPr>
              <w:lastRenderedPageBreak/>
              <w:t>pe an. Nu este însă clar dacă această limitare temporală se aplică exclusiv acestei categorii de persoane, sau dacă poate fi considerată, prin analogie, o regulă generală aplicabilă tuturor celor care exercită profesia „temporar și ocazional”.</w:t>
            </w:r>
          </w:p>
          <w:p w14:paraId="7DBE681B" w14:textId="77777777" w:rsidR="001E4866" w:rsidRDefault="00000000">
            <w:pPr>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În lipsa unei definiri unitare sau a unor criterii obiective (durată, frecvență, scop, caracterul prestatorului sau al serviciului), aplicarea acestor termeni va depinde în mod excesiv de interpretarea autorității competente, creând riscuri de aplicare inegală a legii și de nesiguranță juridică pentru persoanele vizate.</w:t>
            </w:r>
          </w:p>
        </w:tc>
        <w:tc>
          <w:tcPr>
            <w:tcW w:w="4635" w:type="dxa"/>
            <w:tcMar>
              <w:top w:w="0" w:type="dxa"/>
              <w:bottom w:w="0" w:type="dxa"/>
            </w:tcMar>
          </w:tcPr>
          <w:p w14:paraId="0CACD8F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Comentariu</w:t>
            </w:r>
          </w:p>
          <w:p w14:paraId="5E0C004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Termenii „temporar” și „ocazional” sunt utilizați în mod corespunzător în sensul consacrat de Directiva 2005/36/CE privind recunoașterea calificărilor profesionale, urmând ca delimitarea detaliată a criteriilor aplicabile (durata, frecvența, caracterul activității) să fie stabilită prin cadrul normativ secundar, potrivit dispozițiilor de punere în aplicare și principiului flexibilității reglementării aspectelor tehnice.</w:t>
            </w:r>
          </w:p>
          <w:p w14:paraId="0D7466E3"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situațiile în care activitatea profesională este permisă prin derogare de la regulile generale — inclusiv exercitarea profesiei de către cetățenii statelor terțe sau apatrizi — impun stabilirea expresă a termenului direct în lege, pentru a garanta claritatea regimului derogatoriu.</w:t>
            </w:r>
          </w:p>
          <w:p w14:paraId="459BCEEF"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Prin urmare, norma asigură un echilibru între cadrul general de aplicare a principiului liberei </w:t>
            </w:r>
            <w:r>
              <w:rPr>
                <w:rFonts w:ascii="Times New Roman" w:eastAsia="Times New Roman" w:hAnsi="Times New Roman" w:cs="Times New Roman"/>
                <w:sz w:val="22"/>
                <w:szCs w:val="22"/>
              </w:rPr>
              <w:lastRenderedPageBreak/>
              <w:t xml:space="preserve">prestări a serviciilor, care necesită reglementare flexibilă la nivel secundar, și stabilirea clară a limitelor temporale aplicabile situațiilor derogatorii, în vederea evitării oricăror confuzii în interpretare, pentru două categorii distincte - (i) cetățeni non-UE și (ii) cetățenii UE, SEE și Confederația Elvețiană. </w:t>
            </w:r>
          </w:p>
          <w:p w14:paraId="055E70B5" w14:textId="77777777" w:rsidR="001E4866" w:rsidRDefault="001E4866">
            <w:pPr>
              <w:ind w:firstLine="0"/>
              <w:rPr>
                <w:rFonts w:ascii="Times New Roman" w:eastAsia="Times New Roman" w:hAnsi="Times New Roman" w:cs="Times New Roman"/>
                <w:sz w:val="22"/>
                <w:szCs w:val="22"/>
              </w:rPr>
            </w:pPr>
          </w:p>
        </w:tc>
      </w:tr>
      <w:tr w:rsidR="001E4866" w14:paraId="7494F66B" w14:textId="77777777">
        <w:trPr>
          <w:trHeight w:val="1995"/>
        </w:trPr>
        <w:tc>
          <w:tcPr>
            <w:tcW w:w="1335" w:type="dxa"/>
            <w:vMerge/>
          </w:tcPr>
          <w:p w14:paraId="6244F9A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B29D3B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EAC8DE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1CCC3F51"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Adițional, considerăm oportună precizarea expresiei „în condițiile stabilirii în Republica Moldova” în sensul în care să fie clar că se are în vedere obținerea dreptului de ședere în conformitate cu </w:t>
            </w:r>
            <w:r>
              <w:rPr>
                <w:rFonts w:ascii="Times New Roman" w:eastAsia="Times New Roman" w:hAnsi="Times New Roman" w:cs="Times New Roman"/>
                <w:i/>
                <w:iCs/>
                <w:sz w:val="22"/>
                <w:szCs w:val="22"/>
              </w:rPr>
              <w:t xml:space="preserve">Legea nr. 200/2010 </w:t>
            </w:r>
            <w:r>
              <w:rPr>
                <w:rFonts w:ascii="Times New Roman" w:eastAsia="Times New Roman" w:hAnsi="Times New Roman" w:cs="Times New Roman"/>
                <w:sz w:val="22"/>
                <w:szCs w:val="22"/>
              </w:rPr>
              <w:t>(observație valabilă și pentru alte cazuri similare din proiect).</w:t>
            </w:r>
          </w:p>
        </w:tc>
        <w:tc>
          <w:tcPr>
            <w:tcW w:w="4635" w:type="dxa"/>
            <w:tcMar>
              <w:top w:w="0" w:type="dxa"/>
              <w:bottom w:w="0" w:type="dxa"/>
            </w:tcMar>
          </w:tcPr>
          <w:p w14:paraId="62A5D7F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0F5A50BC"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ajustat corespunzător, cu operarea redactării la Art. I, p.4 care vizează completarea Legii ocrotirii sănătății nr. 411/1995 cu art. 8</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alin. (2), alin. (8) și Art. III, p.5 care vizează completarea Legii nr. 552/2001 privind evaluarea și acreditarea în sănătate cu art. 122, alin. (5) </w:t>
            </w:r>
          </w:p>
          <w:p w14:paraId="16D7EC67" w14:textId="77777777" w:rsidR="001E4866" w:rsidRDefault="001E4866">
            <w:pPr>
              <w:ind w:firstLine="0"/>
              <w:rPr>
                <w:rFonts w:ascii="Times New Roman" w:eastAsia="Times New Roman" w:hAnsi="Times New Roman" w:cs="Times New Roman"/>
                <w:b/>
                <w:bCs/>
                <w:sz w:val="22"/>
                <w:szCs w:val="22"/>
              </w:rPr>
            </w:pPr>
          </w:p>
        </w:tc>
      </w:tr>
      <w:tr w:rsidR="001E4866" w14:paraId="0BA93B0D" w14:textId="77777777">
        <w:trPr>
          <w:trHeight w:val="1172"/>
        </w:trPr>
        <w:tc>
          <w:tcPr>
            <w:tcW w:w="1335" w:type="dxa"/>
            <w:vMerge/>
          </w:tcPr>
          <w:p w14:paraId="11BE604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4F7F815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6991DDB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1BF49486"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alin. (3) formularea „unul din aceste state” nu este corespunzătoare în context, motiv pentru care se va revizui.</w:t>
            </w:r>
          </w:p>
        </w:tc>
        <w:tc>
          <w:tcPr>
            <w:tcW w:w="4635" w:type="dxa"/>
            <w:tcMar>
              <w:top w:w="0" w:type="dxa"/>
              <w:bottom w:w="0" w:type="dxa"/>
            </w:tcMar>
          </w:tcPr>
          <w:p w14:paraId="10F28BA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43E38D1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Formularea „unul din aceste state” vizează în mod direct statele enumerate la art. 8 alin. (1) lit. b), pentru evitarea redundanței.</w:t>
            </w:r>
          </w:p>
        </w:tc>
      </w:tr>
      <w:tr w:rsidR="001E4866" w14:paraId="6136211A" w14:textId="77777777">
        <w:trPr>
          <w:trHeight w:val="1185"/>
        </w:trPr>
        <w:tc>
          <w:tcPr>
            <w:tcW w:w="1335" w:type="dxa"/>
            <w:vMerge/>
          </w:tcPr>
          <w:p w14:paraId="764B06F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3756EFC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1D3941B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3899F712"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Prevederile cuprinse la alin. (4) și (5) ridică o problemă de coerență juridică și claritate normativă în ceea ce privește raportul dintre notificare și recunoașterea automată a calificărilor profesionale. Pe de o parte, alin. (4) stabilește că, în cazul profesioniștilor stabiliți într-un stat membru al </w:t>
            </w:r>
            <w:r>
              <w:rPr>
                <w:rFonts w:ascii="Times New Roman" w:eastAsia="Times New Roman" w:hAnsi="Times New Roman" w:cs="Times New Roman"/>
                <w:sz w:val="22"/>
                <w:szCs w:val="22"/>
              </w:rPr>
              <w:lastRenderedPageBreak/>
              <w:t>Uniunii Europene, notificarea adresată Consiliului este suficientă pentru a obține dreptul de exercitare temporară și ocazională a activității în Republica Moldova, fără a fi necesară parcurgerea procedurii de certificare. Pe de altă parte, alin. (5) introduce o condiționare suplimentară, menționând că, în cazul în care titlul de calificare nu întrunește condițiile de recunoaștere automată, Consiliul poate dispune o verificare a calificărilor. Mai mult, la alin. (5) se menționează doar „pentru prima prestare de servicii”, pe când la alin. (4) nu este o condiție în acest sens.</w:t>
            </w:r>
          </w:p>
          <w:p w14:paraId="05A84A3B" w14:textId="77777777" w:rsidR="001E4866" w:rsidRDefault="00000000">
            <w:pPr>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Această succesiune normativă generează ambiguități importante. Nu este clar dacă persoana trebuie să notifice Consiliul independent de existența recunoașterii automate, sau dacă notificarea este permisă doar în cazul în care calificarea se încadrează în sistemul de recunoaștere automată reglementat de directivele europene. Mai mult, norma nu stabilește cine și când determină dacă o calificare se încadrează în categoria celor recunoscute automat.</w:t>
            </w:r>
          </w:p>
          <w:p w14:paraId="243460FF" w14:textId="77777777" w:rsidR="001E4866" w:rsidRDefault="00000000">
            <w:pPr>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Lipsa acestei delimitări creează riscul ca persoane ale căror calificări nu corespund standardelor armonizate să dobândească acces la exercitarea profesiei exclusiv prin notificare, fără o evaluare clară a compatibilității pregătirii lor profesionale cu cerințele sistemului din Republica Moldova. În același timp, se introduce o marjă largă de apreciere în favoarea Consiliului, care „poate” dispune </w:t>
            </w:r>
            <w:r>
              <w:rPr>
                <w:rFonts w:ascii="Times New Roman" w:eastAsia="Times New Roman" w:hAnsi="Times New Roman" w:cs="Times New Roman"/>
                <w:sz w:val="22"/>
                <w:szCs w:val="22"/>
              </w:rPr>
              <w:lastRenderedPageBreak/>
              <w:t>verificarea, fără a fi definit un criteriu obiectiv sau o obligație clară.</w:t>
            </w:r>
          </w:p>
        </w:tc>
        <w:tc>
          <w:tcPr>
            <w:tcW w:w="4635" w:type="dxa"/>
            <w:tcMar>
              <w:top w:w="0" w:type="dxa"/>
              <w:bottom w:w="0" w:type="dxa"/>
            </w:tcMar>
          </w:tcPr>
          <w:p w14:paraId="0879ECE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Comentariu</w:t>
            </w:r>
          </w:p>
          <w:p w14:paraId="4881503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Prevederile alin. (4) și (5) transpun dispozițiile art. 7 din Directiva 2005/36/CE privind recunoașterea calificărilor profesionale, potrivit cărora prestarea temporară și ocazională de servicii în domeniile reglementate cu impact asupra sănătății publice </w:t>
            </w:r>
            <w:r>
              <w:rPr>
                <w:rFonts w:ascii="Times New Roman" w:eastAsia="Times New Roman" w:hAnsi="Times New Roman" w:cs="Times New Roman"/>
                <w:sz w:val="22"/>
                <w:szCs w:val="22"/>
              </w:rPr>
              <w:lastRenderedPageBreak/>
              <w:t xml:space="preserve">poate face obiectul unei </w:t>
            </w:r>
            <w:r>
              <w:rPr>
                <w:rFonts w:ascii="Times New Roman" w:eastAsia="Times New Roman" w:hAnsi="Times New Roman" w:cs="Times New Roman"/>
                <w:b/>
                <w:bCs/>
                <w:sz w:val="22"/>
                <w:szCs w:val="22"/>
              </w:rPr>
              <w:t>notificări prealabile</w:t>
            </w:r>
            <w:r>
              <w:rPr>
                <w:rFonts w:ascii="Times New Roman" w:eastAsia="Times New Roman" w:hAnsi="Times New Roman" w:cs="Times New Roman"/>
                <w:sz w:val="22"/>
                <w:szCs w:val="22"/>
              </w:rPr>
              <w:t xml:space="preserve">, fără parcurgerea procedurii de certificare, cu condiția ca profesionistul să fie </w:t>
            </w:r>
            <w:r>
              <w:rPr>
                <w:rFonts w:ascii="Times New Roman" w:eastAsia="Times New Roman" w:hAnsi="Times New Roman" w:cs="Times New Roman"/>
                <w:b/>
                <w:bCs/>
                <w:sz w:val="22"/>
                <w:szCs w:val="22"/>
              </w:rPr>
              <w:t>stabilit legal într-un alt stat membru și să dețină o calificare profesională recunoscută în statul de stabilire</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fiind obligat să prezinte dovada acestor elemente în cadrul procedurii de notificare.</w:t>
            </w:r>
          </w:p>
          <w:p w14:paraId="23EE93EA"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Prevederile alin. (4) și (5) se aplică exclusiv profesioniștilor stabiliți legal într-un stat membru al Uniunii Europene, al Spațiului Economic European sau în Confederația Elvețiană, care prestează servicii în mod temporar și ocazional pe teritoriul Republicii Moldova. Această notificare este distinctă de regimul recunoașterii automate aplicabil stabilirii permanente și nu conferă un drept necondiționat de exercitare a profesiei, în afara cadrului reglementat de directivă.</w:t>
            </w:r>
          </w:p>
          <w:p w14:paraId="12AD3441" w14:textId="77777777" w:rsidR="001E4866" w:rsidRDefault="001E4866">
            <w:pPr>
              <w:ind w:firstLine="0"/>
              <w:rPr>
                <w:rFonts w:ascii="Times New Roman" w:eastAsia="Times New Roman" w:hAnsi="Times New Roman" w:cs="Times New Roman"/>
                <w:sz w:val="22"/>
                <w:szCs w:val="22"/>
              </w:rPr>
            </w:pPr>
          </w:p>
          <w:p w14:paraId="19BA569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Prin urmare, dispozițiile analizate sunt corelate cu regimul european al notificării și recunoașterii.</w:t>
            </w:r>
          </w:p>
          <w:p w14:paraId="1C98A271" w14:textId="77777777" w:rsidR="001E4866" w:rsidRDefault="001E4866">
            <w:pPr>
              <w:ind w:firstLine="0"/>
              <w:rPr>
                <w:rFonts w:ascii="Times New Roman" w:eastAsia="Times New Roman" w:hAnsi="Times New Roman" w:cs="Times New Roman"/>
                <w:sz w:val="22"/>
                <w:szCs w:val="22"/>
              </w:rPr>
            </w:pPr>
          </w:p>
          <w:p w14:paraId="269C9CB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au fost operate anumite clarificări redacționale a prevederilor la alin. (5), în vederea alinierii textului la dispozițiile art. 7 alin. (4) din Directiva 2005/36/CE.</w:t>
            </w:r>
          </w:p>
        </w:tc>
      </w:tr>
      <w:tr w:rsidR="001E4866" w14:paraId="0C8244D6" w14:textId="77777777">
        <w:trPr>
          <w:trHeight w:val="1185"/>
        </w:trPr>
        <w:tc>
          <w:tcPr>
            <w:tcW w:w="1335" w:type="dxa"/>
            <w:vMerge/>
          </w:tcPr>
          <w:p w14:paraId="74A0DAD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59F8D96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ABA0AB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0E3A8380"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alin. (8) este utilizată eronat sintagma „Prin excepție” și propunem substituirea acesteia cu sintagma „Prin derogare”. Concomitent, atragem atenția că derogarea, ca procedeu, reprezintă o </w:t>
            </w:r>
            <w:proofErr w:type="spellStart"/>
            <w:r>
              <w:rPr>
                <w:rFonts w:ascii="Times New Roman" w:eastAsia="Times New Roman" w:hAnsi="Times New Roman" w:cs="Times New Roman"/>
                <w:sz w:val="22"/>
                <w:szCs w:val="22"/>
              </w:rPr>
              <w:t>excepţie</w:t>
            </w:r>
            <w:proofErr w:type="spellEnd"/>
            <w:r>
              <w:rPr>
                <w:rFonts w:ascii="Times New Roman" w:eastAsia="Times New Roman" w:hAnsi="Times New Roman" w:cs="Times New Roman"/>
                <w:sz w:val="22"/>
                <w:szCs w:val="22"/>
              </w:rPr>
              <w:t xml:space="preserve"> de la </w:t>
            </w:r>
            <w:proofErr w:type="spellStart"/>
            <w:r>
              <w:rPr>
                <w:rFonts w:ascii="Times New Roman" w:eastAsia="Times New Roman" w:hAnsi="Times New Roman" w:cs="Times New Roman"/>
                <w:sz w:val="22"/>
                <w:szCs w:val="22"/>
              </w:rPr>
              <w:t>dispoziţiile</w:t>
            </w:r>
            <w:proofErr w:type="spellEnd"/>
            <w:r>
              <w:rPr>
                <w:rFonts w:ascii="Times New Roman" w:eastAsia="Times New Roman" w:hAnsi="Times New Roman" w:cs="Times New Roman"/>
                <w:sz w:val="22"/>
                <w:szCs w:val="22"/>
              </w:rPr>
              <w:t xml:space="preserve"> unui act normativ, care poate fi prevăzută în cuprinsul acestuia într-un alt act normativ de </w:t>
            </w:r>
            <w:proofErr w:type="spellStart"/>
            <w:r>
              <w:rPr>
                <w:rFonts w:ascii="Times New Roman" w:eastAsia="Times New Roman" w:hAnsi="Times New Roman" w:cs="Times New Roman"/>
                <w:sz w:val="22"/>
                <w:szCs w:val="22"/>
              </w:rPr>
              <w:t>acelaşi</w:t>
            </w:r>
            <w:proofErr w:type="spellEnd"/>
            <w:r>
              <w:rPr>
                <w:rFonts w:ascii="Times New Roman" w:eastAsia="Times New Roman" w:hAnsi="Times New Roman" w:cs="Times New Roman"/>
                <w:sz w:val="22"/>
                <w:szCs w:val="22"/>
              </w:rPr>
              <w:t xml:space="preserve"> nivel sau de nivel superior. Datorită caracterului său, derogarea este, de regulă, expresă </w:t>
            </w:r>
            <w:proofErr w:type="spellStart"/>
            <w:r>
              <w:rPr>
                <w:rFonts w:ascii="Times New Roman" w:eastAsia="Times New Roman" w:hAnsi="Times New Roman" w:cs="Times New Roman"/>
                <w:sz w:val="22"/>
                <w:szCs w:val="22"/>
              </w:rPr>
              <w:t>şi</w:t>
            </w:r>
            <w:proofErr w:type="spellEnd"/>
            <w:r>
              <w:rPr>
                <w:rFonts w:ascii="Times New Roman" w:eastAsia="Times New Roman" w:hAnsi="Times New Roman" w:cs="Times New Roman"/>
                <w:sz w:val="22"/>
                <w:szCs w:val="22"/>
              </w:rPr>
              <w:t xml:space="preserve"> este de strictă aplicare și nu poate fi extinsă prin interpretare. </w:t>
            </w:r>
          </w:p>
        </w:tc>
        <w:tc>
          <w:tcPr>
            <w:tcW w:w="4635" w:type="dxa"/>
            <w:tcMar>
              <w:top w:w="0" w:type="dxa"/>
              <w:bottom w:w="0" w:type="dxa"/>
            </w:tcMar>
          </w:tcPr>
          <w:p w14:paraId="75D377A0"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4CA122D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p w14:paraId="5CC1A921" w14:textId="77777777" w:rsidR="001E4866" w:rsidRDefault="001E4866">
            <w:pPr>
              <w:ind w:firstLine="0"/>
              <w:rPr>
                <w:rFonts w:ascii="Times New Roman" w:eastAsia="Times New Roman" w:hAnsi="Times New Roman" w:cs="Times New Roman"/>
                <w:sz w:val="22"/>
                <w:szCs w:val="22"/>
              </w:rPr>
            </w:pPr>
          </w:p>
        </w:tc>
      </w:tr>
      <w:tr w:rsidR="001E4866" w14:paraId="3508F544" w14:textId="77777777">
        <w:trPr>
          <w:trHeight w:val="1821"/>
        </w:trPr>
        <w:tc>
          <w:tcPr>
            <w:tcW w:w="1335" w:type="dxa"/>
            <w:vMerge/>
          </w:tcPr>
          <w:p w14:paraId="7C97842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5BB5D82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6A3175E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0684174D"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Alin. (9) al art. 8</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se va reformula deoarece este formulat ambiguu, se utilizează expresii imprecise și lipsite de claritate care pot crea confuzie în aplicare, contrar art. 54 din </w:t>
            </w:r>
            <w:r>
              <w:rPr>
                <w:rFonts w:ascii="Times New Roman" w:eastAsia="Times New Roman" w:hAnsi="Times New Roman" w:cs="Times New Roman"/>
                <w:i/>
                <w:iCs/>
                <w:sz w:val="22"/>
                <w:szCs w:val="22"/>
              </w:rPr>
              <w:t>Legea nr. 100/2017 cu privire la actele normative.</w:t>
            </w:r>
          </w:p>
        </w:tc>
        <w:tc>
          <w:tcPr>
            <w:tcW w:w="4635" w:type="dxa"/>
            <w:tcMar>
              <w:top w:w="0" w:type="dxa"/>
              <w:bottom w:w="0" w:type="dxa"/>
            </w:tcMar>
          </w:tcPr>
          <w:p w14:paraId="147EA14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58FE7630"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4E3AB6D1" w14:textId="77777777">
        <w:trPr>
          <w:trHeight w:val="1185"/>
        </w:trPr>
        <w:tc>
          <w:tcPr>
            <w:tcW w:w="1335" w:type="dxa"/>
            <w:vMerge/>
          </w:tcPr>
          <w:p w14:paraId="33B605C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69084F2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7ED0626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1B5CEDB4" w14:textId="77777777" w:rsidR="001E4866" w:rsidRDefault="00000000">
            <w:pPr>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pct. 5, potrivit art. 9 alin. (3) din proiectul legii, „Persoanele care s-au aflat în situații </w:t>
            </w:r>
            <w:r>
              <w:rPr>
                <w:rFonts w:ascii="Times New Roman" w:eastAsia="Times New Roman" w:hAnsi="Times New Roman" w:cs="Times New Roman"/>
                <w:sz w:val="22"/>
                <w:szCs w:val="22"/>
                <w:u w:val="single"/>
              </w:rPr>
              <w:t>de incompatibilitate sau restricții</w:t>
            </w:r>
            <w:r>
              <w:rPr>
                <w:rFonts w:ascii="Times New Roman" w:eastAsia="Times New Roman" w:hAnsi="Times New Roman" w:cs="Times New Roman"/>
                <w:sz w:val="22"/>
                <w:szCs w:val="22"/>
              </w:rPr>
              <w:t xml:space="preserve">, confirmate în modul stabilit de lege, sau care nu au exercitat profesiunea în specialitatea stabilita de titlul de calificare mai mult de 3 ani </w:t>
            </w:r>
            <w:proofErr w:type="spellStart"/>
            <w:r>
              <w:rPr>
                <w:rFonts w:ascii="Times New Roman" w:eastAsia="Times New Roman" w:hAnsi="Times New Roman" w:cs="Times New Roman"/>
                <w:sz w:val="22"/>
                <w:szCs w:val="22"/>
              </w:rPr>
              <w:t>şi</w:t>
            </w:r>
            <w:proofErr w:type="spellEnd"/>
            <w:r>
              <w:rPr>
                <w:rFonts w:ascii="Times New Roman" w:eastAsia="Times New Roman" w:hAnsi="Times New Roman" w:cs="Times New Roman"/>
                <w:sz w:val="22"/>
                <w:szCs w:val="22"/>
              </w:rPr>
              <w:t xml:space="preserve"> care doresc să o exercite </w:t>
            </w:r>
            <w:r>
              <w:rPr>
                <w:rFonts w:ascii="Times New Roman" w:eastAsia="Times New Roman" w:hAnsi="Times New Roman" w:cs="Times New Roman"/>
                <w:sz w:val="22"/>
                <w:szCs w:val="22"/>
                <w:u w:val="single"/>
              </w:rPr>
              <w:t>sunt obligați sa promoveze procedura de certificare extraordinară</w:t>
            </w:r>
            <w:r>
              <w:rPr>
                <w:rFonts w:ascii="Times New Roman" w:eastAsia="Times New Roman" w:hAnsi="Times New Roman" w:cs="Times New Roman"/>
                <w:sz w:val="22"/>
                <w:szCs w:val="22"/>
              </w:rPr>
              <w:t xml:space="preserve"> în vederea reluării activității profesionale”. Nu este clar cum ar putea fi aplicată norma privind reluarea </w:t>
            </w:r>
            <w:r>
              <w:rPr>
                <w:rFonts w:ascii="Times New Roman" w:eastAsia="Times New Roman" w:hAnsi="Times New Roman" w:cs="Times New Roman"/>
                <w:sz w:val="22"/>
                <w:szCs w:val="22"/>
              </w:rPr>
              <w:lastRenderedPageBreak/>
              <w:t xml:space="preserve">activității profesionale după susținerea procedurii de certificare extraordinară în privința persoanei care nu întrunește condițiile prevăzute la art. 4 din </w:t>
            </w:r>
            <w:r>
              <w:rPr>
                <w:rFonts w:ascii="Times New Roman" w:eastAsia="Times New Roman" w:hAnsi="Times New Roman" w:cs="Times New Roman"/>
                <w:i/>
                <w:iCs/>
                <w:sz w:val="22"/>
                <w:szCs w:val="22"/>
              </w:rPr>
              <w:t>Legea nr. 264/2005 cu privire la exercitarea profesiunii de medic</w:t>
            </w:r>
            <w:r>
              <w:rPr>
                <w:rFonts w:ascii="Times New Roman" w:eastAsia="Times New Roman" w:hAnsi="Times New Roman" w:cs="Times New Roman"/>
                <w:sz w:val="22"/>
                <w:szCs w:val="22"/>
              </w:rPr>
              <w:t xml:space="preserve"> (în redacția amendamentului indicat la art. II pct. 3 din proiect). </w:t>
            </w:r>
          </w:p>
        </w:tc>
        <w:tc>
          <w:tcPr>
            <w:tcW w:w="4635" w:type="dxa"/>
            <w:tcMar>
              <w:top w:w="0" w:type="dxa"/>
              <w:bottom w:w="0" w:type="dxa"/>
            </w:tcMar>
          </w:tcPr>
          <w:p w14:paraId="5717E0D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Comentariu</w:t>
            </w:r>
          </w:p>
          <w:p w14:paraId="4A1978C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Norma privind procedura de certificare extraordinară prevăzută la art. 9 alin. (3) din proiect se aplică exclusiv persoanelor care au soluționat în mod definitiv situațiile care au determinat restricția sau incompatibilitatea. Condițiile prevăzute la art. 4 din Legea nr. 264/2005 rămân condiții cumulative și obligatorii, inclusiv cerința ca persoana să nu se afle la data solicitării sub incidența restricțiilor și </w:t>
            </w:r>
            <w:r>
              <w:rPr>
                <w:rFonts w:ascii="Times New Roman" w:eastAsia="Times New Roman" w:hAnsi="Times New Roman" w:cs="Times New Roman"/>
                <w:sz w:val="22"/>
                <w:szCs w:val="22"/>
              </w:rPr>
              <w:lastRenderedPageBreak/>
              <w:t>incompatibilităților prevăzute de lege. Doar persoanele care îndeplinesc aceste condiții legale pot solicita inițierea procedurii de certificare extraordinară în vederea reluării activității profesionale.</w:t>
            </w:r>
          </w:p>
        </w:tc>
      </w:tr>
      <w:tr w:rsidR="001E4866" w14:paraId="743A5719" w14:textId="77777777">
        <w:trPr>
          <w:trHeight w:val="1596"/>
        </w:trPr>
        <w:tc>
          <w:tcPr>
            <w:tcW w:w="1335" w:type="dxa"/>
            <w:vMerge/>
          </w:tcPr>
          <w:p w14:paraId="3D8451E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84807C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1E5F41D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476DF288" w14:textId="77777777" w:rsidR="001E4866" w:rsidRDefault="00000000">
            <w:pPr>
              <w:spacing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16</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w:t>
            </w:r>
          </w:p>
          <w:p w14:paraId="5FFE16EF"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alin. (3) nu este clară prevederea, precum și autoritatea avută în vedere, motiv pentru care se va reanaliza.</w:t>
            </w:r>
          </w:p>
        </w:tc>
        <w:tc>
          <w:tcPr>
            <w:tcW w:w="4635" w:type="dxa"/>
            <w:tcMar>
              <w:top w:w="0" w:type="dxa"/>
              <w:bottom w:w="0" w:type="dxa"/>
            </w:tcMar>
          </w:tcPr>
          <w:p w14:paraId="31C2AC4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14574D3A"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588AC9C3" w14:textId="77777777">
        <w:trPr>
          <w:trHeight w:val="3750"/>
        </w:trPr>
        <w:tc>
          <w:tcPr>
            <w:tcW w:w="1335" w:type="dxa"/>
            <w:vMerge/>
          </w:tcPr>
          <w:p w14:paraId="7D2C60A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2A84C93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43277DF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5D188821"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16</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w:t>
            </w:r>
          </w:p>
          <w:p w14:paraId="112B4F8E" w14:textId="77777777" w:rsidR="001E4866" w:rsidRDefault="00000000">
            <w:pPr>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alin. (6) formularea referitoare la reglementarea procedurilor privind actele permisive în domeniul sănătății, este lipsită de claritate și precizie juridică. Textul prevede că „procedurile, condițiile și cerințele privind solicitarea, eliberarea, prelungirea, suspendarea, reperfectarea și retragerea actelor permisive în domeniul sănătății se stabilesc prin legi speciale sau se aprobă de Guvern”, fără a face o delimitare clară între cele două categorii de reglementări.</w:t>
            </w:r>
          </w:p>
        </w:tc>
        <w:tc>
          <w:tcPr>
            <w:tcW w:w="4635" w:type="dxa"/>
            <w:tcMar>
              <w:top w:w="0" w:type="dxa"/>
              <w:bottom w:w="0" w:type="dxa"/>
            </w:tcMar>
          </w:tcPr>
          <w:p w14:paraId="4597ADD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6F4CDD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redactat corespunzător.</w:t>
            </w:r>
          </w:p>
        </w:tc>
      </w:tr>
      <w:tr w:rsidR="001E4866" w14:paraId="63A74CEE" w14:textId="77777777">
        <w:trPr>
          <w:trHeight w:val="1185"/>
        </w:trPr>
        <w:tc>
          <w:tcPr>
            <w:tcW w:w="1335" w:type="dxa"/>
            <w:vMerge/>
          </w:tcPr>
          <w:p w14:paraId="5F6B314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2E4F53A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449111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7221C758"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art. III, pct. 1, cu referire la modificarea propusă pentru clauza de adoptare, recomandăm expunerea în redacție nouă a clauzei. </w:t>
            </w:r>
          </w:p>
        </w:tc>
        <w:tc>
          <w:tcPr>
            <w:tcW w:w="4635" w:type="dxa"/>
            <w:tcMar>
              <w:top w:w="0" w:type="dxa"/>
              <w:bottom w:w="0" w:type="dxa"/>
            </w:tcMar>
          </w:tcPr>
          <w:p w14:paraId="14E95DF4"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57C60B2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74A8FD8C" w14:textId="77777777">
        <w:trPr>
          <w:trHeight w:val="1217"/>
        </w:trPr>
        <w:tc>
          <w:tcPr>
            <w:tcW w:w="1335" w:type="dxa"/>
            <w:vMerge/>
          </w:tcPr>
          <w:p w14:paraId="243F3E4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2944C7E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4EB6369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3F595636"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pct. 3 nu poate fi efectuată o trimitere directă la Directiva UE, aceasta urmând a fi transpusă în legislația națională.</w:t>
            </w:r>
          </w:p>
        </w:tc>
        <w:tc>
          <w:tcPr>
            <w:tcW w:w="4635" w:type="dxa"/>
            <w:tcMar>
              <w:top w:w="0" w:type="dxa"/>
              <w:bottom w:w="0" w:type="dxa"/>
            </w:tcMar>
          </w:tcPr>
          <w:p w14:paraId="614D2C2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8A3F2DD"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 cu excluderea trimiterii directe la Directiva UE.</w:t>
            </w:r>
          </w:p>
        </w:tc>
      </w:tr>
      <w:tr w:rsidR="001E4866" w14:paraId="09FBD3E4" w14:textId="77777777">
        <w:trPr>
          <w:trHeight w:val="1397"/>
        </w:trPr>
        <w:tc>
          <w:tcPr>
            <w:tcW w:w="1335" w:type="dxa"/>
            <w:vMerge/>
          </w:tcPr>
          <w:p w14:paraId="1213C7F7"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1BEB1BF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259D507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1F23B3E1"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pct. 6, ce vizează alin. (5) al art. 12</w:t>
            </w:r>
            <w:r>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se propune corelarea acestuia cu textul art. 9 alin. (3) propus pentru </w:t>
            </w:r>
            <w:r>
              <w:rPr>
                <w:rFonts w:ascii="Times New Roman" w:eastAsia="Times New Roman" w:hAnsi="Times New Roman" w:cs="Times New Roman"/>
                <w:i/>
                <w:iCs/>
                <w:sz w:val="22"/>
                <w:szCs w:val="22"/>
              </w:rPr>
              <w:t>Legea nr. 411/1995</w:t>
            </w:r>
            <w:r>
              <w:rPr>
                <w:rFonts w:ascii="Times New Roman" w:eastAsia="Times New Roman" w:hAnsi="Times New Roman" w:cs="Times New Roman"/>
                <w:sz w:val="22"/>
                <w:szCs w:val="22"/>
              </w:rPr>
              <w:t xml:space="preserve"> (art. I, pct. 5 din proiectul de lege).</w:t>
            </w:r>
          </w:p>
        </w:tc>
        <w:tc>
          <w:tcPr>
            <w:tcW w:w="4635" w:type="dxa"/>
            <w:tcMar>
              <w:top w:w="0" w:type="dxa"/>
              <w:bottom w:w="0" w:type="dxa"/>
            </w:tcMar>
          </w:tcPr>
          <w:p w14:paraId="37B8746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3A55D5E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4781EB51" w14:textId="77777777">
        <w:trPr>
          <w:trHeight w:val="1155"/>
        </w:trPr>
        <w:tc>
          <w:tcPr>
            <w:tcW w:w="1335" w:type="dxa"/>
            <w:vMerge/>
          </w:tcPr>
          <w:p w14:paraId="1CFC848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1E76144E"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32F5AA3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158FA419"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12</w:t>
            </w:r>
            <w:r>
              <w:rPr>
                <w:rFonts w:ascii="Times New Roman" w:eastAsia="Times New Roman" w:hAnsi="Times New Roman" w:cs="Times New Roman"/>
                <w:sz w:val="22"/>
                <w:szCs w:val="22"/>
                <w:vertAlign w:val="superscript"/>
              </w:rPr>
              <w:t>2</w:t>
            </w:r>
            <w:r>
              <w:rPr>
                <w:rFonts w:ascii="Times New Roman" w:eastAsia="Times New Roman" w:hAnsi="Times New Roman" w:cs="Times New Roman"/>
                <w:sz w:val="22"/>
                <w:szCs w:val="22"/>
              </w:rPr>
              <w:t xml:space="preserve"> alin. (2) lit. b), nu este clar la care cerințe aprobate se referă autorul și, totodată, opinăm asupra detalierii actelor necesare ce se conțin în dosar. </w:t>
            </w:r>
          </w:p>
        </w:tc>
        <w:tc>
          <w:tcPr>
            <w:tcW w:w="4635" w:type="dxa"/>
            <w:tcMar>
              <w:top w:w="0" w:type="dxa"/>
              <w:bottom w:w="0" w:type="dxa"/>
            </w:tcMar>
          </w:tcPr>
          <w:p w14:paraId="42971BB0" w14:textId="77777777" w:rsidR="001E4866" w:rsidRDefault="00000000">
            <w:pPr>
              <w:ind w:firstLine="0"/>
              <w:rPr>
                <w:rFonts w:ascii="Times New Roman" w:eastAsia="Times New Roman" w:hAnsi="Times New Roman" w:cs="Times New Roman"/>
                <w:b/>
                <w:bCs/>
                <w:sz w:val="22"/>
                <w:szCs w:val="22"/>
              </w:rPr>
            </w:pPr>
            <w:proofErr w:type="spellStart"/>
            <w:r>
              <w:rPr>
                <w:rFonts w:ascii="Times New Roman" w:eastAsia="Times New Roman" w:hAnsi="Times New Roman" w:cs="Times New Roman"/>
                <w:b/>
                <w:bCs/>
                <w:sz w:val="22"/>
                <w:szCs w:val="22"/>
              </w:rPr>
              <w:t>Comentairu</w:t>
            </w:r>
            <w:proofErr w:type="spellEnd"/>
          </w:p>
          <w:p w14:paraId="3A0E092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Cerințele aprobate menționate la alin. (2) lit. b) se referă la actele și condițiile tehnice stabilite prin hotărârea Guvernului, conform dispozițiilor alin. (1), care reglementează etapele, procedura și conținutul dosarului de certificare. Detalierea tipurilor de documente necesare va fi efectuată prin actul normativ subsecvent de punere în aplicare, pentru a asigura flexibilitate și actualizarea periodică a cerințelor administrative, în conformitate cu principiile de tehnică legislativă.</w:t>
            </w:r>
          </w:p>
        </w:tc>
      </w:tr>
      <w:tr w:rsidR="001E4866" w14:paraId="568C1875" w14:textId="77777777">
        <w:trPr>
          <w:trHeight w:val="1995"/>
        </w:trPr>
        <w:tc>
          <w:tcPr>
            <w:tcW w:w="1335" w:type="dxa"/>
            <w:vMerge/>
          </w:tcPr>
          <w:p w14:paraId="5E2D6D9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0FD1708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70D5BF0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530D87C4"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alin. (6), cu referire la îmbinarea de cuvinte „dintr-un motiv special și excepțional” se va substitui cu normele ce face trimitere la cazurile în care persoanele, prevăzute la art. 8 alin. (1) lit. b) și c) din </w:t>
            </w:r>
            <w:r>
              <w:rPr>
                <w:rFonts w:ascii="Times New Roman" w:eastAsia="Times New Roman" w:hAnsi="Times New Roman" w:cs="Times New Roman"/>
                <w:i/>
                <w:iCs/>
                <w:sz w:val="22"/>
                <w:szCs w:val="22"/>
              </w:rPr>
              <w:t>Legea nr. 411/1995</w:t>
            </w:r>
            <w:r>
              <w:rPr>
                <w:rFonts w:ascii="Times New Roman" w:eastAsia="Times New Roman" w:hAnsi="Times New Roman" w:cs="Times New Roman"/>
                <w:sz w:val="22"/>
                <w:szCs w:val="22"/>
              </w:rPr>
              <w:t>, vor fi supuse procedurii generale de recunoaștere a calificărilor profesionale.</w:t>
            </w:r>
          </w:p>
        </w:tc>
        <w:tc>
          <w:tcPr>
            <w:tcW w:w="4635" w:type="dxa"/>
            <w:tcMar>
              <w:top w:w="0" w:type="dxa"/>
              <w:bottom w:w="0" w:type="dxa"/>
            </w:tcMar>
          </w:tcPr>
          <w:p w14:paraId="491E5487"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2B9D8F3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12E8CEB7" w14:textId="77777777">
        <w:trPr>
          <w:trHeight w:val="1112"/>
        </w:trPr>
        <w:tc>
          <w:tcPr>
            <w:tcW w:w="1335" w:type="dxa"/>
            <w:vMerge/>
          </w:tcPr>
          <w:p w14:paraId="5793146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40835DD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0AB4869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4A9CBF4D"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12</w:t>
            </w:r>
            <w:r>
              <w:rPr>
                <w:rFonts w:ascii="Times New Roman" w:eastAsia="Times New Roman" w:hAnsi="Times New Roman" w:cs="Times New Roman"/>
                <w:sz w:val="22"/>
                <w:szCs w:val="22"/>
                <w:vertAlign w:val="superscript"/>
              </w:rPr>
              <w:t>4</w:t>
            </w:r>
            <w:r>
              <w:rPr>
                <w:rFonts w:ascii="Times New Roman" w:eastAsia="Times New Roman" w:hAnsi="Times New Roman" w:cs="Times New Roman"/>
                <w:sz w:val="22"/>
                <w:szCs w:val="22"/>
              </w:rPr>
              <w:t xml:space="preserve"> lit. d) nu este clar la ce se referă expresia „repetării abaterii” – în ce perioadă de timp se va considera abaterea ca fiind repetată.</w:t>
            </w:r>
          </w:p>
        </w:tc>
        <w:tc>
          <w:tcPr>
            <w:tcW w:w="4635" w:type="dxa"/>
            <w:tcMar>
              <w:top w:w="0" w:type="dxa"/>
              <w:bottom w:w="0" w:type="dxa"/>
            </w:tcMar>
          </w:tcPr>
          <w:p w14:paraId="7A63C26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602552D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Expresia „repetării abaterii” se interpretează în sensul că orice săvârșire ulterioară a aceleiași abateri care a determinat suspendarea cardului profesional constituie abatere repetată, indiferent de intervalul de timp scurs de la prima faptă, întrucât norma nu stabilește o limitare temporală.</w:t>
            </w:r>
          </w:p>
        </w:tc>
      </w:tr>
      <w:tr w:rsidR="001E4866" w14:paraId="2D39751D" w14:textId="77777777">
        <w:trPr>
          <w:trHeight w:val="2510"/>
        </w:trPr>
        <w:tc>
          <w:tcPr>
            <w:tcW w:w="1335" w:type="dxa"/>
            <w:vMerge/>
          </w:tcPr>
          <w:p w14:paraId="084F019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59FC15A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36D6A84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640300D0"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Din cuprinsul alin. (2) al art. 12</w:t>
            </w:r>
            <w:r>
              <w:rPr>
                <w:rFonts w:ascii="Times New Roman" w:eastAsia="Times New Roman" w:hAnsi="Times New Roman" w:cs="Times New Roman"/>
                <w:sz w:val="22"/>
                <w:szCs w:val="22"/>
                <w:vertAlign w:val="superscript"/>
              </w:rPr>
              <w:t xml:space="preserve">6 </w:t>
            </w:r>
            <w:r>
              <w:rPr>
                <w:rFonts w:ascii="Times New Roman" w:eastAsia="Times New Roman" w:hAnsi="Times New Roman" w:cs="Times New Roman"/>
                <w:sz w:val="22"/>
                <w:szCs w:val="22"/>
              </w:rPr>
              <w:t>textul „ , de la data aderării Republicii Moldova la Uniunea Europeană” se va exclude, având în vedere prevederile art. IV, alineatul doi ce prevede intrarea în vigoare a art. 12</w:t>
            </w:r>
            <w:r>
              <w:rPr>
                <w:rFonts w:ascii="Times New Roman" w:eastAsia="Times New Roman" w:hAnsi="Times New Roman" w:cs="Times New Roman"/>
                <w:sz w:val="22"/>
                <w:szCs w:val="22"/>
                <w:vertAlign w:val="superscript"/>
              </w:rPr>
              <w:t xml:space="preserve">6 </w:t>
            </w:r>
            <w:r>
              <w:rPr>
                <w:rFonts w:ascii="Times New Roman" w:eastAsia="Times New Roman" w:hAnsi="Times New Roman" w:cs="Times New Roman"/>
                <w:sz w:val="22"/>
                <w:szCs w:val="22"/>
              </w:rPr>
              <w:t>la data aderării Republicii Moldova la Uniunea Europeană. Complementar, în cuprinsul art. IV menționat anterior, cifra „5„” se va substitui cu cifra „6”.</w:t>
            </w:r>
          </w:p>
        </w:tc>
        <w:tc>
          <w:tcPr>
            <w:tcW w:w="4635" w:type="dxa"/>
            <w:tcMar>
              <w:top w:w="0" w:type="dxa"/>
              <w:bottom w:w="0" w:type="dxa"/>
            </w:tcMar>
          </w:tcPr>
          <w:p w14:paraId="624314E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4286175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a fost redactat corespunzător.</w:t>
            </w:r>
          </w:p>
        </w:tc>
      </w:tr>
      <w:tr w:rsidR="001E4866" w14:paraId="2A747688" w14:textId="77777777">
        <w:trPr>
          <w:trHeight w:val="1590"/>
        </w:trPr>
        <w:tc>
          <w:tcPr>
            <w:tcW w:w="1335" w:type="dxa"/>
            <w:vMerge w:val="restart"/>
          </w:tcPr>
          <w:p w14:paraId="104EA896"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10.</w:t>
            </w:r>
          </w:p>
        </w:tc>
        <w:tc>
          <w:tcPr>
            <w:tcW w:w="1905" w:type="dxa"/>
            <w:vMerge w:val="restart"/>
            <w:tcMar>
              <w:top w:w="0" w:type="dxa"/>
              <w:bottom w:w="0" w:type="dxa"/>
            </w:tcMar>
          </w:tcPr>
          <w:p w14:paraId="34A64E2C"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Centrul Național Anticorupție</w:t>
            </w:r>
          </w:p>
        </w:tc>
        <w:tc>
          <w:tcPr>
            <w:tcW w:w="1575" w:type="dxa"/>
            <w:vMerge w:val="restart"/>
            <w:tcMar>
              <w:top w:w="0" w:type="dxa"/>
              <w:bottom w:w="0" w:type="dxa"/>
            </w:tcMar>
          </w:tcPr>
          <w:p w14:paraId="6B11B2FE" w14:textId="77777777" w:rsidR="001E4866" w:rsidRDefault="00000000">
            <w:pPr>
              <w:pBdr>
                <w:top w:val="none" w:sz="0" w:space="0" w:color="000000"/>
                <w:left w:val="none" w:sz="0" w:space="0" w:color="000000"/>
                <w:bottom w:val="none" w:sz="0" w:space="0" w:color="000000"/>
                <w:right w:val="none" w:sz="0" w:space="0" w:color="000000"/>
              </w:pBdr>
              <w:spacing w:line="276" w:lineRule="auto"/>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Aviz nr. ELO25/10692 din 27.06.2025 </w:t>
            </w:r>
          </w:p>
        </w:tc>
        <w:tc>
          <w:tcPr>
            <w:tcW w:w="4785" w:type="dxa"/>
            <w:tcMar>
              <w:top w:w="0" w:type="dxa"/>
              <w:bottom w:w="0" w:type="dxa"/>
            </w:tcMar>
          </w:tcPr>
          <w:p w14:paraId="210C9F47"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Art. I pct. 3</w:t>
            </w:r>
            <w:r>
              <w:rPr>
                <w:rFonts w:ascii="Times New Roman" w:eastAsia="Times New Roman" w:hAnsi="Times New Roman" w:cs="Times New Roman"/>
                <w:sz w:val="22"/>
                <w:szCs w:val="22"/>
              </w:rPr>
              <w:t xml:space="preserve"> (art. 8 alin. (5) din Legea nr. 411/1995). Reconsiderarea redacției propuse a prevederilor art.8 alin.(5) al Legii nr.411/1995 prin prisma art.214 Cod Penal nr.985/2002 și art.77 Codului Contravențional nr. 218/2008. </w:t>
            </w:r>
          </w:p>
        </w:tc>
        <w:tc>
          <w:tcPr>
            <w:tcW w:w="4635" w:type="dxa"/>
            <w:tcMar>
              <w:top w:w="0" w:type="dxa"/>
              <w:bottom w:w="0" w:type="dxa"/>
            </w:tcMar>
          </w:tcPr>
          <w:p w14:paraId="7C473AEF"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53ACE25A"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ajustat (prin excluderea art. 8 alin. (5) din Legea nr. 411/1995), pentru a nu admite concurența normelor de drept.</w:t>
            </w:r>
          </w:p>
        </w:tc>
      </w:tr>
      <w:tr w:rsidR="001E4866" w14:paraId="7E1D85AD" w14:textId="77777777">
        <w:trPr>
          <w:trHeight w:val="1590"/>
        </w:trPr>
        <w:tc>
          <w:tcPr>
            <w:tcW w:w="1335" w:type="dxa"/>
            <w:vMerge/>
          </w:tcPr>
          <w:p w14:paraId="50F3FF1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3B8E24B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5722867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628E9B10"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Art. I pct. 4</w:t>
            </w:r>
            <w:r>
              <w:rPr>
                <w:rFonts w:ascii="Times New Roman" w:eastAsia="Times New Roman" w:hAnsi="Times New Roman" w:cs="Times New Roman"/>
                <w:sz w:val="22"/>
                <w:szCs w:val="22"/>
              </w:rPr>
              <w:t xml:space="preserve"> (art. 8¹ alin. (4) din Legea nr. 411/1995)  și </w:t>
            </w:r>
            <w:r>
              <w:rPr>
                <w:rFonts w:ascii="Times New Roman" w:eastAsia="Times New Roman" w:hAnsi="Times New Roman" w:cs="Times New Roman"/>
                <w:b/>
                <w:bCs/>
                <w:sz w:val="22"/>
                <w:szCs w:val="22"/>
              </w:rPr>
              <w:t>art. III pct. 6</w:t>
            </w:r>
            <w:r>
              <w:rPr>
                <w:rFonts w:ascii="Times New Roman" w:eastAsia="Times New Roman" w:hAnsi="Times New Roman" w:cs="Times New Roman"/>
                <w:sz w:val="22"/>
                <w:szCs w:val="22"/>
              </w:rPr>
              <w:t xml:space="preserve"> (art. 12⁴ alin. (1) lit. b) din Legea nr. 552/2001)</w:t>
            </w:r>
          </w:p>
          <w:p w14:paraId="13DFA85B"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Reconsiderarea expresiei ”în modul stabilit” și </w:t>
            </w:r>
            <w:proofErr w:type="spellStart"/>
            <w:r>
              <w:rPr>
                <w:rFonts w:ascii="Times New Roman" w:eastAsia="Times New Roman" w:hAnsi="Times New Roman" w:cs="Times New Roman"/>
                <w:sz w:val="22"/>
                <w:szCs w:val="22"/>
              </w:rPr>
              <w:t>substiuirea</w:t>
            </w:r>
            <w:proofErr w:type="spellEnd"/>
            <w:r>
              <w:rPr>
                <w:rFonts w:ascii="Times New Roman" w:eastAsia="Times New Roman" w:hAnsi="Times New Roman" w:cs="Times New Roman"/>
                <w:sz w:val="22"/>
                <w:szCs w:val="22"/>
              </w:rPr>
              <w:t xml:space="preserve"> acesteia cu o normă de trimitere la cadrul normativ concret aplicabil în context.</w:t>
            </w:r>
          </w:p>
        </w:tc>
        <w:tc>
          <w:tcPr>
            <w:tcW w:w="4635" w:type="dxa"/>
            <w:tcMar>
              <w:top w:w="0" w:type="dxa"/>
              <w:bottom w:w="0" w:type="dxa"/>
            </w:tcMar>
          </w:tcPr>
          <w:p w14:paraId="064A61FC"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6E9DB97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au în vedere actele normative secundare care urmează a fi elaborate în baza prezentei legi, conform prevederilor art. IV din proiect, prin care Guvernul și autoritățile competente vor adopta regulamentele de punere în aplicare. </w:t>
            </w:r>
          </w:p>
          <w:p w14:paraId="33E1F269" w14:textId="77777777" w:rsidR="001E4866" w:rsidRDefault="001E4866">
            <w:pPr>
              <w:ind w:firstLine="0"/>
              <w:rPr>
                <w:rFonts w:ascii="Times New Roman" w:eastAsia="Times New Roman" w:hAnsi="Times New Roman" w:cs="Times New Roman"/>
                <w:b/>
                <w:bCs/>
                <w:sz w:val="22"/>
                <w:szCs w:val="22"/>
              </w:rPr>
            </w:pPr>
          </w:p>
        </w:tc>
      </w:tr>
      <w:tr w:rsidR="001E4866" w14:paraId="004E4D0D" w14:textId="77777777">
        <w:trPr>
          <w:trHeight w:val="1590"/>
        </w:trPr>
        <w:tc>
          <w:tcPr>
            <w:tcW w:w="1335" w:type="dxa"/>
            <w:vMerge/>
          </w:tcPr>
          <w:p w14:paraId="4D9E2E6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4866859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201F2AAD"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66B4F341"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Art. I pct. 4</w:t>
            </w:r>
            <w:r>
              <w:rPr>
                <w:rFonts w:ascii="Times New Roman" w:eastAsia="Times New Roman" w:hAnsi="Times New Roman" w:cs="Times New Roman"/>
                <w:sz w:val="22"/>
                <w:szCs w:val="22"/>
              </w:rPr>
              <w:t xml:space="preserve"> (art. 8¹ alin. (5) din Legea nr. 411/1995). Reconsiderarea formulei permisive de reglementare a activității agentului public ”poate”. În circumstanța în care autorul vizează 2 ipoteze distincte, se impune reglementarea exhaustivă a circumstanțelor în care în mod indispensabil este dispusă verificarea calificării profesionale. </w:t>
            </w:r>
          </w:p>
        </w:tc>
        <w:tc>
          <w:tcPr>
            <w:tcW w:w="4635" w:type="dxa"/>
            <w:tcMar>
              <w:top w:w="0" w:type="dxa"/>
              <w:bottom w:w="0" w:type="dxa"/>
            </w:tcMar>
          </w:tcPr>
          <w:p w14:paraId="46E4FE99"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5A08025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 corespunzător, cu excluderea formulei permisive ”poate”.</w:t>
            </w:r>
          </w:p>
        </w:tc>
      </w:tr>
      <w:tr w:rsidR="001E4866" w14:paraId="79E7021D" w14:textId="77777777">
        <w:trPr>
          <w:trHeight w:val="1590"/>
        </w:trPr>
        <w:tc>
          <w:tcPr>
            <w:tcW w:w="1335" w:type="dxa"/>
            <w:vMerge/>
          </w:tcPr>
          <w:p w14:paraId="56EE9ADA"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1AB780B4"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0CD143A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531CEB01"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Art. I pct. 4</w:t>
            </w:r>
            <w:r>
              <w:rPr>
                <w:rFonts w:ascii="Times New Roman" w:eastAsia="Times New Roman" w:hAnsi="Times New Roman" w:cs="Times New Roman"/>
                <w:sz w:val="22"/>
                <w:szCs w:val="22"/>
              </w:rPr>
              <w:t xml:space="preserve"> – art. 8¹ alin. (9) din Legea nr. 411/1995. Reconsiderarea expresiei ”abaterile profesionale grave care au legătură directă și specifică cu sănătatea și siguranța pacienților,” și reglementarea clară și fără echivoc a obligației imputabile persoanei în context. Reconsiderarea expresiei ”de reglementare sau administrative legate” și delimitarea cu certitudine a exigențelor vizate</w:t>
            </w:r>
          </w:p>
        </w:tc>
        <w:tc>
          <w:tcPr>
            <w:tcW w:w="4635" w:type="dxa"/>
            <w:tcMar>
              <w:top w:w="0" w:type="dxa"/>
              <w:bottom w:w="0" w:type="dxa"/>
            </w:tcMar>
          </w:tcPr>
          <w:p w14:paraId="17706BF1"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4EE9C99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redactat corespunzător.</w:t>
            </w:r>
          </w:p>
        </w:tc>
      </w:tr>
      <w:tr w:rsidR="001E4866" w14:paraId="553B4E84" w14:textId="77777777">
        <w:trPr>
          <w:trHeight w:val="1787"/>
        </w:trPr>
        <w:tc>
          <w:tcPr>
            <w:tcW w:w="1335" w:type="dxa"/>
            <w:vMerge/>
          </w:tcPr>
          <w:p w14:paraId="2E48FA1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905" w:type="dxa"/>
            <w:vMerge/>
            <w:tcMar>
              <w:top w:w="0" w:type="dxa"/>
              <w:bottom w:w="0" w:type="dxa"/>
            </w:tcMar>
          </w:tcPr>
          <w:p w14:paraId="40AEF908"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1575" w:type="dxa"/>
            <w:vMerge/>
            <w:tcMar>
              <w:top w:w="0" w:type="dxa"/>
              <w:bottom w:w="0" w:type="dxa"/>
            </w:tcMar>
          </w:tcPr>
          <w:p w14:paraId="139475FC"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c>
          <w:tcPr>
            <w:tcW w:w="4785" w:type="dxa"/>
            <w:tcMar>
              <w:top w:w="0" w:type="dxa"/>
              <w:bottom w:w="0" w:type="dxa"/>
            </w:tcMar>
          </w:tcPr>
          <w:p w14:paraId="417F025D"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Art. III pct. 6</w:t>
            </w:r>
            <w:r>
              <w:rPr>
                <w:rFonts w:ascii="Times New Roman" w:eastAsia="Times New Roman" w:hAnsi="Times New Roman" w:cs="Times New Roman"/>
                <w:sz w:val="22"/>
                <w:szCs w:val="22"/>
              </w:rPr>
              <w:t xml:space="preserve"> (art. 12² alin. (6) din Legea nr. 552/2001). Reconsiderarea expresiei ”dintr-un motiv special și excepțional” în sensul concretizării aspectelor vizate sau excluderii acesteia din context. </w:t>
            </w:r>
          </w:p>
        </w:tc>
        <w:tc>
          <w:tcPr>
            <w:tcW w:w="4635" w:type="dxa"/>
            <w:tcMar>
              <w:top w:w="0" w:type="dxa"/>
              <w:bottom w:w="0" w:type="dxa"/>
            </w:tcMar>
          </w:tcPr>
          <w:p w14:paraId="408A7E01"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1C10CC80"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redactat corespunzător.</w:t>
            </w:r>
          </w:p>
          <w:p w14:paraId="4B81FFB3" w14:textId="77777777" w:rsidR="001E4866" w:rsidRDefault="001E4866">
            <w:pPr>
              <w:ind w:firstLine="0"/>
              <w:rPr>
                <w:rFonts w:ascii="Times New Roman" w:eastAsia="Times New Roman" w:hAnsi="Times New Roman" w:cs="Times New Roman"/>
                <w:b/>
                <w:bCs/>
                <w:sz w:val="22"/>
                <w:szCs w:val="22"/>
              </w:rPr>
            </w:pPr>
          </w:p>
        </w:tc>
      </w:tr>
      <w:tr w:rsidR="001E4866" w14:paraId="036126D6" w14:textId="77777777">
        <w:trPr>
          <w:trHeight w:val="1635"/>
        </w:trPr>
        <w:tc>
          <w:tcPr>
            <w:tcW w:w="1335" w:type="dxa"/>
            <w:vMerge/>
          </w:tcPr>
          <w:p w14:paraId="5F400BA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370BB62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57579749"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5653B04C"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Art. III pct. 6</w:t>
            </w:r>
            <w:r>
              <w:rPr>
                <w:rFonts w:ascii="Times New Roman" w:eastAsia="Times New Roman" w:hAnsi="Times New Roman" w:cs="Times New Roman"/>
                <w:sz w:val="22"/>
                <w:szCs w:val="22"/>
              </w:rPr>
              <w:t xml:space="preserve"> (art. 12⁵ din Legea nr. 552/2001) Reconsiderarea entității competente de a aproba cuantumul taxelor de emitere a cardului profesional național și a cardului profesional european.</w:t>
            </w:r>
          </w:p>
        </w:tc>
        <w:tc>
          <w:tcPr>
            <w:tcW w:w="4635" w:type="dxa"/>
            <w:tcMar>
              <w:top w:w="0" w:type="dxa"/>
              <w:bottom w:w="0" w:type="dxa"/>
            </w:tcMar>
          </w:tcPr>
          <w:p w14:paraId="639F393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E62B224"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redactat corespunzător, cu atribuirea Guvernului a competenței de aprobare a cuantumului taxelor de emitere a cardului profesional național și a cardului profesional european.</w:t>
            </w:r>
          </w:p>
          <w:p w14:paraId="5B591400" w14:textId="77777777" w:rsidR="001E4866" w:rsidRDefault="001E4866">
            <w:pPr>
              <w:ind w:firstLine="0"/>
              <w:rPr>
                <w:rFonts w:ascii="Times New Roman" w:eastAsia="Times New Roman" w:hAnsi="Times New Roman" w:cs="Times New Roman"/>
                <w:b/>
                <w:bCs/>
                <w:sz w:val="22"/>
                <w:szCs w:val="22"/>
              </w:rPr>
            </w:pPr>
          </w:p>
        </w:tc>
      </w:tr>
      <w:tr w:rsidR="001E4866" w14:paraId="113C71B5" w14:textId="77777777">
        <w:trPr>
          <w:trHeight w:val="1787"/>
        </w:trPr>
        <w:tc>
          <w:tcPr>
            <w:tcW w:w="1335" w:type="dxa"/>
            <w:vMerge/>
          </w:tcPr>
          <w:p w14:paraId="411B834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57875890"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7E5D6121"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5F642081" w14:textId="77777777" w:rsidR="001E4866" w:rsidRDefault="00000000">
            <w:pPr>
              <w:spacing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Art. III pct. 6</w:t>
            </w:r>
            <w:r>
              <w:rPr>
                <w:rFonts w:ascii="Times New Roman" w:eastAsia="Times New Roman" w:hAnsi="Times New Roman" w:cs="Times New Roman"/>
                <w:sz w:val="22"/>
                <w:szCs w:val="22"/>
              </w:rPr>
              <w:t xml:space="preserve"> (art. 12⁷ alin. (1) lit. c) din Legea nr. 552/2001). Excluderea contradictorialității delimitate supra (excluderea </w:t>
            </w:r>
            <w:proofErr w:type="spellStart"/>
            <w:r>
              <w:rPr>
                <w:rFonts w:ascii="Times New Roman" w:eastAsia="Times New Roman" w:hAnsi="Times New Roman" w:cs="Times New Roman"/>
                <w:sz w:val="22"/>
                <w:szCs w:val="22"/>
              </w:rPr>
              <w:t>cuvîntului</w:t>
            </w:r>
            <w:proofErr w:type="spellEnd"/>
            <w:r>
              <w:rPr>
                <w:rFonts w:ascii="Times New Roman" w:eastAsia="Times New Roman" w:hAnsi="Times New Roman" w:cs="Times New Roman"/>
                <w:sz w:val="22"/>
                <w:szCs w:val="22"/>
              </w:rPr>
              <w:t xml:space="preserve"> ”orice” și în eventualitatea în care autorul optează pentru reglementarea categoriilor de acte - acestea urmează a fi enumerate toate în mod exhaustiv). </w:t>
            </w:r>
          </w:p>
        </w:tc>
        <w:tc>
          <w:tcPr>
            <w:tcW w:w="4635" w:type="dxa"/>
            <w:tcMar>
              <w:top w:w="0" w:type="dxa"/>
              <w:bottom w:w="0" w:type="dxa"/>
            </w:tcMar>
          </w:tcPr>
          <w:p w14:paraId="1F3FD5E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6EFD94A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redactat corespunzător.</w:t>
            </w:r>
          </w:p>
        </w:tc>
      </w:tr>
      <w:tr w:rsidR="001E4866" w14:paraId="229DD6C1" w14:textId="77777777">
        <w:trPr>
          <w:trHeight w:val="3929"/>
        </w:trPr>
        <w:tc>
          <w:tcPr>
            <w:tcW w:w="1335" w:type="dxa"/>
            <w:vMerge w:val="restart"/>
          </w:tcPr>
          <w:p w14:paraId="56E2F8A8"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11</w:t>
            </w:r>
          </w:p>
        </w:tc>
        <w:tc>
          <w:tcPr>
            <w:tcW w:w="1905" w:type="dxa"/>
            <w:vMerge w:val="restart"/>
            <w:tcMar>
              <w:top w:w="0" w:type="dxa"/>
              <w:bottom w:w="0" w:type="dxa"/>
            </w:tcMar>
          </w:tcPr>
          <w:p w14:paraId="5C6A1EF2"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Federația Sindicală „</w:t>
            </w:r>
            <w:proofErr w:type="spellStart"/>
            <w:r>
              <w:rPr>
                <w:rFonts w:ascii="Times New Roman" w:eastAsia="Times New Roman" w:hAnsi="Times New Roman" w:cs="Times New Roman"/>
                <w:b/>
                <w:bCs/>
                <w:sz w:val="22"/>
                <w:szCs w:val="22"/>
              </w:rPr>
              <w:t>Sănătate”din</w:t>
            </w:r>
            <w:proofErr w:type="spellEnd"/>
            <w:r>
              <w:rPr>
                <w:rFonts w:ascii="Times New Roman" w:eastAsia="Times New Roman" w:hAnsi="Times New Roman" w:cs="Times New Roman"/>
                <w:b/>
                <w:bCs/>
                <w:sz w:val="22"/>
                <w:szCs w:val="22"/>
              </w:rPr>
              <w:t xml:space="preserve"> Moldova</w:t>
            </w:r>
          </w:p>
        </w:tc>
        <w:tc>
          <w:tcPr>
            <w:tcW w:w="1575" w:type="dxa"/>
            <w:vMerge w:val="restart"/>
            <w:tcMar>
              <w:top w:w="0" w:type="dxa"/>
              <w:bottom w:w="0" w:type="dxa"/>
            </w:tcMar>
          </w:tcPr>
          <w:p w14:paraId="6E32028D"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Nr. 03-01/227 din 01.07.2025</w:t>
            </w:r>
          </w:p>
        </w:tc>
        <w:tc>
          <w:tcPr>
            <w:tcW w:w="4785" w:type="dxa"/>
            <w:tcMar>
              <w:top w:w="0" w:type="dxa"/>
              <w:bottom w:w="0" w:type="dxa"/>
            </w:tcMar>
          </w:tcPr>
          <w:p w14:paraId="0F98D6DC"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Autorii au utilizat tehnica transpunerii directe (de copiere), și nu tehnica de transpunere cu reformulare. Pentru a proteja terminologia consacrată în legislația muncii națională (care are la bază prevederile mai multor acte normative internaționale la care Republica Moldova este parte – peste 40 de Convenții ale OIM, Carta socială europeană revizuită, Pactul internațional cu privire la drepturile economice, sociale și culturale etc., precum și Directivele UE deja transpuse) și pentru a nu admite distorsionarea legislației muncii naționale, Federația Sindicală „Sănătatea” din Moldova consideră că cea mai oportună și eficientă metodă de transpunere a Directivelor UE în domeniul muncii este tehnica de transpunere cu reformulare. Această tehnică s-ar încadra atât în prevederile Regulamentului privind armonizarea legislației Republicii Moldova cu legislația UE, aprobat prin Hotărârea Guvernului nr.1171/2018 (a se vedea pct. 24 și 26), cât și în prevederile Metodologiei privind armonizarea legislației Republicii Moldova la legislația Uniunii Europene, aprobată prin Ordinul nr. 1 din 9 ianuarie 2023 al Centrului de armonizare a legislației al Cancelariei de Stat (a se vedea Capitolul 3.5.1 Tehnici de </w:t>
            </w:r>
            <w:r>
              <w:rPr>
                <w:rFonts w:ascii="Times New Roman" w:eastAsia="Times New Roman" w:hAnsi="Times New Roman" w:cs="Times New Roman"/>
                <w:sz w:val="22"/>
                <w:szCs w:val="22"/>
              </w:rPr>
              <w:lastRenderedPageBreak/>
              <w:t>armonizare legislativă). Potrivit Metodologiei sus-menționate, tehnica de transpunere cu reformulare presupune transpunerea prevederilor UE în actul normativ național într-o manieră reformulată. Respectiv, prevederile UE sunt transformate într-o manieră care ar corespunde sistemului juridic național, păstrând esența, semnificația și scopul prevederilor UE. Această modalitate de transpunere protejează ordinea juridică națională și terminologia consacrată. Această tehnică are cea mai largă utilizare, or, ea presupune transpunerea actului UE cu cel mai mic nivel de stres pentru sistemul juridic național.</w:t>
            </w:r>
          </w:p>
        </w:tc>
        <w:tc>
          <w:tcPr>
            <w:tcW w:w="4635" w:type="dxa"/>
            <w:vMerge w:val="restart"/>
            <w:tcMar>
              <w:top w:w="0" w:type="dxa"/>
              <w:bottom w:w="0" w:type="dxa"/>
            </w:tcMar>
          </w:tcPr>
          <w:p w14:paraId="75775E4E" w14:textId="77777777" w:rsidR="001E4866" w:rsidRDefault="001E4866">
            <w:pPr>
              <w:ind w:firstLine="0"/>
              <w:rPr>
                <w:rFonts w:ascii="Times New Roman" w:eastAsia="Times New Roman" w:hAnsi="Times New Roman" w:cs="Times New Roman"/>
                <w:b/>
                <w:bCs/>
                <w:sz w:val="22"/>
                <w:szCs w:val="22"/>
              </w:rPr>
            </w:pPr>
          </w:p>
          <w:p w14:paraId="7F69D2DD" w14:textId="77777777" w:rsidR="001E4866" w:rsidRDefault="001E4866">
            <w:pPr>
              <w:ind w:firstLine="0"/>
              <w:rPr>
                <w:rFonts w:ascii="Times New Roman" w:eastAsia="Times New Roman" w:hAnsi="Times New Roman" w:cs="Times New Roman"/>
                <w:b/>
                <w:bCs/>
                <w:sz w:val="22"/>
                <w:szCs w:val="22"/>
              </w:rPr>
            </w:pPr>
          </w:p>
          <w:p w14:paraId="19CB644B"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(1) La etapa de avizare, proiectul de lege a fost redactat în conformitate cu prevederile art.2 și art.6 din Legea nr.100/2017 cu privire la actele normative. În același timp, au fost menținuți unii termeni pentru a asigura coerența cu dreptul european și sprijină transpunerea directă și unitară a Directivei 36/2005.</w:t>
            </w:r>
          </w:p>
          <w:p w14:paraId="2AD35C67" w14:textId="77777777" w:rsidR="001E4866" w:rsidRDefault="001E4866">
            <w:pPr>
              <w:ind w:firstLine="0"/>
              <w:rPr>
                <w:rFonts w:ascii="Times New Roman" w:eastAsia="Times New Roman" w:hAnsi="Times New Roman" w:cs="Times New Roman"/>
                <w:sz w:val="22"/>
                <w:szCs w:val="22"/>
              </w:rPr>
            </w:pPr>
          </w:p>
          <w:p w14:paraId="098C9604" w14:textId="77777777" w:rsidR="001E4866" w:rsidRDefault="001E4866">
            <w:pPr>
              <w:ind w:firstLine="0"/>
              <w:rPr>
                <w:rFonts w:ascii="Times New Roman" w:eastAsia="Times New Roman" w:hAnsi="Times New Roman" w:cs="Times New Roman"/>
                <w:sz w:val="22"/>
                <w:szCs w:val="22"/>
              </w:rPr>
            </w:pPr>
          </w:p>
          <w:p w14:paraId="7163CC93" w14:textId="77777777" w:rsidR="001E4866" w:rsidRDefault="001E4866">
            <w:pPr>
              <w:ind w:firstLine="0"/>
              <w:rPr>
                <w:rFonts w:ascii="Times New Roman" w:eastAsia="Times New Roman" w:hAnsi="Times New Roman" w:cs="Times New Roman"/>
                <w:sz w:val="22"/>
                <w:szCs w:val="22"/>
              </w:rPr>
            </w:pPr>
          </w:p>
          <w:p w14:paraId="1CAC1B4A" w14:textId="77777777" w:rsidR="001E4866" w:rsidRDefault="001E4866">
            <w:pPr>
              <w:ind w:firstLine="0"/>
              <w:rPr>
                <w:rFonts w:ascii="Times New Roman" w:eastAsia="Times New Roman" w:hAnsi="Times New Roman" w:cs="Times New Roman"/>
                <w:sz w:val="22"/>
                <w:szCs w:val="22"/>
              </w:rPr>
            </w:pPr>
          </w:p>
          <w:p w14:paraId="119FB157" w14:textId="77777777" w:rsidR="001E4866" w:rsidRDefault="001E4866">
            <w:pPr>
              <w:ind w:firstLine="0"/>
              <w:rPr>
                <w:rFonts w:ascii="Times New Roman" w:eastAsia="Times New Roman" w:hAnsi="Times New Roman" w:cs="Times New Roman"/>
                <w:sz w:val="22"/>
                <w:szCs w:val="22"/>
              </w:rPr>
            </w:pPr>
          </w:p>
          <w:p w14:paraId="366306B6" w14:textId="77777777" w:rsidR="001E4866" w:rsidRDefault="001E4866">
            <w:pPr>
              <w:ind w:firstLine="0"/>
              <w:rPr>
                <w:rFonts w:ascii="Times New Roman" w:eastAsia="Times New Roman" w:hAnsi="Times New Roman" w:cs="Times New Roman"/>
                <w:b/>
                <w:bCs/>
                <w:sz w:val="22"/>
                <w:szCs w:val="22"/>
              </w:rPr>
            </w:pPr>
          </w:p>
          <w:p w14:paraId="10053F20" w14:textId="77777777" w:rsidR="001E4866" w:rsidRDefault="001E4866">
            <w:pPr>
              <w:ind w:firstLine="0"/>
              <w:rPr>
                <w:rFonts w:ascii="Times New Roman" w:eastAsia="Times New Roman" w:hAnsi="Times New Roman" w:cs="Times New Roman"/>
                <w:b/>
                <w:bCs/>
                <w:sz w:val="22"/>
                <w:szCs w:val="22"/>
              </w:rPr>
            </w:pPr>
          </w:p>
          <w:p w14:paraId="34535B49" w14:textId="77777777" w:rsidR="001E4866" w:rsidRDefault="001E4866">
            <w:pPr>
              <w:ind w:firstLine="0"/>
              <w:rPr>
                <w:rFonts w:ascii="Times New Roman" w:eastAsia="Times New Roman" w:hAnsi="Times New Roman" w:cs="Times New Roman"/>
                <w:b/>
                <w:bCs/>
                <w:sz w:val="22"/>
                <w:szCs w:val="22"/>
              </w:rPr>
            </w:pPr>
          </w:p>
          <w:p w14:paraId="7CE1BCE2" w14:textId="77777777" w:rsidR="001E4866" w:rsidRDefault="001E4866">
            <w:pPr>
              <w:ind w:firstLine="0"/>
              <w:rPr>
                <w:rFonts w:ascii="Times New Roman" w:eastAsia="Times New Roman" w:hAnsi="Times New Roman" w:cs="Times New Roman"/>
                <w:b/>
                <w:bCs/>
                <w:sz w:val="22"/>
                <w:szCs w:val="22"/>
              </w:rPr>
            </w:pPr>
          </w:p>
          <w:p w14:paraId="7B18213C" w14:textId="77777777" w:rsidR="001E4866" w:rsidRDefault="001E4866">
            <w:pPr>
              <w:ind w:firstLine="0"/>
              <w:rPr>
                <w:rFonts w:ascii="Times New Roman" w:eastAsia="Times New Roman" w:hAnsi="Times New Roman" w:cs="Times New Roman"/>
                <w:b/>
                <w:bCs/>
                <w:sz w:val="22"/>
                <w:szCs w:val="22"/>
              </w:rPr>
            </w:pPr>
          </w:p>
          <w:p w14:paraId="67BFF3CE" w14:textId="77777777" w:rsidR="001E4866" w:rsidRDefault="001E4866">
            <w:pPr>
              <w:ind w:firstLine="0"/>
              <w:rPr>
                <w:rFonts w:ascii="Times New Roman" w:eastAsia="Times New Roman" w:hAnsi="Times New Roman" w:cs="Times New Roman"/>
                <w:b/>
                <w:bCs/>
                <w:sz w:val="22"/>
                <w:szCs w:val="22"/>
              </w:rPr>
            </w:pPr>
          </w:p>
          <w:p w14:paraId="49F90D29" w14:textId="77777777" w:rsidR="001E4866" w:rsidRDefault="001E4866">
            <w:pPr>
              <w:ind w:firstLine="0"/>
              <w:rPr>
                <w:rFonts w:ascii="Times New Roman" w:eastAsia="Times New Roman" w:hAnsi="Times New Roman" w:cs="Times New Roman"/>
                <w:b/>
                <w:bCs/>
                <w:sz w:val="22"/>
                <w:szCs w:val="22"/>
              </w:rPr>
            </w:pPr>
          </w:p>
          <w:p w14:paraId="727ACA3D" w14:textId="77777777" w:rsidR="001E4866" w:rsidRDefault="001E4866">
            <w:pPr>
              <w:ind w:firstLine="0"/>
              <w:rPr>
                <w:rFonts w:ascii="Times New Roman" w:eastAsia="Times New Roman" w:hAnsi="Times New Roman" w:cs="Times New Roman"/>
                <w:b/>
                <w:bCs/>
                <w:sz w:val="22"/>
                <w:szCs w:val="22"/>
              </w:rPr>
            </w:pPr>
          </w:p>
          <w:p w14:paraId="6BAD7906" w14:textId="77777777" w:rsidR="001E4866" w:rsidRDefault="001E4866">
            <w:pPr>
              <w:ind w:firstLine="0"/>
              <w:rPr>
                <w:rFonts w:ascii="Times New Roman" w:eastAsia="Times New Roman" w:hAnsi="Times New Roman" w:cs="Times New Roman"/>
                <w:b/>
                <w:bCs/>
                <w:sz w:val="22"/>
                <w:szCs w:val="22"/>
              </w:rPr>
            </w:pPr>
          </w:p>
          <w:p w14:paraId="7908C68C" w14:textId="77777777" w:rsidR="001E4866" w:rsidRDefault="001E4866">
            <w:pPr>
              <w:ind w:firstLine="0"/>
              <w:rPr>
                <w:rFonts w:ascii="Times New Roman" w:eastAsia="Times New Roman" w:hAnsi="Times New Roman" w:cs="Times New Roman"/>
                <w:b/>
                <w:bCs/>
                <w:sz w:val="22"/>
                <w:szCs w:val="22"/>
              </w:rPr>
            </w:pPr>
          </w:p>
          <w:p w14:paraId="60B5F44D" w14:textId="77777777" w:rsidR="001E4866" w:rsidRDefault="001E4866">
            <w:pPr>
              <w:ind w:firstLine="0"/>
              <w:rPr>
                <w:rFonts w:ascii="Times New Roman" w:eastAsia="Times New Roman" w:hAnsi="Times New Roman" w:cs="Times New Roman"/>
                <w:b/>
                <w:bCs/>
                <w:sz w:val="22"/>
                <w:szCs w:val="22"/>
              </w:rPr>
            </w:pPr>
          </w:p>
          <w:p w14:paraId="3F6A0929" w14:textId="77777777" w:rsidR="001E4866" w:rsidRDefault="001E4866">
            <w:pPr>
              <w:ind w:firstLine="0"/>
              <w:rPr>
                <w:rFonts w:ascii="Times New Roman" w:eastAsia="Times New Roman" w:hAnsi="Times New Roman" w:cs="Times New Roman"/>
                <w:b/>
                <w:bCs/>
                <w:sz w:val="22"/>
                <w:szCs w:val="22"/>
              </w:rPr>
            </w:pPr>
          </w:p>
          <w:p w14:paraId="61EE45E8" w14:textId="77777777" w:rsidR="001E4866" w:rsidRDefault="001E4866">
            <w:pPr>
              <w:ind w:firstLine="0"/>
              <w:rPr>
                <w:rFonts w:ascii="Times New Roman" w:eastAsia="Times New Roman" w:hAnsi="Times New Roman" w:cs="Times New Roman"/>
                <w:b/>
                <w:bCs/>
                <w:sz w:val="22"/>
                <w:szCs w:val="22"/>
              </w:rPr>
            </w:pPr>
          </w:p>
          <w:p w14:paraId="0CFCB139"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Proiectul de lege instituie cadrul de reglementare privind recunoașterea titlurilor de calificare și certificarea cadrelor medico-sanitare și farmaceutice. Astfel, acesta nu prevede norme în domeniul salarizării, beneficii și facilități, etc. pentru cadrele medico-sanitare și farmaceutice.</w:t>
            </w:r>
          </w:p>
          <w:p w14:paraId="55278650" w14:textId="77777777" w:rsidR="001E4866" w:rsidRDefault="001E4866">
            <w:pPr>
              <w:ind w:firstLine="0"/>
              <w:rPr>
                <w:rFonts w:ascii="Times New Roman" w:eastAsia="Times New Roman" w:hAnsi="Times New Roman" w:cs="Times New Roman"/>
                <w:b/>
                <w:bCs/>
                <w:sz w:val="22"/>
                <w:szCs w:val="22"/>
              </w:rPr>
            </w:pPr>
          </w:p>
          <w:p w14:paraId="68588426" w14:textId="77777777" w:rsidR="001E4866" w:rsidRDefault="001E4866">
            <w:pPr>
              <w:ind w:firstLine="0"/>
              <w:rPr>
                <w:rFonts w:ascii="Times New Roman" w:eastAsia="Times New Roman" w:hAnsi="Times New Roman" w:cs="Times New Roman"/>
                <w:b/>
                <w:bCs/>
                <w:sz w:val="22"/>
                <w:szCs w:val="22"/>
              </w:rPr>
            </w:pPr>
          </w:p>
          <w:p w14:paraId="26D2A4E3" w14:textId="77777777" w:rsidR="001E4866" w:rsidRDefault="001E4866">
            <w:pPr>
              <w:ind w:firstLine="0"/>
              <w:rPr>
                <w:rFonts w:ascii="Times New Roman" w:eastAsia="Times New Roman" w:hAnsi="Times New Roman" w:cs="Times New Roman"/>
                <w:b/>
                <w:bCs/>
                <w:sz w:val="22"/>
                <w:szCs w:val="22"/>
              </w:rPr>
            </w:pPr>
          </w:p>
          <w:p w14:paraId="7A0C4E56" w14:textId="77777777" w:rsidR="001E4866" w:rsidRDefault="001E4866">
            <w:pPr>
              <w:ind w:firstLine="0"/>
              <w:rPr>
                <w:rFonts w:ascii="Times New Roman" w:eastAsia="Times New Roman" w:hAnsi="Times New Roman" w:cs="Times New Roman"/>
                <w:b/>
                <w:bCs/>
                <w:sz w:val="22"/>
                <w:szCs w:val="22"/>
              </w:rPr>
            </w:pPr>
          </w:p>
          <w:p w14:paraId="45262A16" w14:textId="77777777" w:rsidR="001E4866" w:rsidRDefault="001E4866">
            <w:pPr>
              <w:ind w:firstLine="0"/>
              <w:rPr>
                <w:rFonts w:ascii="Times New Roman" w:eastAsia="Times New Roman" w:hAnsi="Times New Roman" w:cs="Times New Roman"/>
                <w:b/>
                <w:bCs/>
                <w:sz w:val="22"/>
                <w:szCs w:val="22"/>
              </w:rPr>
            </w:pPr>
          </w:p>
          <w:p w14:paraId="642956BF" w14:textId="77777777" w:rsidR="001E4866" w:rsidRDefault="001E4866">
            <w:pPr>
              <w:ind w:firstLine="0"/>
              <w:rPr>
                <w:rFonts w:ascii="Times New Roman" w:eastAsia="Times New Roman" w:hAnsi="Times New Roman" w:cs="Times New Roman"/>
                <w:b/>
                <w:bCs/>
                <w:sz w:val="22"/>
                <w:szCs w:val="22"/>
              </w:rPr>
            </w:pPr>
          </w:p>
          <w:p w14:paraId="20F1C58A" w14:textId="77777777" w:rsidR="001E4866" w:rsidRDefault="001E4866">
            <w:pPr>
              <w:ind w:firstLine="0"/>
              <w:rPr>
                <w:rFonts w:ascii="Times New Roman" w:eastAsia="Times New Roman" w:hAnsi="Times New Roman" w:cs="Times New Roman"/>
                <w:b/>
                <w:bCs/>
                <w:sz w:val="22"/>
                <w:szCs w:val="22"/>
              </w:rPr>
            </w:pPr>
          </w:p>
          <w:p w14:paraId="7634050A" w14:textId="77777777" w:rsidR="001E4866" w:rsidRDefault="001E4866">
            <w:pPr>
              <w:ind w:firstLine="0"/>
              <w:rPr>
                <w:rFonts w:ascii="Times New Roman" w:eastAsia="Times New Roman" w:hAnsi="Times New Roman" w:cs="Times New Roman"/>
                <w:sz w:val="22"/>
                <w:szCs w:val="22"/>
              </w:rPr>
            </w:pPr>
          </w:p>
          <w:p w14:paraId="44B23C88" w14:textId="77777777" w:rsidR="001E4866" w:rsidRDefault="001E4866">
            <w:pPr>
              <w:ind w:firstLine="0"/>
              <w:rPr>
                <w:rFonts w:ascii="Times New Roman" w:eastAsia="Times New Roman" w:hAnsi="Times New Roman" w:cs="Times New Roman"/>
                <w:sz w:val="22"/>
                <w:szCs w:val="22"/>
              </w:rPr>
            </w:pPr>
          </w:p>
          <w:p w14:paraId="04C8F677" w14:textId="77777777" w:rsidR="001E4866" w:rsidRDefault="001E4866">
            <w:pPr>
              <w:ind w:firstLine="0"/>
              <w:rPr>
                <w:rFonts w:ascii="Times New Roman" w:eastAsia="Times New Roman" w:hAnsi="Times New Roman" w:cs="Times New Roman"/>
                <w:sz w:val="22"/>
                <w:szCs w:val="22"/>
              </w:rPr>
            </w:pPr>
          </w:p>
          <w:p w14:paraId="2CA3EA87" w14:textId="77777777" w:rsidR="001E4866" w:rsidRDefault="001E4866">
            <w:pPr>
              <w:ind w:firstLine="0"/>
              <w:rPr>
                <w:rFonts w:ascii="Times New Roman" w:eastAsia="Times New Roman" w:hAnsi="Times New Roman" w:cs="Times New Roman"/>
                <w:sz w:val="22"/>
                <w:szCs w:val="22"/>
              </w:rPr>
            </w:pPr>
          </w:p>
          <w:p w14:paraId="276918D5" w14:textId="77777777" w:rsidR="001E4866" w:rsidRDefault="001E4866">
            <w:pPr>
              <w:ind w:firstLine="0"/>
              <w:rPr>
                <w:rFonts w:ascii="Times New Roman" w:eastAsia="Times New Roman" w:hAnsi="Times New Roman" w:cs="Times New Roman"/>
                <w:sz w:val="22"/>
                <w:szCs w:val="22"/>
              </w:rPr>
            </w:pPr>
          </w:p>
          <w:p w14:paraId="05EA6A6A" w14:textId="77777777" w:rsidR="001E4866" w:rsidRDefault="001E4866">
            <w:pPr>
              <w:ind w:firstLine="0"/>
              <w:rPr>
                <w:rFonts w:ascii="Times New Roman" w:eastAsia="Times New Roman" w:hAnsi="Times New Roman" w:cs="Times New Roman"/>
                <w:sz w:val="22"/>
                <w:szCs w:val="22"/>
              </w:rPr>
            </w:pPr>
          </w:p>
          <w:p w14:paraId="0D011F7B" w14:textId="77777777" w:rsidR="001E4866" w:rsidRDefault="001E4866">
            <w:pPr>
              <w:ind w:firstLine="0"/>
              <w:rPr>
                <w:rFonts w:ascii="Times New Roman" w:eastAsia="Times New Roman" w:hAnsi="Times New Roman" w:cs="Times New Roman"/>
                <w:sz w:val="22"/>
                <w:szCs w:val="22"/>
              </w:rPr>
            </w:pPr>
          </w:p>
          <w:p w14:paraId="7F216348" w14:textId="77777777" w:rsidR="001E4866" w:rsidRDefault="001E4866">
            <w:pPr>
              <w:ind w:firstLine="0"/>
              <w:rPr>
                <w:rFonts w:ascii="Times New Roman" w:eastAsia="Times New Roman" w:hAnsi="Times New Roman" w:cs="Times New Roman"/>
                <w:sz w:val="22"/>
                <w:szCs w:val="22"/>
              </w:rPr>
            </w:pPr>
          </w:p>
          <w:p w14:paraId="3EEACACD" w14:textId="77777777" w:rsidR="001E4866" w:rsidRDefault="001E4866">
            <w:pPr>
              <w:ind w:firstLine="0"/>
              <w:rPr>
                <w:rFonts w:ascii="Times New Roman" w:eastAsia="Times New Roman" w:hAnsi="Times New Roman" w:cs="Times New Roman"/>
                <w:sz w:val="22"/>
                <w:szCs w:val="22"/>
              </w:rPr>
            </w:pPr>
          </w:p>
          <w:p w14:paraId="5072E7DF" w14:textId="77777777" w:rsidR="001E4866" w:rsidRDefault="001E4866">
            <w:pPr>
              <w:ind w:firstLine="0"/>
              <w:rPr>
                <w:rFonts w:ascii="Times New Roman" w:eastAsia="Times New Roman" w:hAnsi="Times New Roman" w:cs="Times New Roman"/>
                <w:sz w:val="22"/>
                <w:szCs w:val="22"/>
              </w:rPr>
            </w:pPr>
          </w:p>
          <w:p w14:paraId="63364833" w14:textId="77777777" w:rsidR="001E4866" w:rsidRDefault="001E4866">
            <w:pPr>
              <w:ind w:firstLine="0"/>
              <w:rPr>
                <w:rFonts w:ascii="Times New Roman" w:eastAsia="Times New Roman" w:hAnsi="Times New Roman" w:cs="Times New Roman"/>
                <w:sz w:val="22"/>
                <w:szCs w:val="22"/>
              </w:rPr>
            </w:pPr>
          </w:p>
          <w:p w14:paraId="347CC5D6" w14:textId="77777777" w:rsidR="001E4866" w:rsidRDefault="001E4866">
            <w:pPr>
              <w:ind w:firstLine="0"/>
              <w:rPr>
                <w:rFonts w:ascii="Times New Roman" w:eastAsia="Times New Roman" w:hAnsi="Times New Roman" w:cs="Times New Roman"/>
                <w:sz w:val="22"/>
                <w:szCs w:val="22"/>
              </w:rPr>
            </w:pPr>
          </w:p>
          <w:p w14:paraId="31BE7F81" w14:textId="77777777" w:rsidR="001E4866" w:rsidRDefault="001E4866">
            <w:pPr>
              <w:ind w:firstLine="0"/>
              <w:rPr>
                <w:rFonts w:ascii="Times New Roman" w:eastAsia="Times New Roman" w:hAnsi="Times New Roman" w:cs="Times New Roman"/>
                <w:sz w:val="22"/>
                <w:szCs w:val="22"/>
              </w:rPr>
            </w:pPr>
          </w:p>
          <w:p w14:paraId="742E4CC1" w14:textId="77777777" w:rsidR="001E4866" w:rsidRDefault="001E4866">
            <w:pPr>
              <w:ind w:firstLine="0"/>
              <w:rPr>
                <w:rFonts w:ascii="Times New Roman" w:eastAsia="Times New Roman" w:hAnsi="Times New Roman" w:cs="Times New Roman"/>
                <w:sz w:val="22"/>
                <w:szCs w:val="22"/>
              </w:rPr>
            </w:pPr>
          </w:p>
          <w:p w14:paraId="2F438099" w14:textId="77777777" w:rsidR="001E4866" w:rsidRDefault="001E4866">
            <w:pPr>
              <w:ind w:firstLine="0"/>
              <w:rPr>
                <w:rFonts w:ascii="Times New Roman" w:eastAsia="Times New Roman" w:hAnsi="Times New Roman" w:cs="Times New Roman"/>
                <w:sz w:val="22"/>
                <w:szCs w:val="22"/>
              </w:rPr>
            </w:pPr>
          </w:p>
          <w:p w14:paraId="4BA94A6B" w14:textId="77777777" w:rsidR="001E4866" w:rsidRDefault="001E4866">
            <w:pPr>
              <w:ind w:firstLine="0"/>
              <w:rPr>
                <w:rFonts w:ascii="Times New Roman" w:eastAsia="Times New Roman" w:hAnsi="Times New Roman" w:cs="Times New Roman"/>
                <w:sz w:val="22"/>
                <w:szCs w:val="22"/>
              </w:rPr>
            </w:pPr>
          </w:p>
          <w:p w14:paraId="3898C6BC" w14:textId="77777777" w:rsidR="001E4866" w:rsidRDefault="001E4866">
            <w:pPr>
              <w:ind w:firstLine="0"/>
              <w:rPr>
                <w:rFonts w:ascii="Times New Roman" w:eastAsia="Times New Roman" w:hAnsi="Times New Roman" w:cs="Times New Roman"/>
                <w:sz w:val="22"/>
                <w:szCs w:val="22"/>
              </w:rPr>
            </w:pPr>
          </w:p>
          <w:p w14:paraId="580CE84C" w14:textId="77777777" w:rsidR="001E4866" w:rsidRDefault="001E4866">
            <w:pPr>
              <w:ind w:firstLine="0"/>
              <w:rPr>
                <w:rFonts w:ascii="Times New Roman" w:eastAsia="Times New Roman" w:hAnsi="Times New Roman" w:cs="Times New Roman"/>
                <w:sz w:val="22"/>
                <w:szCs w:val="22"/>
              </w:rPr>
            </w:pPr>
          </w:p>
          <w:p w14:paraId="1B83B740" w14:textId="77777777" w:rsidR="001E4866" w:rsidRDefault="001E4866">
            <w:pPr>
              <w:ind w:firstLine="0"/>
              <w:rPr>
                <w:rFonts w:ascii="Times New Roman" w:eastAsia="Times New Roman" w:hAnsi="Times New Roman" w:cs="Times New Roman"/>
                <w:sz w:val="22"/>
                <w:szCs w:val="22"/>
              </w:rPr>
            </w:pPr>
          </w:p>
          <w:p w14:paraId="2719CCFF"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Atribuirea către CNEAS a competenței de a adopta decizia de certificare a cadrelor medicale nu contravine principiului legalității administrative, având în vedere următoarele considerente:</w:t>
            </w:r>
          </w:p>
          <w:p w14:paraId="23DA15B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CNEAS exercită deja atribuții de putere publică, în temeiul Codului administrativ al RM, Legii 160/2011 privind reglementarea prin autorizare a activității de întreprinzător, Legii nr. 552/2001 privind evaluarea și acreditarea în sănătate, fiind instituția responsabilă pentru acreditarea instituțiilor medico-sanitare și emiterea actelor permisive în domeniu. Aceste atribuții implică, în mod evident, exercitarea unor funcții de autorizare și reglementare, similare celor prevăzute în proiectul de lege pentru certificarea profesională.</w:t>
            </w:r>
          </w:p>
          <w:p w14:paraId="007F3D50"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Noua competență propusă este complementară celor deja exercitate de CNEAS și se încadrează în profilul său funcțional, fără a extinde în mod arbitrar sfera atribuțiilor instituției. Proiectul de lege nu transformă CNEAS într-o autoritate administrativă nouă, ci consolidează rolul său în cadrul sistemului național de asigurare a calității în sănătate, printr-un mecanism coerent de certificare profesională</w:t>
            </w:r>
          </w:p>
          <w:p w14:paraId="2C5FCBE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Proiectul respectă principiul legalității administrative, întrucât instituirea atribuției de certificare se face expres prin lege organică, cu respectarea cerinței de previzibilitate și claritate a competențelor conferite instituției. </w:t>
            </w:r>
          </w:p>
          <w:p w14:paraId="721E2C57" w14:textId="77777777" w:rsidR="001E4866" w:rsidRDefault="001E4866">
            <w:pPr>
              <w:ind w:firstLine="0"/>
              <w:rPr>
                <w:rFonts w:ascii="Times New Roman" w:eastAsia="Times New Roman" w:hAnsi="Times New Roman" w:cs="Times New Roman"/>
                <w:sz w:val="22"/>
                <w:szCs w:val="22"/>
              </w:rPr>
            </w:pPr>
          </w:p>
          <w:p w14:paraId="0A97FFA1"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În plus, modelul de reglementare propus a fost fundamentat inclusiv pe bunele practici din statele membre ale Uniunii Europene, în special modelul Lituaniei, unde un organism similar, aflat în afara </w:t>
            </w:r>
            <w:r>
              <w:rPr>
                <w:rFonts w:ascii="Times New Roman" w:eastAsia="Times New Roman" w:hAnsi="Times New Roman" w:cs="Times New Roman"/>
                <w:sz w:val="22"/>
                <w:szCs w:val="22"/>
              </w:rPr>
              <w:lastRenderedPageBreak/>
              <w:t>structurilor administrative clasice, gestionează atât acreditarea instituțiilor, cât și certificarea profesională a personalului medical, cu respectarea standardelor de imparțialitate și eficiență.</w:t>
            </w:r>
          </w:p>
          <w:p w14:paraId="043682A8" w14:textId="77777777" w:rsidR="001E4866" w:rsidRDefault="001E4866">
            <w:pPr>
              <w:ind w:firstLine="0"/>
              <w:rPr>
                <w:rFonts w:ascii="Times New Roman" w:eastAsia="Times New Roman" w:hAnsi="Times New Roman" w:cs="Times New Roman"/>
                <w:sz w:val="22"/>
                <w:szCs w:val="22"/>
              </w:rPr>
            </w:pPr>
          </w:p>
          <w:p w14:paraId="3A3F1F3A"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Proiectul prevede delimitarea clară între cele două procese, iar normele de aplicare vor fi stabilite de Guvern pentru a garanta transparența și imparțialitatea.</w:t>
            </w:r>
          </w:p>
        </w:tc>
      </w:tr>
      <w:tr w:rsidR="001E4866" w14:paraId="2629E62C" w14:textId="77777777">
        <w:trPr>
          <w:trHeight w:val="3929"/>
        </w:trPr>
        <w:tc>
          <w:tcPr>
            <w:tcW w:w="1335" w:type="dxa"/>
            <w:vMerge/>
          </w:tcPr>
          <w:p w14:paraId="1C44660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905" w:type="dxa"/>
            <w:vMerge/>
            <w:tcMar>
              <w:top w:w="0" w:type="dxa"/>
              <w:bottom w:w="0" w:type="dxa"/>
            </w:tcMar>
          </w:tcPr>
          <w:p w14:paraId="070C0CEB"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1575" w:type="dxa"/>
            <w:vMerge/>
            <w:tcMar>
              <w:top w:w="0" w:type="dxa"/>
              <w:bottom w:w="0" w:type="dxa"/>
            </w:tcMar>
          </w:tcPr>
          <w:p w14:paraId="74584113"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b/>
                <w:bCs/>
                <w:sz w:val="22"/>
                <w:szCs w:val="22"/>
              </w:rPr>
            </w:pPr>
          </w:p>
        </w:tc>
        <w:tc>
          <w:tcPr>
            <w:tcW w:w="4785" w:type="dxa"/>
            <w:tcMar>
              <w:top w:w="0" w:type="dxa"/>
              <w:bottom w:w="0" w:type="dxa"/>
            </w:tcMar>
          </w:tcPr>
          <w:p w14:paraId="78C56E75" w14:textId="77777777" w:rsidR="001E4866" w:rsidRDefault="00000000">
            <w:pPr>
              <w:shd w:val="clear" w:color="auto" w:fill="FFFFFF"/>
              <w:spacing w:before="240" w:after="240" w:line="256" w:lineRule="auto"/>
              <w:ind w:firstLine="0"/>
              <w:rPr>
                <w:rFonts w:ascii="Times New Roman" w:eastAsia="Times New Roman" w:hAnsi="Times New Roman" w:cs="Times New Roman"/>
                <w:sz w:val="16"/>
                <w:szCs w:val="16"/>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2"/>
                <w:szCs w:val="22"/>
              </w:rPr>
              <w:t>Proiectul în cauză are un scop nobil de armonizare și aliniere treptată a legislației naționale la acquis-</w:t>
            </w:r>
            <w:proofErr w:type="spellStart"/>
            <w:r>
              <w:rPr>
                <w:rFonts w:ascii="Times New Roman" w:eastAsia="Times New Roman" w:hAnsi="Times New Roman" w:cs="Times New Roman"/>
                <w:sz w:val="22"/>
                <w:szCs w:val="22"/>
              </w:rPr>
              <w:t>ul</w:t>
            </w:r>
            <w:proofErr w:type="spellEnd"/>
            <w:r>
              <w:rPr>
                <w:rFonts w:ascii="Times New Roman" w:eastAsia="Times New Roman" w:hAnsi="Times New Roman" w:cs="Times New Roman"/>
                <w:sz w:val="22"/>
                <w:szCs w:val="22"/>
              </w:rPr>
              <w:t xml:space="preserve"> european, inclusiv în domeniul reglementării profesiilor și mobilității forței de muncă, fapt pe care îl susținem, dar nu cu prețul lezării unor garanții deja stabilite pentru salariații din sănătate. Unele prevederi ale proiectului afectează drepturile și interesele legale ale salariaților cu profesii medicale și farmaceutice, prin reducerea nivelului de protecție (legislația națională de facto se înrăutățește), fapt care contravine angajamentelor asumate de Republica Moldova prin art. 371 din Acordul de Asociere RM-UE, care nu admite reducerea nivelului de protecție prevăzut în legislația națională în materie de mediu sau de muncă.</w:t>
            </w:r>
          </w:p>
        </w:tc>
        <w:tc>
          <w:tcPr>
            <w:tcW w:w="4635" w:type="dxa"/>
            <w:vMerge/>
            <w:tcMar>
              <w:top w:w="0" w:type="dxa"/>
              <w:bottom w:w="0" w:type="dxa"/>
            </w:tcMar>
          </w:tcPr>
          <w:p w14:paraId="492B88B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16"/>
                <w:szCs w:val="16"/>
              </w:rPr>
            </w:pPr>
          </w:p>
        </w:tc>
      </w:tr>
      <w:tr w:rsidR="001E4866" w14:paraId="6364BC9A" w14:textId="77777777">
        <w:trPr>
          <w:trHeight w:val="4603"/>
        </w:trPr>
        <w:tc>
          <w:tcPr>
            <w:tcW w:w="1335" w:type="dxa"/>
            <w:vMerge/>
          </w:tcPr>
          <w:p w14:paraId="306FF735"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16"/>
                <w:szCs w:val="16"/>
              </w:rPr>
            </w:pPr>
          </w:p>
        </w:tc>
        <w:tc>
          <w:tcPr>
            <w:tcW w:w="1905" w:type="dxa"/>
            <w:vMerge/>
            <w:tcMar>
              <w:top w:w="0" w:type="dxa"/>
              <w:bottom w:w="0" w:type="dxa"/>
            </w:tcMar>
          </w:tcPr>
          <w:p w14:paraId="526B8232"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16"/>
                <w:szCs w:val="16"/>
              </w:rPr>
            </w:pPr>
          </w:p>
        </w:tc>
        <w:tc>
          <w:tcPr>
            <w:tcW w:w="1575" w:type="dxa"/>
            <w:vMerge/>
            <w:tcMar>
              <w:top w:w="0" w:type="dxa"/>
              <w:bottom w:w="0" w:type="dxa"/>
            </w:tcMar>
          </w:tcPr>
          <w:p w14:paraId="016E9F1F"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16"/>
                <w:szCs w:val="16"/>
              </w:rPr>
            </w:pPr>
          </w:p>
        </w:tc>
        <w:tc>
          <w:tcPr>
            <w:tcW w:w="4785" w:type="dxa"/>
            <w:tcMar>
              <w:top w:w="0" w:type="dxa"/>
              <w:bottom w:w="0" w:type="dxa"/>
            </w:tcMar>
          </w:tcPr>
          <w:p w14:paraId="0BDB0B68"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2"/>
                <w:szCs w:val="22"/>
              </w:rPr>
              <w:t>Proiectul de lege prevede desemnarea Consiliului Național de Evaluare și Acreditare în Sănătate ca autoritate responsabilă  de certificarea cadrelor medicale și farmaceutice. Or, CNEAS nu are statut de autoritate publică cu atribuții de reglementare și control, conform principiului legalității administrative. Însă prin conținutul art.12</w:t>
            </w:r>
            <w:r>
              <w:rPr>
                <w:rFonts w:ascii="Trebuchet MS" w:eastAsia="Trebuchet MS" w:hAnsi="Trebuchet MS" w:cs="Trebuchet MS"/>
                <w:sz w:val="22"/>
                <w:szCs w:val="22"/>
              </w:rPr>
              <w:t>¹</w:t>
            </w:r>
            <w:r>
              <w:rPr>
                <w:rFonts w:ascii="Times New Roman" w:eastAsia="Times New Roman" w:hAnsi="Times New Roman" w:cs="Times New Roman"/>
                <w:sz w:val="22"/>
                <w:szCs w:val="22"/>
              </w:rPr>
              <w:t xml:space="preserve">-12³ CNEAS este delegat cu competențe exclusive de certificare, suspendare și retragere a cardului profesional, fără a le putea delega altor autorități. Dintr-o altă perspectivă absolut obiectivă, atribuirea concomitentă a CNEAS cu competențe de acreditare a instituțiilor medicale, pe de o parte și competențe exclusive de certificare a cadrelor medicale și farmaceutice, pe de altă parte, ar putea genera riscuri de interese instituționale. </w:t>
            </w:r>
          </w:p>
        </w:tc>
        <w:tc>
          <w:tcPr>
            <w:tcW w:w="4635" w:type="dxa"/>
            <w:vMerge/>
            <w:tcMar>
              <w:top w:w="0" w:type="dxa"/>
              <w:bottom w:w="0" w:type="dxa"/>
            </w:tcMar>
          </w:tcPr>
          <w:p w14:paraId="6D514F86" w14:textId="77777777" w:rsidR="001E4866" w:rsidRDefault="001E4866">
            <w:pPr>
              <w:widowControl w:val="0"/>
              <w:pBdr>
                <w:top w:val="nil"/>
                <w:left w:val="nil"/>
                <w:bottom w:val="nil"/>
                <w:right w:val="nil"/>
                <w:between w:val="nil"/>
              </w:pBdr>
              <w:spacing w:line="276" w:lineRule="auto"/>
              <w:ind w:firstLine="0"/>
              <w:jc w:val="left"/>
              <w:rPr>
                <w:rFonts w:ascii="Times New Roman" w:eastAsia="Times New Roman" w:hAnsi="Times New Roman" w:cs="Times New Roman"/>
                <w:sz w:val="22"/>
                <w:szCs w:val="22"/>
              </w:rPr>
            </w:pPr>
          </w:p>
        </w:tc>
      </w:tr>
      <w:tr w:rsidR="001E4866" w14:paraId="6C136BF9" w14:textId="77777777">
        <w:trPr>
          <w:trHeight w:val="3929"/>
        </w:trPr>
        <w:tc>
          <w:tcPr>
            <w:tcW w:w="1335" w:type="dxa"/>
          </w:tcPr>
          <w:p w14:paraId="2AA45E5A"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7EC46694"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4FA02B55"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4EAB478D" w14:textId="77777777" w:rsidR="001E4866" w:rsidRDefault="00000000">
            <w:pPr>
              <w:shd w:val="clear" w:color="auto" w:fill="FFFFFF"/>
              <w:spacing w:before="240" w:after="240" w:line="256" w:lineRule="auto"/>
              <w:ind w:firstLine="0"/>
              <w:rPr>
                <w:rFonts w:ascii="Times New Roman" w:eastAsia="Times New Roman" w:hAnsi="Times New Roman" w:cs="Times New Roman"/>
                <w:sz w:val="14"/>
                <w:szCs w:val="14"/>
              </w:rPr>
            </w:pPr>
            <w:r>
              <w:rPr>
                <w:rFonts w:ascii="Times New Roman" w:eastAsia="Times New Roman" w:hAnsi="Times New Roman" w:cs="Times New Roman"/>
                <w:sz w:val="22"/>
                <w:szCs w:val="22"/>
              </w:rPr>
              <w:t xml:space="preserve">Nu este  reflectat impactul economic al  proiectului de lege propus asupra salariaților din domeniu. Din conținutul proiectului se deduce că activitatea de reglementare a exercitării profesiunilor medico-sanitare și farmaceutice va presupune anumite costuri suplimentare (încă necuantificate) pentru cadrele medicale și farmaceutice, plăți care va trebui să asigure compensarea cheltuielilor de instituire a unei subdiviziuni specializate în cadrul CNEAS, instituție publică finanțată de la bugetul de stat, dar pentru care nu sunt prevăzute surse în Cadrul Bugetar. Metodologia de calculare a taxelor și cuantumul acestora nu sunt incluse în proiect, respectiv este greu de apreciat impactul financiar al acestora asupra veniturilor cadrelor medicale. Sub </w:t>
            </w:r>
            <w:r>
              <w:rPr>
                <w:rFonts w:ascii="Times New Roman" w:eastAsia="Times New Roman" w:hAnsi="Times New Roman" w:cs="Times New Roman"/>
                <w:sz w:val="22"/>
                <w:szCs w:val="22"/>
              </w:rPr>
              <w:lastRenderedPageBreak/>
              <w:t>aspect de fundamentare financiară, proiectul nu are predictibilitate și este netransparent. De menționat că, Directiva prevede că orice tarif trebuie să fie rezonabil și să nu acționeze ca un factor de descurajare pentru cadrele medicale și farmaceutice.</w:t>
            </w:r>
          </w:p>
        </w:tc>
        <w:tc>
          <w:tcPr>
            <w:tcW w:w="4635" w:type="dxa"/>
            <w:tcMar>
              <w:top w:w="0" w:type="dxa"/>
              <w:bottom w:w="0" w:type="dxa"/>
            </w:tcMar>
          </w:tcPr>
          <w:p w14:paraId="1BE4C6BD"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Comentariu</w:t>
            </w:r>
          </w:p>
          <w:p w14:paraId="32A90452"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Conform Notei de fundamentare a proiectului de lege, costul estimativ aferent instituirii unei subdiviziuni specializate pentru certificarea cadrelor medicale, în cadrul CNEAS, în volum de 2231,1 mii lei va fi acoperit din contul veniturilor proprii ale CNEAS. Sursele financiare în volum de 11.191,3 mii lei necesare suplimentar pentru dezvoltarea și implementarea sistemului național de certificare, vor fi acoperite conform Planului de creștere al Republicii Moldova pentru anii 2025-2027 (</w:t>
            </w:r>
            <w:proofErr w:type="spellStart"/>
            <w:r>
              <w:rPr>
                <w:rFonts w:ascii="Times New Roman" w:eastAsia="Times New Roman" w:hAnsi="Times New Roman" w:cs="Times New Roman"/>
                <w:sz w:val="22"/>
                <w:szCs w:val="22"/>
              </w:rPr>
              <w:t>Growth</w:t>
            </w:r>
            <w:proofErr w:type="spellEnd"/>
            <w:r>
              <w:rPr>
                <w:rFonts w:ascii="Times New Roman" w:eastAsia="Times New Roman" w:hAnsi="Times New Roman" w:cs="Times New Roman"/>
                <w:sz w:val="22"/>
                <w:szCs w:val="22"/>
              </w:rPr>
              <w:t xml:space="preserve"> Plan).</w:t>
            </w:r>
          </w:p>
          <w:p w14:paraId="19179874" w14:textId="77777777" w:rsidR="001E4866" w:rsidRDefault="001E4866">
            <w:pPr>
              <w:ind w:firstLine="0"/>
              <w:rPr>
                <w:rFonts w:ascii="Times New Roman" w:eastAsia="Times New Roman" w:hAnsi="Times New Roman" w:cs="Times New Roman"/>
                <w:sz w:val="22"/>
                <w:szCs w:val="22"/>
              </w:rPr>
            </w:pPr>
          </w:p>
          <w:p w14:paraId="39406BB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Stabilirea exactă a taxelor nu este obiectul de reglementare a unei legi-cadru, ci urmează a fi determinată prin acte normative secundare, conform art. 12</w:t>
            </w:r>
            <w:r>
              <w:rPr>
                <w:rFonts w:ascii="Times New Roman" w:eastAsia="Times New Roman" w:hAnsi="Times New Roman" w:cs="Times New Roman"/>
                <w:sz w:val="22"/>
                <w:szCs w:val="22"/>
                <w:vertAlign w:val="superscript"/>
              </w:rPr>
              <w:t>5</w:t>
            </w:r>
            <w:r>
              <w:rPr>
                <w:rFonts w:ascii="Times New Roman" w:eastAsia="Times New Roman" w:hAnsi="Times New Roman" w:cs="Times New Roman"/>
                <w:sz w:val="22"/>
                <w:szCs w:val="22"/>
              </w:rPr>
              <w:t xml:space="preserve"> din proiect. Acesta prevede </w:t>
            </w:r>
            <w:r>
              <w:rPr>
                <w:rFonts w:ascii="Times New Roman" w:eastAsia="Times New Roman" w:hAnsi="Times New Roman" w:cs="Times New Roman"/>
                <w:sz w:val="22"/>
                <w:szCs w:val="22"/>
              </w:rPr>
              <w:lastRenderedPageBreak/>
              <w:t>expres că metodologia de calcul al taxelor va fi aprobată de Guvern și va prevedea costurile serviciilor aferente procedurilor administrative de eliberare a cardului profesional național (i.e. conform prevederilor Directivei 36/2005). Acest mecanism corespunde normelor privind reglementarea serviciilor publice administrative și permite flexibilitate în funcție de evaluarea impactului financiar și a necesităților de echitate. Totodată, în cadrul normativ subsecvent vor putea fi prevăzute scutiri sau facilități pentru categorii specifice, conform metodologiei elaborate.</w:t>
            </w:r>
          </w:p>
          <w:p w14:paraId="77720414" w14:textId="77777777" w:rsidR="001E4866" w:rsidRDefault="001E4866">
            <w:pPr>
              <w:ind w:firstLine="0"/>
              <w:rPr>
                <w:rFonts w:ascii="Times New Roman" w:eastAsia="Times New Roman" w:hAnsi="Times New Roman" w:cs="Times New Roman"/>
                <w:b/>
                <w:bCs/>
                <w:sz w:val="22"/>
                <w:szCs w:val="22"/>
              </w:rPr>
            </w:pPr>
          </w:p>
        </w:tc>
      </w:tr>
      <w:tr w:rsidR="001E4866" w14:paraId="414ACFAB" w14:textId="77777777">
        <w:trPr>
          <w:trHeight w:val="1740"/>
        </w:trPr>
        <w:tc>
          <w:tcPr>
            <w:tcW w:w="1335" w:type="dxa"/>
          </w:tcPr>
          <w:p w14:paraId="4022214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786350F8"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1526326E"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75697502" w14:textId="77777777" w:rsidR="001E4866" w:rsidRDefault="00000000">
            <w:pPr>
              <w:shd w:val="clear" w:color="auto" w:fill="FFFFFF"/>
              <w:spacing w:before="240" w:after="240" w:line="256"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Termenul de intrare în vigoare a proiectului, 1 ianuarie 2026, respectiv 1 ianuarie 2027, este foarte limitat, nefiind prevăzute condiții și perioade de tranziție, care ar duce la apariția unor blocaje în procesul de certificare și posibilitatea de exercitare a profesiunii.</w:t>
            </w:r>
          </w:p>
        </w:tc>
        <w:tc>
          <w:tcPr>
            <w:tcW w:w="4635" w:type="dxa"/>
            <w:tcMar>
              <w:top w:w="0" w:type="dxa"/>
              <w:bottom w:w="0" w:type="dxa"/>
            </w:tcMar>
          </w:tcPr>
          <w:p w14:paraId="69BABFC4"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3C5BADBA"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prevede un cadru normativ general, aplicabil tuturor cadrelor medicale, având în vedere caracterul universal al reglementării certificării ca mecanism de garantare a competenței profesionale și protejare a interesului public în sănătate.</w:t>
            </w:r>
          </w:p>
          <w:p w14:paraId="24248526" w14:textId="77777777" w:rsidR="001E4866" w:rsidRDefault="00000000">
            <w:pPr>
              <w:spacing w:before="240" w:after="240"/>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calendarul și procedura de aplicare graduală a sistemului de certificare urmează să fie stabilite prin cadrul normativ secundar, adoptat de Guvern, în conformitate cu prevederile proiectului de lege. Această abordare permite adaptarea măsurilor tranzitorii la specificul categoriilor profesionale, fără a bloca activitatea sistemului sau a crea disfuncționalități administrative.</w:t>
            </w:r>
          </w:p>
          <w:p w14:paraId="2814CEB5" w14:textId="77777777" w:rsidR="001E4866" w:rsidRDefault="001E4866">
            <w:pPr>
              <w:ind w:firstLine="0"/>
              <w:rPr>
                <w:rFonts w:ascii="Times New Roman" w:eastAsia="Times New Roman" w:hAnsi="Times New Roman" w:cs="Times New Roman"/>
                <w:b/>
                <w:bCs/>
                <w:sz w:val="22"/>
                <w:szCs w:val="22"/>
              </w:rPr>
            </w:pPr>
          </w:p>
        </w:tc>
      </w:tr>
      <w:tr w:rsidR="001E4866" w14:paraId="5A40FEA1" w14:textId="77777777">
        <w:trPr>
          <w:trHeight w:val="1740"/>
        </w:trPr>
        <w:tc>
          <w:tcPr>
            <w:tcW w:w="1335" w:type="dxa"/>
          </w:tcPr>
          <w:p w14:paraId="6E0DABC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1D832D1C"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4C6659EC"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0D9488E8"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4"/>
                <w:szCs w:val="24"/>
              </w:rPr>
              <w:t>În proiect nu se regăsește  colaborarea cu Comisiile de specialitate ale Ministerului Sănătății care actualmente sunt responsabile pentru furnizarea expertizei necesare din punct de vedere științific, profesional și metodologic.</w:t>
            </w:r>
          </w:p>
        </w:tc>
        <w:tc>
          <w:tcPr>
            <w:tcW w:w="4635" w:type="dxa"/>
            <w:tcMar>
              <w:top w:w="0" w:type="dxa"/>
              <w:bottom w:w="0" w:type="dxa"/>
            </w:tcMar>
          </w:tcPr>
          <w:p w14:paraId="1654DB6A"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50722EA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Proiectul prevede un cadru normativ general. Procedura și condițiile specifice privind certificarea și recunoașterea titlului de calificare va face obiect al transpunerii  prin cadrul normativ secundar. </w:t>
            </w:r>
          </w:p>
          <w:p w14:paraId="47747889" w14:textId="77777777" w:rsidR="001E4866" w:rsidRDefault="001E4866">
            <w:pPr>
              <w:ind w:firstLine="0"/>
              <w:rPr>
                <w:rFonts w:ascii="Times New Roman" w:eastAsia="Times New Roman" w:hAnsi="Times New Roman" w:cs="Times New Roman"/>
                <w:b/>
                <w:bCs/>
                <w:sz w:val="22"/>
                <w:szCs w:val="22"/>
              </w:rPr>
            </w:pPr>
          </w:p>
        </w:tc>
      </w:tr>
      <w:tr w:rsidR="001E4866" w14:paraId="614A3992" w14:textId="77777777">
        <w:trPr>
          <w:trHeight w:val="1740"/>
        </w:trPr>
        <w:tc>
          <w:tcPr>
            <w:tcW w:w="1335" w:type="dxa"/>
          </w:tcPr>
          <w:p w14:paraId="0A753EAF"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4EF26B08"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4500F93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516638C7" w14:textId="77777777" w:rsidR="001E4866" w:rsidRDefault="001E4866">
            <w:pPr>
              <w:shd w:val="clear" w:color="auto" w:fill="FFFFFF"/>
              <w:spacing w:before="240" w:after="240" w:line="256" w:lineRule="auto"/>
              <w:ind w:firstLine="0"/>
              <w:rPr>
                <w:rFonts w:ascii="Times New Roman" w:eastAsia="Times New Roman" w:hAnsi="Times New Roman" w:cs="Times New Roman"/>
                <w:sz w:val="22"/>
                <w:szCs w:val="22"/>
              </w:rPr>
            </w:pPr>
          </w:p>
          <w:p w14:paraId="599D1D28" w14:textId="77777777" w:rsidR="001E4866" w:rsidRDefault="00000000">
            <w:pPr>
              <w:shd w:val="clear" w:color="auto" w:fill="FFFFFF"/>
              <w:spacing w:before="240" w:after="240" w:line="256"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2"/>
                <w:szCs w:val="22"/>
              </w:rPr>
              <w:t>Nu este prevăzut mecanismul de contestare a  procedurilor aplicate.</w:t>
            </w:r>
          </w:p>
        </w:tc>
        <w:tc>
          <w:tcPr>
            <w:tcW w:w="4635" w:type="dxa"/>
            <w:tcMar>
              <w:top w:w="0" w:type="dxa"/>
              <w:bottom w:w="0" w:type="dxa"/>
            </w:tcMar>
          </w:tcPr>
          <w:p w14:paraId="7B7472D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3D660D0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Cadrul normativ primar privind acțiunea în contencios administrativ este stabilit de Codul administrativ al Republicii Moldova. Utilizarea acestei abordări permite integrarea coerentă a normelor prezentei legi în cadrul juridic existent și viitor, evitând redundanța prin reluarea exhaustivă a reglementărilor procedurale deja aplicabile sau care urmează a fi detaliate prin acte subsecvente, în conformitate cu principiile de tehnică legislativă. </w:t>
            </w:r>
          </w:p>
          <w:p w14:paraId="0F0F8411" w14:textId="77777777" w:rsidR="001E4866" w:rsidRDefault="001E4866">
            <w:pPr>
              <w:ind w:firstLine="0"/>
              <w:rPr>
                <w:rFonts w:ascii="Times New Roman" w:eastAsia="Times New Roman" w:hAnsi="Times New Roman" w:cs="Times New Roman"/>
                <w:b/>
                <w:bCs/>
                <w:sz w:val="22"/>
                <w:szCs w:val="22"/>
              </w:rPr>
            </w:pPr>
          </w:p>
        </w:tc>
      </w:tr>
      <w:tr w:rsidR="001E4866" w14:paraId="7345CEEC" w14:textId="77777777">
        <w:trPr>
          <w:trHeight w:val="1740"/>
        </w:trPr>
        <w:tc>
          <w:tcPr>
            <w:tcW w:w="1335" w:type="dxa"/>
          </w:tcPr>
          <w:p w14:paraId="778F751F"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558D135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202C75E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64B32130"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4"/>
                <w:szCs w:val="24"/>
              </w:rPr>
              <w:t xml:space="preserve">Constatăm că nota informativă la proiect, la descrierea problemelor care impun intervenția, invocă drept deficiență/lacună normativă lipsa unui mecanism bine definit și coerent de reglementare și aplicare a sancțiunilor disciplinare  a cadrelor medicale în cazul reclamațiilor pacienților determinate de calitatea asistenței medicale oferite. Ținem să menționăm că motivul invocat nu este pertinent, în contextul în care Codul muncii consacră un capitol integru pentru normele privind </w:t>
            </w:r>
            <w:r>
              <w:rPr>
                <w:rFonts w:ascii="Times New Roman" w:eastAsia="Times New Roman" w:hAnsi="Times New Roman" w:cs="Times New Roman"/>
                <w:sz w:val="24"/>
                <w:szCs w:val="24"/>
              </w:rPr>
              <w:lastRenderedPageBreak/>
              <w:t>disciplina muncii și pentru modul de aplicare a sancțiunilor disciplinare.</w:t>
            </w:r>
          </w:p>
        </w:tc>
        <w:tc>
          <w:tcPr>
            <w:tcW w:w="4635" w:type="dxa"/>
            <w:tcMar>
              <w:top w:w="0" w:type="dxa"/>
              <w:bottom w:w="0" w:type="dxa"/>
            </w:tcMar>
          </w:tcPr>
          <w:p w14:paraId="470D103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Comentariu</w:t>
            </w:r>
          </w:p>
          <w:p w14:paraId="5B340FC1" w14:textId="77777777" w:rsidR="001E4866" w:rsidRDefault="001E4866">
            <w:pPr>
              <w:ind w:firstLine="0"/>
              <w:rPr>
                <w:rFonts w:ascii="Times New Roman" w:eastAsia="Times New Roman" w:hAnsi="Times New Roman" w:cs="Times New Roman"/>
                <w:b/>
                <w:bCs/>
                <w:sz w:val="22"/>
                <w:szCs w:val="22"/>
              </w:rPr>
            </w:pPr>
          </w:p>
          <w:p w14:paraId="774D500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de lege reglementează regimul juridic al cardului profesional național, inclusiv situațiile care afectează valabilitatea, determinând în consecință suspendarea sau retragerea acestuia. Astfel, aceste norme nu dublează răspunderea disciplinară, contravențională, civilă sau penală a cadrului medico-sanitar sau farmaceutic prevăzută de legislația în vigoare.</w:t>
            </w:r>
          </w:p>
          <w:p w14:paraId="6C04127A" w14:textId="77777777" w:rsidR="001E4866" w:rsidRDefault="001E4866">
            <w:pPr>
              <w:ind w:firstLine="0"/>
              <w:rPr>
                <w:rFonts w:ascii="Times New Roman" w:eastAsia="Times New Roman" w:hAnsi="Times New Roman" w:cs="Times New Roman"/>
                <w:sz w:val="22"/>
                <w:szCs w:val="22"/>
              </w:rPr>
            </w:pPr>
          </w:p>
        </w:tc>
      </w:tr>
      <w:tr w:rsidR="001E4866" w14:paraId="16B34DAD" w14:textId="77777777">
        <w:trPr>
          <w:trHeight w:val="1740"/>
        </w:trPr>
        <w:tc>
          <w:tcPr>
            <w:tcW w:w="1335" w:type="dxa"/>
          </w:tcPr>
          <w:p w14:paraId="582036A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66DCCB47"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3F6F483F"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2B33707B"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Cu referire la art. I, pct.2 (care prevede completarea cu unele noțiuni principale):</w:t>
            </w:r>
          </w:p>
          <w:p w14:paraId="6F6EDF1F" w14:textId="77777777" w:rsidR="001E4866" w:rsidRDefault="00000000">
            <w:pPr>
              <w:shd w:val="clear" w:color="auto" w:fill="FFFFFF"/>
              <w:spacing w:before="240" w:after="240" w:line="256" w:lineRule="auto"/>
              <w:ind w:firstLine="700"/>
              <w:rPr>
                <w:rFonts w:ascii="Times New Roman" w:eastAsia="Times New Roman" w:hAnsi="Times New Roman" w:cs="Times New Roman"/>
                <w:sz w:val="22"/>
                <w:szCs w:val="22"/>
              </w:rPr>
            </w:pPr>
            <w:r>
              <w:rPr>
                <w:rFonts w:ascii="Times New Roman" w:eastAsia="Times New Roman" w:hAnsi="Times New Roman" w:cs="Times New Roman"/>
                <w:sz w:val="22"/>
                <w:szCs w:val="22"/>
              </w:rPr>
              <w:t>a)se definește noțiunile „calificare profesională” și „experiență profesională”, noțiuni care reduc din interesele legale ale salariaților din domeniu.</w:t>
            </w:r>
          </w:p>
          <w:p w14:paraId="0B728A32" w14:textId="77777777" w:rsidR="001E4866" w:rsidRDefault="00000000">
            <w:pPr>
              <w:shd w:val="clear" w:color="auto" w:fill="FFFFFF"/>
              <w:spacing w:before="240" w:after="240" w:line="256" w:lineRule="auto"/>
              <w:ind w:firstLine="700"/>
              <w:rPr>
                <w:rFonts w:ascii="Times New Roman" w:eastAsia="Times New Roman" w:hAnsi="Times New Roman" w:cs="Times New Roman"/>
                <w:sz w:val="22"/>
                <w:szCs w:val="22"/>
              </w:rPr>
            </w:pPr>
            <w:r>
              <w:rPr>
                <w:rFonts w:ascii="Times New Roman" w:eastAsia="Times New Roman" w:hAnsi="Times New Roman" w:cs="Times New Roman"/>
                <w:sz w:val="22"/>
                <w:szCs w:val="22"/>
              </w:rPr>
              <w:t>Noțiunea de „calificare profesională” este restrictivă întrucât presupune condiția deținerii atât a unui titlu de calificare sau atestat, cât și necesitatea deținerii unei experiențe profesionale, fapt ce lezează drepturile absolvenților și a tinerilor specialiști din domeniul medical.</w:t>
            </w:r>
          </w:p>
          <w:p w14:paraId="442C633A" w14:textId="77777777" w:rsidR="001E4866" w:rsidRDefault="00000000">
            <w:pPr>
              <w:shd w:val="clear" w:color="auto" w:fill="FFFFFF"/>
              <w:spacing w:before="240" w:after="240"/>
              <w:ind w:firstLine="700"/>
              <w:rPr>
                <w:rFonts w:ascii="Times New Roman" w:eastAsia="Times New Roman" w:hAnsi="Times New Roman" w:cs="Times New Roman"/>
                <w:sz w:val="22"/>
                <w:szCs w:val="22"/>
              </w:rPr>
            </w:pPr>
            <w:r>
              <w:rPr>
                <w:rFonts w:ascii="Times New Roman" w:eastAsia="Times New Roman" w:hAnsi="Times New Roman" w:cs="Times New Roman"/>
                <w:sz w:val="22"/>
                <w:szCs w:val="22"/>
              </w:rPr>
              <w:t>Noțiunea „experiență profesională”, prin restricționarea cu cuvintele „normă întreagă”  este inechitabilă față de salariații care lucrează pe regim de activitate redus sau timp de muncă parțial, fapt ce contravine prevederilor art.97</w:t>
            </w:r>
            <w:r>
              <w:rPr>
                <w:rFonts w:ascii="Trebuchet MS" w:eastAsia="Trebuchet MS" w:hAnsi="Trebuchet MS" w:cs="Trebuchet MS"/>
                <w:sz w:val="22"/>
                <w:szCs w:val="22"/>
              </w:rPr>
              <w:t>¹</w:t>
            </w:r>
            <w:r>
              <w:rPr>
                <w:rFonts w:ascii="Times New Roman" w:eastAsia="Times New Roman" w:hAnsi="Times New Roman" w:cs="Times New Roman"/>
                <w:sz w:val="22"/>
                <w:szCs w:val="22"/>
              </w:rPr>
              <w:t xml:space="preserve"> din Codul muncii. Cu atât mai mult că precizarea „sau echivalent parțial a profesiei” este tradusă tehnic fără a fi reformulată armonios cu legislația națională. De menționat este că, în special în cazul tinerilor, se </w:t>
            </w:r>
            <w:r>
              <w:rPr>
                <w:rFonts w:ascii="Times New Roman" w:eastAsia="Times New Roman" w:hAnsi="Times New Roman" w:cs="Times New Roman"/>
                <w:sz w:val="22"/>
                <w:szCs w:val="22"/>
              </w:rPr>
              <w:lastRenderedPageBreak/>
              <w:t>practică exercitarea activității medicale pe regim redus sau parțial.</w:t>
            </w:r>
          </w:p>
          <w:p w14:paraId="75E77159" w14:textId="08B8964B" w:rsidR="001E4866" w:rsidRDefault="00000000">
            <w:pPr>
              <w:shd w:val="clear" w:color="auto" w:fill="FFFFFF"/>
              <w:spacing w:before="240" w:after="240" w:line="256" w:lineRule="auto"/>
              <w:ind w:firstLine="700"/>
              <w:rPr>
                <w:rFonts w:ascii="Times New Roman" w:eastAsia="Times New Roman" w:hAnsi="Times New Roman" w:cs="Times New Roman"/>
                <w:sz w:val="22"/>
                <w:szCs w:val="22"/>
              </w:rPr>
            </w:pPr>
            <w:r>
              <w:rPr>
                <w:rFonts w:ascii="Times New Roman" w:eastAsia="Times New Roman" w:hAnsi="Times New Roman" w:cs="Times New Roman"/>
                <w:sz w:val="22"/>
                <w:szCs w:val="22"/>
              </w:rPr>
              <w:t>De asemenea noțiunea de „probă de aptitudini” este o noțiune absolut nouă în legislația națională de domeniu, preluată din Directivă, fără a fi armonizată cu particularitățile din domeniul sănătății.</w:t>
            </w:r>
            <w:r w:rsidR="00861B2E">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Respectiv, considerăm necesară revederea definițiilor noțiunilor în cauză, inclusiv prin corelarea acestora cu prevederile Codului educației.</w:t>
            </w:r>
          </w:p>
          <w:p w14:paraId="4AF455E6"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2"/>
                <w:szCs w:val="22"/>
              </w:rPr>
              <w:t>Cu referire la noțiunea de „certificare” din proiect menționăm că, în Codul educației  deja este definită această noțiune ca fiind ”procesul de validare formală, în urma unei proceduri standard de evaluare, a rezultatelor învățării în contextul educației formale, non formale și informale”, respectiv este necesar de a reformula și redefini noțiunea respectivă după cum urmează „certificarea în domeniul medico-sanitar și farmaceutic” pentru a delimita clar domeniul și contextul de utilizare.</w:t>
            </w:r>
          </w:p>
        </w:tc>
        <w:tc>
          <w:tcPr>
            <w:tcW w:w="4635" w:type="dxa"/>
            <w:tcMar>
              <w:top w:w="0" w:type="dxa"/>
              <w:bottom w:w="0" w:type="dxa"/>
            </w:tcMar>
          </w:tcPr>
          <w:p w14:paraId="1A90280E"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Comentariu</w:t>
            </w:r>
          </w:p>
          <w:p w14:paraId="275D703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Utilizarea noțiunilor respective este justificată prin necesitatea alinierii la terminologia utilizată în Directiva 2005/36/CE privind recunoașterea calificărilor profesionale. În cazul de față, folosirea acestor termeni asigură coerența cu dreptul european și sprijină transpunerea directă și unitară a Directivei.</w:t>
            </w:r>
          </w:p>
          <w:p w14:paraId="46A69A43" w14:textId="77777777" w:rsidR="001E4866" w:rsidRDefault="001E4866">
            <w:pPr>
              <w:ind w:firstLine="0"/>
              <w:rPr>
                <w:rFonts w:ascii="Times New Roman" w:eastAsia="Times New Roman" w:hAnsi="Times New Roman" w:cs="Times New Roman"/>
                <w:b/>
                <w:bCs/>
                <w:sz w:val="22"/>
                <w:szCs w:val="22"/>
              </w:rPr>
            </w:pPr>
          </w:p>
          <w:p w14:paraId="0078E398" w14:textId="77777777" w:rsidR="001E4866" w:rsidRDefault="001E4866">
            <w:pPr>
              <w:ind w:firstLine="0"/>
              <w:rPr>
                <w:rFonts w:ascii="Times New Roman" w:eastAsia="Times New Roman" w:hAnsi="Times New Roman" w:cs="Times New Roman"/>
                <w:b/>
                <w:bCs/>
                <w:sz w:val="22"/>
                <w:szCs w:val="22"/>
              </w:rPr>
            </w:pPr>
          </w:p>
          <w:p w14:paraId="38BFFD3C" w14:textId="77777777" w:rsidR="001E4866" w:rsidRDefault="001E4866">
            <w:pPr>
              <w:ind w:firstLine="0"/>
              <w:rPr>
                <w:rFonts w:ascii="Times New Roman" w:eastAsia="Times New Roman" w:hAnsi="Times New Roman" w:cs="Times New Roman"/>
                <w:b/>
                <w:bCs/>
                <w:sz w:val="22"/>
                <w:szCs w:val="22"/>
              </w:rPr>
            </w:pPr>
          </w:p>
          <w:p w14:paraId="3862B76C" w14:textId="77777777" w:rsidR="001E4866" w:rsidRDefault="001E4866">
            <w:pPr>
              <w:ind w:firstLine="0"/>
              <w:rPr>
                <w:rFonts w:ascii="Times New Roman" w:eastAsia="Times New Roman" w:hAnsi="Times New Roman" w:cs="Times New Roman"/>
                <w:b/>
                <w:bCs/>
                <w:sz w:val="22"/>
                <w:szCs w:val="22"/>
              </w:rPr>
            </w:pPr>
          </w:p>
          <w:p w14:paraId="3E237A42"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Nu se acceptă</w:t>
            </w:r>
          </w:p>
          <w:p w14:paraId="72160F83"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Noțiunea de certificare este utilizată pe larg în legislația națională (ex. Codul educației, Legea 160/2011 privind reglementarea prin autorizare a activității de întreprinzător, Legea 235/2011 privind activitățile de acreditare și de evaluare a conformității, etc.). Prezentul proiect detaliază norme adaptate particularităților din domeniul sănătății. În acest sens, unele noțiuni au un conținut mai restrâns, în conformitate cu cerințele specifice aplicate profesiilor medico-sanitare și farmaceutice. Adițional, noțiunile vizate sunt utilizate direct în textul proiectului de lege. Astfel, din punct de vedere al coerenței legislative și al clarității aplicării legii, este rațional și necesar ca aceste noțiuni să fie definite în mod expres în </w:t>
            </w:r>
            <w:r>
              <w:rPr>
                <w:rFonts w:ascii="Times New Roman" w:eastAsia="Times New Roman" w:hAnsi="Times New Roman" w:cs="Times New Roman"/>
                <w:sz w:val="22"/>
                <w:szCs w:val="22"/>
              </w:rPr>
              <w:lastRenderedPageBreak/>
              <w:t>articolul dedicat termenilor, pentru a asigura interpretarea unitară și pentru a evita orice ambiguități în aplicarea normelor.</w:t>
            </w:r>
          </w:p>
          <w:p w14:paraId="535E171D" w14:textId="77777777" w:rsidR="001E4866" w:rsidRDefault="001E4866">
            <w:pPr>
              <w:ind w:firstLine="0"/>
              <w:rPr>
                <w:rFonts w:ascii="Times New Roman" w:eastAsia="Times New Roman" w:hAnsi="Times New Roman" w:cs="Times New Roman"/>
                <w:sz w:val="22"/>
                <w:szCs w:val="22"/>
              </w:rPr>
            </w:pPr>
          </w:p>
          <w:p w14:paraId="5BA99D8F" w14:textId="77777777" w:rsidR="001E4866" w:rsidRDefault="001E4866">
            <w:pPr>
              <w:ind w:firstLine="0"/>
              <w:rPr>
                <w:rFonts w:ascii="Times New Roman" w:eastAsia="Times New Roman" w:hAnsi="Times New Roman" w:cs="Times New Roman"/>
                <w:sz w:val="22"/>
                <w:szCs w:val="22"/>
                <w:highlight w:val="yellow"/>
              </w:rPr>
            </w:pPr>
          </w:p>
          <w:p w14:paraId="150E519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615DC5A1" w14:textId="77777777" w:rsidR="001E4866" w:rsidRDefault="001E4866">
            <w:pPr>
              <w:ind w:firstLine="0"/>
              <w:rPr>
                <w:rFonts w:ascii="Times New Roman" w:eastAsia="Times New Roman" w:hAnsi="Times New Roman" w:cs="Times New Roman"/>
                <w:sz w:val="22"/>
                <w:szCs w:val="22"/>
              </w:rPr>
            </w:pPr>
          </w:p>
          <w:p w14:paraId="6573AA45" w14:textId="77777777" w:rsidR="001E4866" w:rsidRDefault="001E4866">
            <w:pPr>
              <w:ind w:firstLine="0"/>
              <w:rPr>
                <w:rFonts w:ascii="Times New Roman" w:eastAsia="Times New Roman" w:hAnsi="Times New Roman" w:cs="Times New Roman"/>
                <w:sz w:val="22"/>
                <w:szCs w:val="22"/>
              </w:rPr>
            </w:pPr>
          </w:p>
          <w:p w14:paraId="215811C7" w14:textId="77777777" w:rsidR="001E4866" w:rsidRDefault="001E4866">
            <w:pPr>
              <w:ind w:firstLine="0"/>
              <w:rPr>
                <w:rFonts w:ascii="Times New Roman" w:eastAsia="Times New Roman" w:hAnsi="Times New Roman" w:cs="Times New Roman"/>
                <w:sz w:val="22"/>
                <w:szCs w:val="22"/>
              </w:rPr>
            </w:pPr>
          </w:p>
          <w:p w14:paraId="4AAECAA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 asemenea, utilizarea repetată a unei expresii extinse, precum </w:t>
            </w:r>
            <w:r>
              <w:rPr>
                <w:rFonts w:ascii="Times New Roman" w:eastAsia="Times New Roman" w:hAnsi="Times New Roman" w:cs="Times New Roman"/>
                <w:i/>
                <w:iCs/>
                <w:sz w:val="22"/>
                <w:szCs w:val="22"/>
              </w:rPr>
              <w:t>„certificarea  în domeniul medico-sanitar și farmaceutic”</w:t>
            </w:r>
            <w:r>
              <w:rPr>
                <w:rFonts w:ascii="Times New Roman" w:eastAsia="Times New Roman" w:hAnsi="Times New Roman" w:cs="Times New Roman"/>
                <w:sz w:val="22"/>
                <w:szCs w:val="22"/>
              </w:rPr>
              <w:t>, ar afecta negativ lizibilitatea și coerența normei juridice, contrar cerințelor de tehnică legislativă.</w:t>
            </w:r>
          </w:p>
          <w:p w14:paraId="2EA1F7FC" w14:textId="77777777" w:rsidR="001E4866" w:rsidRDefault="001E4866">
            <w:pPr>
              <w:ind w:firstLine="0"/>
              <w:rPr>
                <w:rFonts w:ascii="Times New Roman" w:eastAsia="Times New Roman" w:hAnsi="Times New Roman" w:cs="Times New Roman"/>
                <w:b/>
                <w:bCs/>
                <w:sz w:val="22"/>
                <w:szCs w:val="22"/>
              </w:rPr>
            </w:pPr>
          </w:p>
        </w:tc>
      </w:tr>
      <w:tr w:rsidR="001E4866" w14:paraId="5CDD43EB" w14:textId="77777777">
        <w:trPr>
          <w:trHeight w:val="1740"/>
        </w:trPr>
        <w:tc>
          <w:tcPr>
            <w:tcW w:w="1335" w:type="dxa"/>
          </w:tcPr>
          <w:p w14:paraId="77B79221"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586DE33D"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AB380B1"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235CBE80" w14:textId="77777777" w:rsidR="001E4866" w:rsidRDefault="00000000">
            <w:pPr>
              <w:shd w:val="clear" w:color="auto" w:fill="FFFFFF"/>
              <w:spacing w:before="240" w:after="240" w:line="256" w:lineRule="auto"/>
              <w:ind w:firstLine="70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considerăm necesar de a expune și defini noțiunea de „certificare în domeniul medico-sanitar și farmaceutic” nu în Legea ocrotirii sănătății nr. 411/1995, dar în Legea privind evaluarea și acreditarea în sănătate nr. 552/2001, la art.2, concomitent cu celelalte noțiuni noi. Drept argument la acestea este faptul că Legea nr. 552/2001 se completează cu un capitol nou </w:t>
            </w:r>
            <w:r>
              <w:rPr>
                <w:rFonts w:ascii="Times New Roman" w:eastAsia="Times New Roman" w:hAnsi="Times New Roman" w:cs="Times New Roman"/>
                <w:i/>
                <w:iCs/>
                <w:sz w:val="22"/>
                <w:szCs w:val="22"/>
              </w:rPr>
              <w:t xml:space="preserve">Sistemul de certificare a cadrelor medicale și farmaceutice. </w:t>
            </w:r>
            <w:r>
              <w:rPr>
                <w:rFonts w:ascii="Times New Roman" w:eastAsia="Times New Roman" w:hAnsi="Times New Roman" w:cs="Times New Roman"/>
                <w:sz w:val="22"/>
                <w:szCs w:val="22"/>
              </w:rPr>
              <w:t xml:space="preserve"> Totodată există și un alt argument, Legea în cauză </w:t>
            </w:r>
            <w:r>
              <w:rPr>
                <w:rFonts w:ascii="Times New Roman" w:eastAsia="Times New Roman" w:hAnsi="Times New Roman" w:cs="Times New Roman"/>
                <w:sz w:val="22"/>
                <w:szCs w:val="22"/>
              </w:rPr>
              <w:lastRenderedPageBreak/>
              <w:t>prevede noțiunile de „acreditare” și „certificat de acreditare”, respectiv,  prin similitudine, apare necesitatea de a expune aici noțiunea de „certificare în domeniul medico-sanitar și farmaceutic”, întrucât se completează cu noțiunile „certificat de conformitate”, „certificat de schimbare a titlului”, „registrul unic al cadrelor medicale și farmaceutice certificate” etc.</w:t>
            </w:r>
          </w:p>
          <w:p w14:paraId="3804F0D1" w14:textId="77777777" w:rsidR="001E4866" w:rsidRDefault="00000000">
            <w:pPr>
              <w:shd w:val="clear" w:color="auto" w:fill="FFFFFF"/>
              <w:spacing w:before="240" w:after="240" w:line="256" w:lineRule="auto"/>
              <w:ind w:firstLine="700"/>
              <w:rPr>
                <w:rFonts w:ascii="Times New Roman" w:eastAsia="Times New Roman" w:hAnsi="Times New Roman" w:cs="Times New Roman"/>
                <w:sz w:val="22"/>
                <w:szCs w:val="22"/>
              </w:rPr>
            </w:pPr>
            <w:r>
              <w:rPr>
                <w:rFonts w:ascii="Times New Roman" w:eastAsia="Times New Roman" w:hAnsi="Times New Roman" w:cs="Times New Roman"/>
                <w:sz w:val="22"/>
                <w:szCs w:val="22"/>
              </w:rPr>
              <w:t>b)                nu este argumentată necesitatea reglementării certificării în regim „primar”, „periodic” sau „ocazional” (în proiect este expusă  noțiunea de „certificare extraordinară”, în nota informativă - „certificare ocazională”). Se constată că transpunerea art.(5) din Directivă este preluată în mod segmentat, fiind neclare condițiile de exercitare a profesiilor medico-sanitare sau farmaceutice în mod temporar sau ocazional.</w:t>
            </w:r>
          </w:p>
        </w:tc>
        <w:tc>
          <w:tcPr>
            <w:tcW w:w="4635" w:type="dxa"/>
            <w:tcMar>
              <w:top w:w="0" w:type="dxa"/>
              <w:bottom w:w="0" w:type="dxa"/>
            </w:tcMar>
          </w:tcPr>
          <w:p w14:paraId="3097643C"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Nu se acceptă</w:t>
            </w:r>
          </w:p>
          <w:p w14:paraId="3AED114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Legea 411/1995 ocrotirii sănătății la art. 9 și art. 16</w:t>
            </w:r>
            <w:r>
              <w:rPr>
                <w:rFonts w:ascii="Times New Roman" w:eastAsia="Times New Roman" w:hAnsi="Times New Roman" w:cs="Times New Roman"/>
                <w:sz w:val="22"/>
                <w:szCs w:val="22"/>
                <w:vertAlign w:val="superscript"/>
              </w:rPr>
              <w:t xml:space="preserve">1 </w:t>
            </w:r>
            <w:r>
              <w:rPr>
                <w:rFonts w:ascii="Times New Roman" w:eastAsia="Times New Roman" w:hAnsi="Times New Roman" w:cs="Times New Roman"/>
                <w:sz w:val="22"/>
                <w:szCs w:val="22"/>
              </w:rPr>
              <w:t xml:space="preserve">stabilește primar autorizarea prin act permisiv a exercitării profesiilor medico-sanitare și farmaceutice, precum și regimul juridic al acestuia. </w:t>
            </w:r>
          </w:p>
          <w:p w14:paraId="33BC0B69" w14:textId="77777777" w:rsidR="001E4866" w:rsidRDefault="001E4866">
            <w:pPr>
              <w:ind w:firstLine="0"/>
              <w:rPr>
                <w:rFonts w:ascii="Times New Roman" w:eastAsia="Times New Roman" w:hAnsi="Times New Roman" w:cs="Times New Roman"/>
                <w:b/>
                <w:bCs/>
                <w:sz w:val="22"/>
                <w:szCs w:val="22"/>
              </w:rPr>
            </w:pPr>
          </w:p>
          <w:p w14:paraId="500E8D57" w14:textId="77777777" w:rsidR="001E4866" w:rsidRDefault="001E4866">
            <w:pPr>
              <w:ind w:firstLine="0"/>
              <w:rPr>
                <w:rFonts w:ascii="Times New Roman" w:eastAsia="Times New Roman" w:hAnsi="Times New Roman" w:cs="Times New Roman"/>
                <w:b/>
                <w:bCs/>
                <w:sz w:val="22"/>
                <w:szCs w:val="22"/>
              </w:rPr>
            </w:pPr>
          </w:p>
          <w:p w14:paraId="59512669" w14:textId="77777777" w:rsidR="001E4866" w:rsidRDefault="001E4866">
            <w:pPr>
              <w:spacing w:before="240" w:line="276" w:lineRule="auto"/>
              <w:ind w:firstLine="0"/>
              <w:rPr>
                <w:rFonts w:ascii="Times New Roman" w:eastAsia="Times New Roman" w:hAnsi="Times New Roman" w:cs="Times New Roman"/>
                <w:sz w:val="22"/>
                <w:szCs w:val="22"/>
              </w:rPr>
            </w:pPr>
          </w:p>
          <w:p w14:paraId="193B61E3" w14:textId="77777777" w:rsidR="001E4866" w:rsidRDefault="00000000">
            <w:pPr>
              <w:spacing w:before="240"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16270FD8" w14:textId="77777777" w:rsidR="001E4866" w:rsidRDefault="00000000">
            <w:pPr>
              <w:spacing w:before="240"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Certificarea primară, periodică și extraordinară, conform regimului juridic al actelor permisive, vizează acțiunile de emitere și prelungire sau reluare a valabilității cardului profesional național.</w:t>
            </w:r>
          </w:p>
          <w:p w14:paraId="739784CB" w14:textId="77777777" w:rsidR="001E4866" w:rsidRDefault="001E4866">
            <w:pPr>
              <w:ind w:firstLine="0"/>
              <w:rPr>
                <w:rFonts w:ascii="Times New Roman" w:eastAsia="Times New Roman" w:hAnsi="Times New Roman" w:cs="Times New Roman"/>
                <w:b/>
                <w:bCs/>
                <w:sz w:val="22"/>
                <w:szCs w:val="22"/>
              </w:rPr>
            </w:pPr>
          </w:p>
          <w:p w14:paraId="16CE49D9" w14:textId="77777777" w:rsidR="001E4866" w:rsidRDefault="001E4866">
            <w:pPr>
              <w:ind w:firstLine="0"/>
              <w:rPr>
                <w:rFonts w:ascii="Times New Roman" w:eastAsia="Times New Roman" w:hAnsi="Times New Roman" w:cs="Times New Roman"/>
                <w:b/>
                <w:bCs/>
                <w:sz w:val="22"/>
                <w:szCs w:val="22"/>
              </w:rPr>
            </w:pPr>
          </w:p>
          <w:p w14:paraId="02F3C51B" w14:textId="77777777" w:rsidR="001E4866" w:rsidRDefault="001E4866">
            <w:pPr>
              <w:ind w:firstLine="0"/>
              <w:rPr>
                <w:rFonts w:ascii="Times New Roman" w:eastAsia="Times New Roman" w:hAnsi="Times New Roman" w:cs="Times New Roman"/>
                <w:b/>
                <w:bCs/>
                <w:sz w:val="22"/>
                <w:szCs w:val="22"/>
              </w:rPr>
            </w:pPr>
          </w:p>
        </w:tc>
      </w:tr>
      <w:tr w:rsidR="001E4866" w14:paraId="375B2D1D" w14:textId="77777777">
        <w:trPr>
          <w:trHeight w:val="1740"/>
        </w:trPr>
        <w:tc>
          <w:tcPr>
            <w:tcW w:w="1335" w:type="dxa"/>
          </w:tcPr>
          <w:p w14:paraId="2F838789"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63F3523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8A69BDF"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7AB665D7"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Cu referire la Art. I pct.6 din proiect prevede amendarea legislației cu includerea unei noțiuni noi „act permisiv”, nefiind definită explicit în conținutul proiectului și nefiind clar care sunt actele care pot fi atribuite la această categorie. Cu atât mai mult nu sunt expuse ce acte permisive în sensul proiectului în cauză sunt emise de cele 3 autorități emitente: Agenția Medicamentului și dispozitivelor Medicale, Agenția Națională pentru Sănătate Publică și Consiliul Național de Evaluare și Acreditare în Sănătate (CNEAS).</w:t>
            </w:r>
          </w:p>
        </w:tc>
        <w:tc>
          <w:tcPr>
            <w:tcW w:w="4635" w:type="dxa"/>
            <w:tcMar>
              <w:top w:w="0" w:type="dxa"/>
              <w:bottom w:w="0" w:type="dxa"/>
            </w:tcMar>
          </w:tcPr>
          <w:p w14:paraId="426DF34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0F1A9C2D"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la art. 16</w:t>
            </w:r>
            <w:r>
              <w:rPr>
                <w:rFonts w:ascii="Times New Roman" w:eastAsia="Times New Roman" w:hAnsi="Times New Roman" w:cs="Times New Roman"/>
                <w:sz w:val="22"/>
                <w:szCs w:val="22"/>
                <w:vertAlign w:val="superscript"/>
              </w:rPr>
              <w:t xml:space="preserve">1 </w:t>
            </w:r>
            <w:r>
              <w:rPr>
                <w:rFonts w:ascii="Times New Roman" w:eastAsia="Times New Roman" w:hAnsi="Times New Roman" w:cs="Times New Roman"/>
                <w:sz w:val="22"/>
                <w:szCs w:val="22"/>
              </w:rPr>
              <w:t>alin (2) din Legea 411/1995 ocrotirii sănătății definește noțiunea “act permisiv”, iar la alin (3) stabilește condițiile în care poate fi instituit un act permisiv. Actele permisive emise de autoritățile emitente sunt prevăzute în legile speciale.</w:t>
            </w:r>
          </w:p>
          <w:p w14:paraId="0AE6125D" w14:textId="77777777" w:rsidR="001E4866" w:rsidRDefault="001E4866">
            <w:pPr>
              <w:ind w:firstLine="0"/>
              <w:rPr>
                <w:rFonts w:ascii="Times New Roman" w:eastAsia="Times New Roman" w:hAnsi="Times New Roman" w:cs="Times New Roman"/>
                <w:sz w:val="22"/>
                <w:szCs w:val="22"/>
              </w:rPr>
            </w:pPr>
          </w:p>
        </w:tc>
      </w:tr>
      <w:tr w:rsidR="001E4866" w14:paraId="5FEC9D70" w14:textId="77777777">
        <w:trPr>
          <w:trHeight w:val="1740"/>
        </w:trPr>
        <w:tc>
          <w:tcPr>
            <w:tcW w:w="1335" w:type="dxa"/>
          </w:tcPr>
          <w:p w14:paraId="3FDE7545"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1905" w:type="dxa"/>
            <w:tcMar>
              <w:top w:w="0" w:type="dxa"/>
              <w:bottom w:w="0" w:type="dxa"/>
            </w:tcMar>
          </w:tcPr>
          <w:p w14:paraId="5445B9B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11F1D58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059888AA"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Cu referire la Art. II pct.1:</w:t>
            </w:r>
          </w:p>
          <w:p w14:paraId="47BF8A38" w14:textId="77777777" w:rsidR="001E4866" w:rsidRDefault="00000000">
            <w:pPr>
              <w:shd w:val="clear" w:color="auto" w:fill="FFFFFF"/>
              <w:spacing w:before="240" w:after="240"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„Art. 4  Profesiunea de medic. La alin. (2), condiția b) sunt apte, din punct de vedere medical, pentru exercitarea profesiunii”. Norma în cauză este una vagă și nu este clară modalitatea de apreciere a aptitudinii din punct de vedere medical.</w:t>
            </w:r>
          </w:p>
        </w:tc>
        <w:tc>
          <w:tcPr>
            <w:tcW w:w="4635" w:type="dxa"/>
            <w:tcMar>
              <w:top w:w="0" w:type="dxa"/>
              <w:bottom w:w="0" w:type="dxa"/>
            </w:tcMar>
          </w:tcPr>
          <w:p w14:paraId="1A26637B"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w:t>
            </w:r>
          </w:p>
          <w:p w14:paraId="4DC3370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Stabilirea condițiilor și a modalității de apreciere a aptitudinii din punct de vedere medical va fi efectuată prin actele normative secundare care urmează a fi elaborate în baza prezentei legi, conform prevederilor art. IV din proiect, pentru a asigura flexibilitate și actualizarea periodică a cerințelor administrative, în conformitate cu principiile de tehnică legislativă.</w:t>
            </w:r>
          </w:p>
          <w:p w14:paraId="5523F7F7" w14:textId="77777777" w:rsidR="001E4866" w:rsidRDefault="001E4866">
            <w:pPr>
              <w:ind w:firstLine="0"/>
              <w:rPr>
                <w:rFonts w:ascii="Times New Roman" w:eastAsia="Times New Roman" w:hAnsi="Times New Roman" w:cs="Times New Roman"/>
                <w:b/>
                <w:bCs/>
                <w:sz w:val="22"/>
                <w:szCs w:val="22"/>
              </w:rPr>
            </w:pPr>
          </w:p>
        </w:tc>
      </w:tr>
      <w:tr w:rsidR="001E4866" w14:paraId="7BB4A3A1" w14:textId="77777777">
        <w:trPr>
          <w:trHeight w:val="630"/>
        </w:trPr>
        <w:tc>
          <w:tcPr>
            <w:tcW w:w="14235" w:type="dxa"/>
            <w:gridSpan w:val="5"/>
          </w:tcPr>
          <w:p w14:paraId="0CA4A42C" w14:textId="77777777" w:rsidR="00861B2E"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p w14:paraId="256A7A3B" w14:textId="77777777" w:rsidR="00861B2E" w:rsidRDefault="00861B2E">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rPr>
            </w:pPr>
          </w:p>
          <w:p w14:paraId="28A05781" w14:textId="77777777" w:rsidR="00861B2E" w:rsidRDefault="00861B2E">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rPr>
            </w:pPr>
          </w:p>
          <w:p w14:paraId="6BEE5A02" w14:textId="77777777" w:rsidR="00861B2E" w:rsidRDefault="00861B2E">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rPr>
            </w:pPr>
          </w:p>
          <w:p w14:paraId="1360C24F" w14:textId="0710D856" w:rsidR="001E4866" w:rsidRDefault="00861B2E">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rPr>
              <w:t xml:space="preserve">       </w:t>
            </w:r>
            <w:r>
              <w:rPr>
                <w:rFonts w:ascii="Times New Roman" w:eastAsia="Times New Roman" w:hAnsi="Times New Roman" w:cs="Times New Roman"/>
                <w:b/>
                <w:bCs/>
                <w:sz w:val="24"/>
                <w:szCs w:val="24"/>
              </w:rPr>
              <w:t>Opinia Comisiei Europene</w:t>
            </w:r>
          </w:p>
          <w:p w14:paraId="020B0467"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Traducere neoficială </w:t>
            </w:r>
            <w:proofErr w:type="spellStart"/>
            <w:r>
              <w:rPr>
                <w:rFonts w:ascii="Times New Roman" w:eastAsia="Times New Roman" w:hAnsi="Times New Roman" w:cs="Times New Roman"/>
                <w:sz w:val="24"/>
                <w:szCs w:val="24"/>
              </w:rPr>
              <w:t>eng</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ro</w:t>
            </w:r>
            <w:proofErr w:type="spellEnd"/>
            <w:r>
              <w:rPr>
                <w:rFonts w:ascii="Times New Roman" w:eastAsia="Times New Roman" w:hAnsi="Times New Roman" w:cs="Times New Roman"/>
                <w:sz w:val="26"/>
                <w:szCs w:val="26"/>
              </w:rPr>
              <w:t xml:space="preserve"> </w:t>
            </w:r>
          </w:p>
        </w:tc>
      </w:tr>
      <w:tr w:rsidR="001E4866" w14:paraId="124CCFA2" w14:textId="77777777">
        <w:trPr>
          <w:trHeight w:val="1740"/>
        </w:trPr>
        <w:tc>
          <w:tcPr>
            <w:tcW w:w="1335" w:type="dxa"/>
          </w:tcPr>
          <w:p w14:paraId="5BF64AE1"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1905" w:type="dxa"/>
            <w:tcMar>
              <w:top w:w="0" w:type="dxa"/>
              <w:bottom w:w="0" w:type="dxa"/>
            </w:tcMar>
          </w:tcPr>
          <w:p w14:paraId="12A3802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2578B0B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22200DB6" w14:textId="77777777" w:rsidR="001E4866" w:rsidRDefault="00000000">
            <w:pPr>
              <w:shd w:val="clear" w:color="auto" w:fill="FFFFFF"/>
              <w:spacing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 punctul 2 din proiect noțiunea ,,</w:t>
            </w:r>
            <w:r>
              <w:rPr>
                <w:rFonts w:ascii="Times New Roman" w:eastAsia="Times New Roman" w:hAnsi="Times New Roman" w:cs="Times New Roman"/>
                <w:i/>
                <w:iCs/>
                <w:sz w:val="22"/>
                <w:szCs w:val="22"/>
              </w:rPr>
              <w:t>titlu de calificare</w:t>
            </w:r>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Obtained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i/>
                <w:iCs/>
                <w:sz w:val="22"/>
                <w:szCs w:val="22"/>
              </w:rPr>
              <w:t>mainly</w:t>
            </w:r>
            <w:proofErr w:type="spellEnd"/>
            <w:r>
              <w:rPr>
                <w:rFonts w:ascii="Times New Roman" w:eastAsia="Times New Roman" w:hAnsi="Times New Roman" w:cs="Times New Roman"/>
                <w:sz w:val="22"/>
                <w:szCs w:val="22"/>
              </w:rPr>
              <w:t xml:space="preserve"> in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Community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missing</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This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is</w:t>
            </w:r>
            <w:proofErr w:type="spellEnd"/>
            <w:r>
              <w:rPr>
                <w:rFonts w:ascii="Times New Roman" w:eastAsia="Times New Roman" w:hAnsi="Times New Roman" w:cs="Times New Roman"/>
                <w:sz w:val="22"/>
                <w:szCs w:val="22"/>
              </w:rPr>
              <w:t xml:space="preserve"> crucial </w:t>
            </w:r>
            <w:proofErr w:type="spellStart"/>
            <w:r>
              <w:rPr>
                <w:rFonts w:ascii="Times New Roman" w:eastAsia="Times New Roman" w:hAnsi="Times New Roman" w:cs="Times New Roman"/>
                <w:sz w:val="22"/>
                <w:szCs w:val="22"/>
              </w:rPr>
              <w:t>and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needs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to</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added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Missing</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fallback</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clause</w:t>
            </w:r>
            <w:proofErr w:type="spellEnd"/>
            <w:r>
              <w:rPr>
                <w:rFonts w:ascii="Times New Roman" w:eastAsia="Times New Roman" w:hAnsi="Times New Roman" w:cs="Times New Roman"/>
                <w:sz w:val="22"/>
                <w:szCs w:val="22"/>
              </w:rPr>
              <w:t xml:space="preserve"> for </w:t>
            </w:r>
            <w:proofErr w:type="spellStart"/>
            <w:r>
              <w:rPr>
                <w:rFonts w:ascii="Times New Roman" w:eastAsia="Times New Roman" w:hAnsi="Times New Roman" w:cs="Times New Roman"/>
                <w:sz w:val="22"/>
                <w:szCs w:val="22"/>
              </w:rPr>
              <w:t>thrid</w:t>
            </w:r>
            <w:proofErr w:type="spellEnd"/>
            <w:r>
              <w:rPr>
                <w:rFonts w:ascii="Times New Roman" w:eastAsia="Times New Roman" w:hAnsi="Times New Roman" w:cs="Times New Roman"/>
                <w:sz w:val="22"/>
                <w:szCs w:val="22"/>
              </w:rPr>
              <w:t xml:space="preserve"> country </w:t>
            </w:r>
            <w:proofErr w:type="spellStart"/>
            <w:r>
              <w:rPr>
                <w:rFonts w:ascii="Times New Roman" w:eastAsia="Times New Roman" w:hAnsi="Times New Roman" w:cs="Times New Roman"/>
                <w:sz w:val="22"/>
                <w:szCs w:val="22"/>
              </w:rPr>
              <w:t>nationals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with</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recogntised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qualification</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and</w:t>
            </w:r>
            <w:proofErr w:type="spellEnd"/>
            <w:r>
              <w:rPr>
                <w:rFonts w:ascii="Times New Roman" w:eastAsia="Times New Roman" w:hAnsi="Times New Roman" w:cs="Times New Roman"/>
                <w:sz w:val="22"/>
                <w:szCs w:val="22"/>
              </w:rPr>
              <w:t xml:space="preserve"> certificate on </w:t>
            </w:r>
            <w:proofErr w:type="spellStart"/>
            <w:r>
              <w:rPr>
                <w:rFonts w:ascii="Times New Roman" w:eastAsia="Times New Roman" w:hAnsi="Times New Roman" w:cs="Times New Roman"/>
                <w:sz w:val="22"/>
                <w:szCs w:val="22"/>
              </w:rPr>
              <w:t>experiene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issued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MSs</w:t>
            </w:r>
            <w:proofErr w:type="spellEnd"/>
            <w:r>
              <w:rPr>
                <w:rFonts w:ascii="Times New Roman" w:eastAsia="Times New Roman" w:hAnsi="Times New Roman" w:cs="Times New Roman"/>
                <w:sz w:val="22"/>
                <w:szCs w:val="22"/>
              </w:rPr>
              <w:t>./</w:t>
            </w:r>
            <w:r>
              <w:rPr>
                <w:rFonts w:ascii="Times New Roman" w:eastAsia="Times New Roman" w:hAnsi="Times New Roman" w:cs="Times New Roman"/>
                <w:i/>
                <w:iCs/>
                <w:sz w:val="22"/>
                <w:szCs w:val="22"/>
              </w:rPr>
              <w:t>Lipsește clauza obținută în principal în Comunitate. Acest lucru este crucial și trebuie adăugat. Lipsește clauza de rezervă pentru resortisanții țărilor terțe cu calificări recunoscute și certificat de experiență emis de statele membre.</w:t>
            </w:r>
          </w:p>
        </w:tc>
        <w:tc>
          <w:tcPr>
            <w:tcW w:w="4635" w:type="dxa"/>
            <w:tcMar>
              <w:top w:w="0" w:type="dxa"/>
              <w:bottom w:w="0" w:type="dxa"/>
            </w:tcMar>
          </w:tcPr>
          <w:p w14:paraId="42BABF8E" w14:textId="77777777" w:rsidR="001E4866" w:rsidRDefault="00000000">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11538C8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Au fost revizuite prevederile articolului I punctul 2 după cum urmează: noțiunile „titlu de calificare”, „calificare profesională”, „experiență profesională” și „probă de aptitudini” au fost excluse, întrucât acestea sunt reglementate în proiectul Legii privind recunoașterea calificărilor profesionale. Menținerea lor ar genera dublare normativă și riscul unor necorelări terminologice. Totodată, a fost introdusă noțiunea „măsură de conformare profesională”, necesară pentru aplicabilitatea prevederilor privind recunoașterea calificărilor profesionale și certificarea cadrelor medico-sanitare și farmaceutice.  </w:t>
            </w:r>
          </w:p>
          <w:p w14:paraId="4D428D4D" w14:textId="77777777" w:rsidR="001E4866" w:rsidRDefault="001E4866">
            <w:pPr>
              <w:ind w:firstLine="0"/>
              <w:rPr>
                <w:rFonts w:ascii="Times New Roman" w:eastAsia="Times New Roman" w:hAnsi="Times New Roman" w:cs="Times New Roman"/>
                <w:sz w:val="22"/>
                <w:szCs w:val="22"/>
              </w:rPr>
            </w:pPr>
          </w:p>
          <w:p w14:paraId="0D33ABA7" w14:textId="77777777" w:rsidR="001E4866" w:rsidRDefault="001E4866">
            <w:pPr>
              <w:ind w:firstLine="0"/>
              <w:rPr>
                <w:rFonts w:ascii="Times New Roman" w:eastAsia="Times New Roman" w:hAnsi="Times New Roman" w:cs="Times New Roman"/>
                <w:sz w:val="22"/>
                <w:szCs w:val="22"/>
              </w:rPr>
            </w:pPr>
          </w:p>
        </w:tc>
      </w:tr>
      <w:tr w:rsidR="001E4866" w14:paraId="10F66323" w14:textId="77777777">
        <w:trPr>
          <w:trHeight w:val="1740"/>
        </w:trPr>
        <w:tc>
          <w:tcPr>
            <w:tcW w:w="1335" w:type="dxa"/>
          </w:tcPr>
          <w:p w14:paraId="27C6228A"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905" w:type="dxa"/>
            <w:tcMar>
              <w:top w:w="0" w:type="dxa"/>
              <w:bottom w:w="0" w:type="dxa"/>
            </w:tcMar>
          </w:tcPr>
          <w:p w14:paraId="7727D3CF"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4"/>
                <w:szCs w:val="24"/>
              </w:rPr>
            </w:pPr>
          </w:p>
        </w:tc>
        <w:tc>
          <w:tcPr>
            <w:tcW w:w="1575" w:type="dxa"/>
            <w:tcMar>
              <w:top w:w="0" w:type="dxa"/>
              <w:bottom w:w="0" w:type="dxa"/>
            </w:tcMar>
          </w:tcPr>
          <w:p w14:paraId="4DF5979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4"/>
                <w:szCs w:val="24"/>
              </w:rPr>
            </w:pPr>
          </w:p>
        </w:tc>
        <w:tc>
          <w:tcPr>
            <w:tcW w:w="4785" w:type="dxa"/>
            <w:tcMar>
              <w:top w:w="0" w:type="dxa"/>
              <w:bottom w:w="0" w:type="dxa"/>
            </w:tcMar>
          </w:tcPr>
          <w:p w14:paraId="61C4A11E" w14:textId="77777777" w:rsidR="001E4866" w:rsidRDefault="00000000">
            <w:pPr>
              <w:shd w:val="clear" w:color="auto" w:fill="FFFFFF"/>
              <w:spacing w:line="256"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art. I punctul 2 din proiect, noțiunea proba de aptitudini  - </w:t>
            </w:r>
            <w:proofErr w:type="spellStart"/>
            <w:r>
              <w:rPr>
                <w:rFonts w:ascii="Times New Roman" w:eastAsia="Times New Roman" w:hAnsi="Times New Roman" w:cs="Times New Roman"/>
                <w:sz w:val="24"/>
                <w:szCs w:val="24"/>
              </w:rPr>
              <w:t>Missing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essential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requirements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Article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drawing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w:t>
            </w:r>
            <w:proofErr w:type="spellEnd"/>
            <w:r>
              <w:rPr>
                <w:rFonts w:ascii="Times New Roman" w:eastAsia="Times New Roman" w:hAnsi="Times New Roman" w:cs="Times New Roman"/>
                <w:sz w:val="24"/>
                <w:szCs w:val="24"/>
              </w:rPr>
              <w:t xml:space="preserve"> of a </w:t>
            </w:r>
            <w:proofErr w:type="spellStart"/>
            <w:r>
              <w:rPr>
                <w:rFonts w:ascii="Times New Roman" w:eastAsia="Times New Roman" w:hAnsi="Times New Roman" w:cs="Times New Roman"/>
                <w:sz w:val="24"/>
                <w:szCs w:val="24"/>
              </w:rPr>
              <w:t>list</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subjects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do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comparison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methodology</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test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gaps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applicant’s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qualification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focus on </w:t>
            </w:r>
            <w:proofErr w:type="spellStart"/>
            <w:r>
              <w:rPr>
                <w:rFonts w:ascii="Times New Roman" w:eastAsia="Times New Roman" w:hAnsi="Times New Roman" w:cs="Times New Roman"/>
                <w:sz w:val="24"/>
                <w:szCs w:val="24"/>
              </w:rPr>
              <w:t>essential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knowledge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selecting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subjects</w:t>
            </w:r>
            <w:proofErr w:type="spellEnd"/>
            <w:r>
              <w:rPr>
                <w:rFonts w:ascii="Times New Roman" w:eastAsia="Times New Roman" w:hAnsi="Times New Roman" w:cs="Times New Roman"/>
                <w:sz w:val="24"/>
                <w:szCs w:val="24"/>
              </w:rPr>
              <w:t xml:space="preserve">. </w:t>
            </w:r>
          </w:p>
        </w:tc>
        <w:tc>
          <w:tcPr>
            <w:tcW w:w="4635" w:type="dxa"/>
            <w:tcMar>
              <w:top w:w="0" w:type="dxa"/>
              <w:bottom w:w="0" w:type="dxa"/>
            </w:tcMar>
          </w:tcPr>
          <w:p w14:paraId="4F65D703" w14:textId="77777777" w:rsidR="001E4866" w:rsidRDefault="00000000">
            <w:pPr>
              <w:ind w:firstLine="0"/>
              <w:rPr>
                <w:rFonts w:ascii="Times New Roman" w:eastAsia="Times New Roman" w:hAnsi="Times New Roman" w:cs="Times New Roman"/>
                <w:sz w:val="24"/>
                <w:szCs w:val="24"/>
              </w:rPr>
            </w:pPr>
            <w:r>
              <w:rPr>
                <w:rFonts w:ascii="Times New Roman" w:eastAsia="Times New Roman" w:hAnsi="Times New Roman" w:cs="Times New Roman"/>
                <w:sz w:val="22"/>
                <w:szCs w:val="22"/>
              </w:rPr>
              <w:t xml:space="preserve">Textul articolelor 8 și 8¹, prevăzute la articolul I punctele 3 și 4, precum și textul articolelor 4 și 12, prevăzute la articolul II punctele 1 și 3, a fost ajustat pentru ca aplicarea acestora să se facă prin raportare la definițiile și normele prevăzute în proiectul Legii privind recunoașterea calificărilor profesionale. Modificările au caracter terminologic și de corelare normativă și nu schimbă soluția de fond a articolelor respective. </w:t>
            </w:r>
          </w:p>
        </w:tc>
      </w:tr>
      <w:tr w:rsidR="001E4866" w14:paraId="7C9F7AAB" w14:textId="77777777">
        <w:trPr>
          <w:trHeight w:val="1740"/>
        </w:trPr>
        <w:tc>
          <w:tcPr>
            <w:tcW w:w="1335" w:type="dxa"/>
          </w:tcPr>
          <w:p w14:paraId="5745EF69"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05" w:type="dxa"/>
            <w:tcMar>
              <w:top w:w="0" w:type="dxa"/>
              <w:bottom w:w="0" w:type="dxa"/>
            </w:tcMar>
          </w:tcPr>
          <w:p w14:paraId="30FE63BD"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4"/>
                <w:szCs w:val="24"/>
              </w:rPr>
            </w:pPr>
          </w:p>
        </w:tc>
        <w:tc>
          <w:tcPr>
            <w:tcW w:w="1575" w:type="dxa"/>
            <w:tcMar>
              <w:top w:w="0" w:type="dxa"/>
              <w:bottom w:w="0" w:type="dxa"/>
            </w:tcMar>
          </w:tcPr>
          <w:p w14:paraId="2A45264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4"/>
                <w:szCs w:val="24"/>
              </w:rPr>
            </w:pPr>
          </w:p>
        </w:tc>
        <w:tc>
          <w:tcPr>
            <w:tcW w:w="4785" w:type="dxa"/>
            <w:tcMar>
              <w:top w:w="0" w:type="dxa"/>
              <w:bottom w:w="0" w:type="dxa"/>
            </w:tcMar>
          </w:tcPr>
          <w:p w14:paraId="39DA1263" w14:textId="77777777" w:rsidR="001E4866" w:rsidRDefault="00000000">
            <w:pPr>
              <w:shd w:val="clear" w:color="auto" w:fill="FFFFFF"/>
              <w:spacing w:line="256"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Comentariul autorului</w:t>
            </w:r>
          </w:p>
          <w:p w14:paraId="7E003A53" w14:textId="77777777" w:rsidR="001E4866" w:rsidRDefault="00000000">
            <w:pPr>
              <w:shd w:val="clear" w:color="auto" w:fill="FFFFFF"/>
              <w:spacing w:line="256"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vederea asigurării concordanței cu prevederile actualizate ale articolului I din prezentul proiect și a coerenței reglementărilor privind recunoașterea calificărilor profesionale, inclusiv prin corelare cu proiectul de Lege privind recunoașterea calificărilor profesionale (număr unic 646/MEC/2025), a fost necesară revizuirea și completarea unor dispoziții ale proiectului pentru evitarea paralelismelor normative și delimitarea corespunzătoare dintre cadrul general și reglementările sectoriale din domeniul sănătății. </w:t>
            </w:r>
          </w:p>
        </w:tc>
        <w:tc>
          <w:tcPr>
            <w:tcW w:w="4635" w:type="dxa"/>
            <w:tcMar>
              <w:top w:w="0" w:type="dxa"/>
              <w:bottom w:w="0" w:type="dxa"/>
            </w:tcMar>
          </w:tcPr>
          <w:p w14:paraId="69CA849A" w14:textId="77777777" w:rsidR="001E4866" w:rsidRDefault="001E4866">
            <w:pPr>
              <w:rPr>
                <w:rFonts w:ascii="Times New Roman" w:eastAsia="Times New Roman" w:hAnsi="Times New Roman" w:cs="Times New Roman"/>
                <w:b/>
                <w:bCs/>
                <w:sz w:val="24"/>
                <w:szCs w:val="24"/>
              </w:rPr>
            </w:pPr>
          </w:p>
          <w:p w14:paraId="194DEAEE" w14:textId="77777777" w:rsidR="001E4866" w:rsidRDefault="00000000">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Articolele 12⁶ și 12⁷, prevăzute la articolul III punctul 5 din proiect, au fost ajustate. Acestea vizează exclusiv atribuțiile autorității competente pentru profesiile reglementate din domeniul sănătății care necesită consacrare la nivel de cadru normativ primar. Celelalte norme privind aplicarea procedurilor de recunoaștere urmează a fi transpuse prin cadrul normativ secundar. Totodată, textul articolelor respective a fost ajustat din considerente de corelare normativă cu proiectul Legii privind recunoașterea calificărilor profesionale și de eliminare a duplicării reglementărilor. </w:t>
            </w:r>
          </w:p>
          <w:p w14:paraId="5D3A5DEA" w14:textId="77777777" w:rsidR="001E4866" w:rsidRDefault="001E4866">
            <w:pPr>
              <w:ind w:firstLine="0"/>
              <w:rPr>
                <w:rFonts w:ascii="Times New Roman" w:eastAsia="Times New Roman" w:hAnsi="Times New Roman" w:cs="Times New Roman"/>
                <w:sz w:val="24"/>
                <w:szCs w:val="24"/>
              </w:rPr>
            </w:pPr>
          </w:p>
          <w:p w14:paraId="2331AF5A" w14:textId="77777777" w:rsidR="001E4866" w:rsidRDefault="00000000">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Prevederile propuse la articolul III punctele 4 și 8, referitoare la art. 12² alin. (9), art. 12³ alin. (1) lit. a), d), f) și g), precum și la art. 12⁴ alin. (1) lit. f), i) și j), au fost modificate din considerente de corelare normativă cu proiectul Legii privind recunoașterea calificărilor profesionale (număr unic 646/MEC/2025)  și pentru asigurarea aplicării </w:t>
            </w:r>
            <w:r>
              <w:rPr>
                <w:rFonts w:ascii="Times New Roman" w:eastAsia="Times New Roman" w:hAnsi="Times New Roman" w:cs="Times New Roman"/>
                <w:sz w:val="24"/>
                <w:szCs w:val="24"/>
              </w:rPr>
              <w:lastRenderedPageBreak/>
              <w:t xml:space="preserve">corespunzătoare a normelor respective, precum și cu prevederile actualizate ale articolului I din prezentul proiect. </w:t>
            </w:r>
          </w:p>
          <w:p w14:paraId="4420E543" w14:textId="77777777" w:rsidR="001E4866" w:rsidRDefault="001E4866">
            <w:pPr>
              <w:ind w:firstLine="0"/>
              <w:rPr>
                <w:rFonts w:ascii="Times New Roman" w:eastAsia="Times New Roman" w:hAnsi="Times New Roman" w:cs="Times New Roman"/>
                <w:sz w:val="24"/>
                <w:szCs w:val="24"/>
              </w:rPr>
            </w:pPr>
          </w:p>
          <w:p w14:paraId="3D0825D0" w14:textId="77777777" w:rsidR="001E4866" w:rsidRDefault="00000000">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prevederile propuse la articolul III punctele 6 și 7 au fost completate ]n vederea asigurării concordanței cu proiectul Legii privind recunoașterea calificărilor profesionale </w:t>
            </w:r>
            <w:r>
              <w:rPr>
                <w:rFonts w:ascii="Times New Roman" w:eastAsia="Times New Roman" w:hAnsi="Times New Roman" w:cs="Times New Roman"/>
                <w:sz w:val="22"/>
                <w:szCs w:val="22"/>
              </w:rPr>
              <w:t>(număr unic 646/MEC/2025)</w:t>
            </w:r>
            <w:r>
              <w:rPr>
                <w:rFonts w:ascii="Times New Roman" w:eastAsia="Times New Roman" w:hAnsi="Times New Roman" w:cs="Times New Roman"/>
                <w:sz w:val="24"/>
                <w:szCs w:val="24"/>
              </w:rPr>
              <w:t xml:space="preserve"> și pentru asigurarea aplicării corespunzătoare a normelor respective, precum și cu prevederile actualizate ale articolului I din prezentul proiect. </w:t>
            </w:r>
          </w:p>
        </w:tc>
      </w:tr>
      <w:tr w:rsidR="001E4866" w14:paraId="46CF0756" w14:textId="77777777">
        <w:trPr>
          <w:trHeight w:val="1740"/>
        </w:trPr>
        <w:tc>
          <w:tcPr>
            <w:tcW w:w="1335" w:type="dxa"/>
          </w:tcPr>
          <w:p w14:paraId="0D31F7B9"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c>
          <w:tcPr>
            <w:tcW w:w="1905" w:type="dxa"/>
            <w:tcMar>
              <w:top w:w="0" w:type="dxa"/>
              <w:bottom w:w="0" w:type="dxa"/>
            </w:tcMar>
          </w:tcPr>
          <w:p w14:paraId="50F9229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0B0BF0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sz w:val="22"/>
                <w:szCs w:val="22"/>
              </w:rPr>
            </w:pPr>
          </w:p>
        </w:tc>
        <w:tc>
          <w:tcPr>
            <w:tcW w:w="4785" w:type="dxa"/>
            <w:tcMar>
              <w:top w:w="0" w:type="dxa"/>
              <w:bottom w:w="0" w:type="dxa"/>
            </w:tcMar>
          </w:tcPr>
          <w:p w14:paraId="179DC7B7" w14:textId="77777777" w:rsidR="001E4866" w:rsidRDefault="00000000">
            <w:pPr>
              <w:shd w:val="clear" w:color="auto" w:fill="FFFFFF"/>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DG SANTE </w:t>
            </w:r>
            <w:proofErr w:type="spellStart"/>
            <w:r>
              <w:rPr>
                <w:rFonts w:ascii="Times New Roman" w:eastAsia="Times New Roman" w:hAnsi="Times New Roman" w:cs="Times New Roman"/>
                <w:sz w:val="22"/>
                <w:szCs w:val="22"/>
              </w:rPr>
              <w:t>have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noted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with</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interested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Article</w:t>
            </w:r>
            <w:proofErr w:type="spellEnd"/>
            <w:r>
              <w:rPr>
                <w:rFonts w:ascii="Times New Roman" w:eastAsia="Times New Roman" w:hAnsi="Times New Roman" w:cs="Times New Roman"/>
                <w:sz w:val="22"/>
                <w:szCs w:val="22"/>
              </w:rPr>
              <w:t xml:space="preserve"> 8 (“</w:t>
            </w:r>
            <w:proofErr w:type="spellStart"/>
            <w:r>
              <w:rPr>
                <w:rFonts w:ascii="Times New Roman" w:eastAsia="Times New Roman" w:hAnsi="Times New Roman" w:cs="Times New Roman"/>
                <w:sz w:val="22"/>
                <w:szCs w:val="22"/>
              </w:rPr>
              <w:t>Regime</w:t>
            </w:r>
            <w:proofErr w:type="spellEnd"/>
            <w:r>
              <w:rPr>
                <w:rFonts w:ascii="Times New Roman" w:eastAsia="Times New Roman" w:hAnsi="Times New Roman" w:cs="Times New Roman"/>
                <w:sz w:val="22"/>
                <w:szCs w:val="22"/>
              </w:rPr>
              <w:t xml:space="preserve"> for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exercise</w:t>
            </w:r>
            <w:proofErr w:type="spellEnd"/>
            <w:r>
              <w:rPr>
                <w:rFonts w:ascii="Times New Roman" w:eastAsia="Times New Roman" w:hAnsi="Times New Roman" w:cs="Times New Roman"/>
                <w:sz w:val="22"/>
                <w:szCs w:val="22"/>
              </w:rPr>
              <w:t xml:space="preserve"> of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medical-</w:t>
            </w:r>
            <w:proofErr w:type="spellStart"/>
            <w:r>
              <w:rPr>
                <w:rFonts w:ascii="Times New Roman" w:eastAsia="Times New Roman" w:hAnsi="Times New Roman" w:cs="Times New Roman"/>
                <w:sz w:val="22"/>
                <w:szCs w:val="22"/>
              </w:rPr>
              <w:t>sanitary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and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pharmaceutical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professions</w:t>
            </w:r>
            <w:proofErr w:type="spellEnd"/>
            <w:r>
              <w:rPr>
                <w:rFonts w:ascii="Times New Roman" w:eastAsia="Times New Roman" w:hAnsi="Times New Roman" w:cs="Times New Roman"/>
                <w:sz w:val="22"/>
                <w:szCs w:val="22"/>
              </w:rPr>
              <w:t xml:space="preserve">”) of Law No 411/1995 on </w:t>
            </w:r>
            <w:proofErr w:type="spellStart"/>
            <w:r>
              <w:rPr>
                <w:rFonts w:ascii="Times New Roman" w:eastAsia="Times New Roman" w:hAnsi="Times New Roman" w:cs="Times New Roman"/>
                <w:sz w:val="22"/>
                <w:szCs w:val="22"/>
              </w:rPr>
              <w:t>health</w:t>
            </w:r>
            <w:proofErr w:type="spellEnd"/>
            <w:r>
              <w:rPr>
                <w:rFonts w:ascii="Times New Roman" w:eastAsia="Times New Roman" w:hAnsi="Times New Roman" w:cs="Times New Roman"/>
                <w:sz w:val="22"/>
                <w:szCs w:val="22"/>
              </w:rPr>
              <w:t xml:space="preserve"> care (</w:t>
            </w:r>
            <w:proofErr w:type="spellStart"/>
            <w:r>
              <w:rPr>
                <w:rFonts w:ascii="Times New Roman" w:eastAsia="Times New Roman" w:hAnsi="Times New Roman" w:cs="Times New Roman"/>
                <w:sz w:val="22"/>
                <w:szCs w:val="22"/>
              </w:rPr>
              <w:t>Official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Gazette</w:t>
            </w:r>
            <w:proofErr w:type="spellEnd"/>
            <w:r>
              <w:rPr>
                <w:rFonts w:ascii="Times New Roman" w:eastAsia="Times New Roman" w:hAnsi="Times New Roman" w:cs="Times New Roman"/>
                <w:sz w:val="22"/>
                <w:szCs w:val="22"/>
              </w:rPr>
              <w:t xml:space="preserve"> of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Republic of Moldova, 1995, No 34, </w:t>
            </w:r>
            <w:proofErr w:type="spellStart"/>
            <w:r>
              <w:rPr>
                <w:rFonts w:ascii="Times New Roman" w:eastAsia="Times New Roman" w:hAnsi="Times New Roman" w:cs="Times New Roman"/>
                <w:sz w:val="22"/>
                <w:szCs w:val="22"/>
              </w:rPr>
              <w:t>Article</w:t>
            </w:r>
            <w:proofErr w:type="spellEnd"/>
            <w:r>
              <w:rPr>
                <w:rFonts w:ascii="Times New Roman" w:eastAsia="Times New Roman" w:hAnsi="Times New Roman" w:cs="Times New Roman"/>
                <w:sz w:val="22"/>
                <w:szCs w:val="22"/>
              </w:rPr>
              <w:t xml:space="preserve"> 373) </w:t>
            </w:r>
            <w:proofErr w:type="spellStart"/>
            <w:r>
              <w:rPr>
                <w:rFonts w:ascii="Times New Roman" w:eastAsia="Times New Roman" w:hAnsi="Times New Roman" w:cs="Times New Roman"/>
                <w:sz w:val="22"/>
                <w:szCs w:val="22"/>
              </w:rPr>
              <w:t>is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amended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Draft</w:t>
            </w:r>
            <w:proofErr w:type="spellEnd"/>
            <w:r>
              <w:rPr>
                <w:rFonts w:ascii="Times New Roman" w:eastAsia="Times New Roman" w:hAnsi="Times New Roman" w:cs="Times New Roman"/>
                <w:sz w:val="22"/>
                <w:szCs w:val="22"/>
              </w:rPr>
              <w:t xml:space="preserve"> Act </w:t>
            </w:r>
            <w:proofErr w:type="spellStart"/>
            <w:r>
              <w:rPr>
                <w:rFonts w:ascii="Times New Roman" w:eastAsia="Times New Roman" w:hAnsi="Times New Roman" w:cs="Times New Roman"/>
                <w:sz w:val="22"/>
                <w:szCs w:val="22"/>
              </w:rPr>
              <w:t>to</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provide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that</w:t>
            </w:r>
            <w:proofErr w:type="spellEnd"/>
            <w:r>
              <w:rPr>
                <w:rFonts w:ascii="Times New Roman" w:eastAsia="Times New Roman" w:hAnsi="Times New Roman" w:cs="Times New Roman"/>
                <w:sz w:val="22"/>
                <w:szCs w:val="22"/>
              </w:rPr>
              <w:t>:</w:t>
            </w:r>
          </w:p>
          <w:p w14:paraId="1B036C3C" w14:textId="77777777" w:rsidR="001E4866" w:rsidRDefault="00000000">
            <w:pPr>
              <w:shd w:val="clear" w:color="auto" w:fill="FFFFFF"/>
              <w:spacing w:line="25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The </w:t>
            </w:r>
            <w:proofErr w:type="spellStart"/>
            <w:r>
              <w:rPr>
                <w:rFonts w:ascii="Times New Roman" w:eastAsia="Times New Roman" w:hAnsi="Times New Roman" w:cs="Times New Roman"/>
                <w:sz w:val="22"/>
                <w:szCs w:val="22"/>
              </w:rPr>
              <w:t>professional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activity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carried</w:t>
            </w:r>
            <w:proofErr w:type="spellEnd"/>
            <w:r>
              <w:rPr>
                <w:rFonts w:ascii="Times New Roman" w:eastAsia="Times New Roman" w:hAnsi="Times New Roman" w:cs="Times New Roman"/>
                <w:sz w:val="22"/>
                <w:szCs w:val="22"/>
              </w:rPr>
              <w:t xml:space="preserve"> out </w:t>
            </w:r>
            <w:proofErr w:type="spellStart"/>
            <w:r>
              <w:rPr>
                <w:rFonts w:ascii="Times New Roman" w:eastAsia="Times New Roman" w:hAnsi="Times New Roman" w:cs="Times New Roman"/>
                <w:sz w:val="22"/>
                <w:szCs w:val="22"/>
              </w:rPr>
              <w:t>exclusively</w:t>
            </w:r>
            <w:proofErr w:type="spellEnd"/>
            <w:r>
              <w:rPr>
                <w:rFonts w:ascii="Times New Roman" w:eastAsia="Times New Roman" w:hAnsi="Times New Roman" w:cs="Times New Roman"/>
                <w:sz w:val="22"/>
                <w:szCs w:val="22"/>
              </w:rPr>
              <w:t xml:space="preserve"> in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specialty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established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evidence</w:t>
            </w:r>
            <w:proofErr w:type="spellEnd"/>
            <w:r>
              <w:rPr>
                <w:rFonts w:ascii="Times New Roman" w:eastAsia="Times New Roman" w:hAnsi="Times New Roman" w:cs="Times New Roman"/>
                <w:sz w:val="22"/>
                <w:szCs w:val="22"/>
              </w:rPr>
              <w:t xml:space="preserve"> of formal </w:t>
            </w:r>
            <w:proofErr w:type="spellStart"/>
            <w:r>
              <w:rPr>
                <w:rFonts w:ascii="Times New Roman" w:eastAsia="Times New Roman" w:hAnsi="Times New Roman" w:cs="Times New Roman"/>
                <w:sz w:val="22"/>
                <w:szCs w:val="22"/>
              </w:rPr>
              <w:t>qualifications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except</w:t>
            </w:r>
            <w:proofErr w:type="spellEnd"/>
            <w:r>
              <w:rPr>
                <w:rFonts w:ascii="Times New Roman" w:eastAsia="Times New Roman" w:hAnsi="Times New Roman" w:cs="Times New Roman"/>
                <w:sz w:val="22"/>
                <w:szCs w:val="22"/>
              </w:rPr>
              <w:t xml:space="preserve"> in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case of a medical </w:t>
            </w:r>
            <w:proofErr w:type="spellStart"/>
            <w:r>
              <w:rPr>
                <w:rFonts w:ascii="Times New Roman" w:eastAsia="Times New Roman" w:hAnsi="Times New Roman" w:cs="Times New Roman"/>
                <w:sz w:val="22"/>
                <w:szCs w:val="22"/>
              </w:rPr>
              <w:t>emergency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endangers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life</w:t>
            </w:r>
            <w:proofErr w:type="spellEnd"/>
            <w:r>
              <w:rPr>
                <w:rFonts w:ascii="Times New Roman" w:eastAsia="Times New Roman" w:hAnsi="Times New Roman" w:cs="Times New Roman"/>
                <w:sz w:val="22"/>
                <w:szCs w:val="22"/>
              </w:rPr>
              <w:t xml:space="preserve"> of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person</w:t>
            </w:r>
            <w:proofErr w:type="spellEnd"/>
            <w:r>
              <w:rPr>
                <w:rFonts w:ascii="Times New Roman" w:eastAsia="Times New Roman" w:hAnsi="Times New Roman" w:cs="Times New Roman"/>
                <w:sz w:val="22"/>
                <w:szCs w:val="22"/>
              </w:rPr>
              <w:t xml:space="preserve"> or a state of </w:t>
            </w:r>
            <w:proofErr w:type="spellStart"/>
            <w:r>
              <w:rPr>
                <w:rFonts w:ascii="Times New Roman" w:eastAsia="Times New Roman" w:hAnsi="Times New Roman" w:cs="Times New Roman"/>
                <w:sz w:val="22"/>
                <w:szCs w:val="22"/>
              </w:rPr>
              <w:t>emergency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established</w:t>
            </w:r>
            <w:proofErr w:type="spellEnd"/>
            <w:r>
              <w:rPr>
                <w:rFonts w:ascii="Times New Roman" w:eastAsia="Times New Roman" w:hAnsi="Times New Roman" w:cs="Times New Roman"/>
                <w:sz w:val="22"/>
                <w:szCs w:val="22"/>
              </w:rPr>
              <w:t xml:space="preserve"> in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manner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established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by</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the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legislation</w:t>
            </w:r>
            <w:proofErr w:type="spellEnd"/>
            <w:r>
              <w:rPr>
                <w:rFonts w:ascii="Times New Roman" w:eastAsia="Times New Roman" w:hAnsi="Times New Roman" w:cs="Times New Roman"/>
                <w:sz w:val="22"/>
                <w:szCs w:val="22"/>
              </w:rPr>
              <w:t xml:space="preserve">.” </w:t>
            </w:r>
          </w:p>
          <w:p w14:paraId="6D5BF3FA" w14:textId="77777777" w:rsidR="001E4866" w:rsidRDefault="00000000">
            <w:pPr>
              <w:shd w:val="clear" w:color="auto" w:fill="FFFFFF"/>
              <w:spacing w:line="256" w:lineRule="auto"/>
              <w:ind w:firstLine="0"/>
              <w:rPr>
                <w:rFonts w:ascii="Times New Roman" w:eastAsia="Times New Roman" w:hAnsi="Times New Roman" w:cs="Times New Roman"/>
                <w:sz w:val="22"/>
                <w:szCs w:val="22"/>
              </w:rPr>
            </w:pPr>
            <w:proofErr w:type="spellStart"/>
            <w:r>
              <w:rPr>
                <w:rFonts w:ascii="Times New Roman" w:eastAsia="Times New Roman" w:hAnsi="Times New Roman" w:cs="Times New Roman"/>
                <w:sz w:val="24"/>
                <w:szCs w:val="24"/>
                <w:highlight w:val="white"/>
              </w:rPr>
              <w:t>From</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preparedness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point</w:t>
            </w:r>
            <w:proofErr w:type="spellEnd"/>
            <w:r>
              <w:rPr>
                <w:rFonts w:ascii="Times New Roman" w:eastAsia="Times New Roman" w:hAnsi="Times New Roman" w:cs="Times New Roman"/>
                <w:sz w:val="24"/>
                <w:szCs w:val="24"/>
                <w:highlight w:val="white"/>
              </w:rPr>
              <w:t xml:space="preserve"> of </w:t>
            </w:r>
            <w:proofErr w:type="spellStart"/>
            <w:r>
              <w:rPr>
                <w:rFonts w:ascii="Times New Roman" w:eastAsia="Times New Roman" w:hAnsi="Times New Roman" w:cs="Times New Roman"/>
                <w:sz w:val="24"/>
                <w:szCs w:val="24"/>
                <w:highlight w:val="white"/>
              </w:rPr>
              <w:t>view</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this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really</w:t>
            </w:r>
            <w:proofErr w:type="spellEnd"/>
            <w:r>
              <w:rPr>
                <w:rFonts w:ascii="Times New Roman" w:eastAsia="Times New Roman" w:hAnsi="Times New Roman" w:cs="Times New Roman"/>
                <w:sz w:val="24"/>
                <w:szCs w:val="24"/>
                <w:highlight w:val="white"/>
              </w:rPr>
              <w:t xml:space="preserve"> important </w:t>
            </w:r>
            <w:proofErr w:type="spellStart"/>
            <w:r>
              <w:rPr>
                <w:rFonts w:ascii="Times New Roman" w:eastAsia="Times New Roman" w:hAnsi="Times New Roman" w:cs="Times New Roman"/>
                <w:sz w:val="24"/>
                <w:szCs w:val="24"/>
                <w:highlight w:val="white"/>
              </w:rPr>
              <w:t>that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there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time</w:t>
            </w:r>
            <w:proofErr w:type="spellEnd"/>
            <w:r>
              <w:rPr>
                <w:rFonts w:ascii="Times New Roman" w:eastAsia="Times New Roman" w:hAnsi="Times New Roman" w:cs="Times New Roman"/>
                <w:sz w:val="24"/>
                <w:szCs w:val="24"/>
                <w:highlight w:val="white"/>
              </w:rPr>
              <w:t xml:space="preserve"> for </w:t>
            </w:r>
            <w:proofErr w:type="spellStart"/>
            <w:r>
              <w:rPr>
                <w:rFonts w:ascii="Times New Roman" w:eastAsia="Times New Roman" w:hAnsi="Times New Roman" w:cs="Times New Roman"/>
                <w:sz w:val="24"/>
                <w:szCs w:val="24"/>
                <w:highlight w:val="white"/>
              </w:rPr>
              <w:t>lengthy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checks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and</w:t>
            </w:r>
            <w:proofErr w:type="spellEnd"/>
            <w:r>
              <w:rPr>
                <w:rFonts w:ascii="Times New Roman" w:eastAsia="Times New Roman" w:hAnsi="Times New Roman" w:cs="Times New Roman"/>
                <w:sz w:val="24"/>
                <w:szCs w:val="24"/>
                <w:highlight w:val="white"/>
              </w:rPr>
              <w:t xml:space="preserve"> administrative </w:t>
            </w:r>
            <w:proofErr w:type="spellStart"/>
            <w:r>
              <w:rPr>
                <w:rFonts w:ascii="Times New Roman" w:eastAsia="Times New Roman" w:hAnsi="Times New Roman" w:cs="Times New Roman"/>
                <w:sz w:val="24"/>
                <w:szCs w:val="24"/>
                <w:highlight w:val="white"/>
              </w:rPr>
              <w:t>procedures</w:t>
            </w:r>
            <w:proofErr w:type="spellEnd"/>
            <w:r>
              <w:rPr>
                <w:rFonts w:ascii="Times New Roman" w:eastAsia="Times New Roman" w:hAnsi="Times New Roman" w:cs="Times New Roman"/>
                <w:sz w:val="24"/>
                <w:szCs w:val="24"/>
                <w:highlight w:val="white"/>
              </w:rPr>
              <w:t xml:space="preserve"> for </w:t>
            </w:r>
            <w:proofErr w:type="spellStart"/>
            <w:r>
              <w:rPr>
                <w:rFonts w:ascii="Times New Roman" w:eastAsia="Times New Roman" w:hAnsi="Times New Roman" w:cs="Times New Roman"/>
                <w:sz w:val="24"/>
                <w:szCs w:val="24"/>
                <w:highlight w:val="white"/>
              </w:rPr>
              <w:t>recognition</w:t>
            </w:r>
            <w:proofErr w:type="spellEnd"/>
            <w:r>
              <w:rPr>
                <w:rFonts w:ascii="Times New Roman" w:eastAsia="Times New Roman" w:hAnsi="Times New Roman" w:cs="Times New Roman"/>
                <w:sz w:val="24"/>
                <w:szCs w:val="24"/>
                <w:highlight w:val="white"/>
              </w:rPr>
              <w:t xml:space="preserve"> of </w:t>
            </w:r>
            <w:proofErr w:type="spellStart"/>
            <w:r>
              <w:rPr>
                <w:rFonts w:ascii="Times New Roman" w:eastAsia="Times New Roman" w:hAnsi="Times New Roman" w:cs="Times New Roman"/>
                <w:sz w:val="24"/>
                <w:szCs w:val="24"/>
                <w:highlight w:val="white"/>
              </w:rPr>
              <w:t>qualifications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during</w:t>
            </w:r>
            <w:proofErr w:type="spellEnd"/>
            <w:r>
              <w:rPr>
                <w:rFonts w:ascii="Times New Roman" w:eastAsia="Times New Roman" w:hAnsi="Times New Roman" w:cs="Times New Roman"/>
                <w:sz w:val="24"/>
                <w:szCs w:val="24"/>
                <w:highlight w:val="white"/>
              </w:rPr>
              <w:t xml:space="preserve"> a real, </w:t>
            </w:r>
            <w:proofErr w:type="spellStart"/>
            <w:r>
              <w:rPr>
                <w:rFonts w:ascii="Times New Roman" w:eastAsia="Times New Roman" w:hAnsi="Times New Roman" w:cs="Times New Roman"/>
                <w:sz w:val="24"/>
                <w:szCs w:val="24"/>
                <w:highlight w:val="white"/>
              </w:rPr>
              <w:t>serious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emergency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Otherwise</w:t>
            </w:r>
            <w:proofErr w:type="spellEnd"/>
            <w:r>
              <w:rPr>
                <w:rFonts w:ascii="Times New Roman" w:eastAsia="Times New Roman" w:hAnsi="Times New Roman" w:cs="Times New Roman"/>
                <w:sz w:val="24"/>
                <w:szCs w:val="24"/>
                <w:highlight w:val="white"/>
              </w:rPr>
              <w:t xml:space="preserve">, DG SANTE do </w:t>
            </w:r>
            <w:proofErr w:type="spellStart"/>
            <w:r>
              <w:rPr>
                <w:rFonts w:ascii="Times New Roman" w:eastAsia="Times New Roman" w:hAnsi="Times New Roman" w:cs="Times New Roman"/>
                <w:sz w:val="24"/>
                <w:szCs w:val="24"/>
                <w:highlight w:val="white"/>
              </w:rPr>
              <w:t>not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see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amendments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that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mention</w:t>
            </w:r>
            <w:proofErr w:type="spellEnd"/>
            <w:r>
              <w:rPr>
                <w:rFonts w:ascii="Times New Roman" w:eastAsia="Times New Roman" w:hAnsi="Times New Roman" w:cs="Times New Roman"/>
                <w:sz w:val="24"/>
                <w:szCs w:val="24"/>
                <w:highlight w:val="white"/>
              </w:rPr>
              <w:t xml:space="preserve"> civil-</w:t>
            </w:r>
            <w:proofErr w:type="spellStart"/>
            <w:r>
              <w:rPr>
                <w:rFonts w:ascii="Times New Roman" w:eastAsia="Times New Roman" w:hAnsi="Times New Roman" w:cs="Times New Roman"/>
                <w:sz w:val="24"/>
                <w:szCs w:val="24"/>
                <w:highlight w:val="white"/>
              </w:rPr>
              <w:t>military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lastRenderedPageBreak/>
              <w:t>collaboration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joint</w:t>
            </w:r>
            <w:proofErr w:type="spellEnd"/>
            <w:r>
              <w:rPr>
                <w:rFonts w:ascii="Times New Roman" w:eastAsia="Times New Roman" w:hAnsi="Times New Roman" w:cs="Times New Roman"/>
                <w:sz w:val="24"/>
                <w:szCs w:val="24"/>
                <w:highlight w:val="white"/>
              </w:rPr>
              <w:t xml:space="preserve"> training, or </w:t>
            </w:r>
            <w:proofErr w:type="spellStart"/>
            <w:r>
              <w:rPr>
                <w:rFonts w:ascii="Times New Roman" w:eastAsia="Times New Roman" w:hAnsi="Times New Roman" w:cs="Times New Roman"/>
                <w:sz w:val="24"/>
                <w:szCs w:val="24"/>
                <w:highlight w:val="white"/>
              </w:rPr>
              <w:t>deployment</w:t>
            </w:r>
            <w:proofErr w:type="spellEnd"/>
            <w:r>
              <w:rPr>
                <w:rFonts w:ascii="Times New Roman" w:eastAsia="Times New Roman" w:hAnsi="Times New Roman" w:cs="Times New Roman"/>
                <w:sz w:val="24"/>
                <w:szCs w:val="24"/>
                <w:highlight w:val="white"/>
              </w:rPr>
              <w:t xml:space="preserve"> of Moldovan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professionals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other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countries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that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would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be</w:t>
            </w:r>
            <w:proofErr w:type="spellEnd"/>
            <w:r>
              <w:rPr>
                <w:rFonts w:ascii="Times New Roman" w:eastAsia="Times New Roman" w:hAnsi="Times New Roman" w:cs="Times New Roman"/>
                <w:sz w:val="24"/>
                <w:szCs w:val="24"/>
                <w:highlight w:val="white"/>
              </w:rPr>
              <w:t xml:space="preserve"> relevant for </w:t>
            </w:r>
            <w:proofErr w:type="spellStart"/>
            <w:r>
              <w:rPr>
                <w:rFonts w:ascii="Times New Roman" w:eastAsia="Times New Roman" w:hAnsi="Times New Roman" w:cs="Times New Roman"/>
                <w:sz w:val="24"/>
                <w:szCs w:val="24"/>
                <w:highlight w:val="white"/>
              </w:rPr>
              <w:t>our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preparedness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work</w:t>
            </w:r>
            <w:proofErr w:type="spellEnd"/>
            <w:r>
              <w:rPr>
                <w:rFonts w:ascii="Times New Roman" w:eastAsia="Times New Roman" w:hAnsi="Times New Roman" w:cs="Times New Roman"/>
                <w:sz w:val="24"/>
                <w:szCs w:val="24"/>
                <w:highlight w:val="white"/>
              </w:rPr>
              <w:t>.</w:t>
            </w:r>
            <w:r>
              <w:rPr>
                <w:rFonts w:ascii="Times New Roman" w:eastAsia="Times New Roman" w:hAnsi="Times New Roman" w:cs="Times New Roman"/>
                <w:sz w:val="22"/>
                <w:szCs w:val="22"/>
              </w:rPr>
              <w:t xml:space="preserve"> </w:t>
            </w:r>
          </w:p>
          <w:p w14:paraId="7BABAC86" w14:textId="77777777" w:rsidR="001E4866" w:rsidRDefault="00000000">
            <w:pPr>
              <w:shd w:val="clear" w:color="auto" w:fill="FFFFFF"/>
              <w:spacing w:line="256" w:lineRule="auto"/>
              <w:ind w:firstLine="0"/>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DG SANTE a luat act cu interes de faptul că articolul 8 („Regimul de exercitare a profesiilor medico-sanitare și farmaceutice”) din Legea nr. 411/1995 privind asistența medicală (Monitorul Oficial al Republicii Moldova, 1995, nr. 34, articolul 373) este modificat prin Proiectul de lege pentru a prevedea că:</w:t>
            </w:r>
          </w:p>
          <w:p w14:paraId="04068C17" w14:textId="77777777" w:rsidR="001E4866" w:rsidRDefault="00000000">
            <w:pPr>
              <w:shd w:val="clear" w:color="auto" w:fill="FFFFFF"/>
              <w:spacing w:line="256" w:lineRule="auto"/>
              <w:ind w:firstLine="0"/>
              <w:rPr>
                <w:rFonts w:ascii="Times New Roman" w:eastAsia="Times New Roman" w:hAnsi="Times New Roman" w:cs="Times New Roman"/>
                <w:i/>
                <w:iCs/>
                <w:sz w:val="24"/>
                <w:szCs w:val="24"/>
              </w:rPr>
            </w:pPr>
            <w:r>
              <w:rPr>
                <w:rFonts w:ascii="Times New Roman" w:eastAsia="Times New Roman" w:hAnsi="Times New Roman" w:cs="Times New Roman"/>
                <w:i/>
                <w:iCs/>
                <w:sz w:val="22"/>
                <w:szCs w:val="22"/>
              </w:rPr>
              <w:t>„(2) Activitatea profesională se desfășoară exclusiv în specialitatea stabilită prin titlul de calificare, cu excepția cazului de urgență medicală care pune în pericol viața persoanei sau a stării de urgență stabilite în modul stabilit de legislație. ”</w:t>
            </w:r>
          </w:p>
          <w:p w14:paraId="0A390821" w14:textId="77777777" w:rsidR="001E4866" w:rsidRDefault="00000000">
            <w:pPr>
              <w:shd w:val="clear" w:color="auto" w:fill="FFFFFF"/>
              <w:spacing w:line="256" w:lineRule="auto"/>
              <w:ind w:firstLine="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2"/>
                <w:szCs w:val="22"/>
              </w:rPr>
              <w:t>Din perspectiva pregătirii pentru situații de urgență („</w:t>
            </w:r>
            <w:proofErr w:type="spellStart"/>
            <w:r>
              <w:rPr>
                <w:rFonts w:ascii="Times New Roman" w:eastAsia="Times New Roman" w:hAnsi="Times New Roman" w:cs="Times New Roman"/>
                <w:i/>
                <w:iCs/>
                <w:sz w:val="22"/>
                <w:szCs w:val="22"/>
              </w:rPr>
              <w:t>preparedness</w:t>
            </w:r>
            <w:proofErr w:type="spellEnd"/>
            <w:r>
              <w:rPr>
                <w:rFonts w:ascii="Times New Roman" w:eastAsia="Times New Roman" w:hAnsi="Times New Roman" w:cs="Times New Roman"/>
                <w:i/>
                <w:iCs/>
                <w:sz w:val="22"/>
                <w:szCs w:val="22"/>
              </w:rPr>
              <w:t xml:space="preserve">”), este foarte important ca, în cazul unei urgențe reale și grave, să nu fie necesară parcurgerea unor verificări îndelungate și a unor proceduri administrative complexe pentru recunoașterea calificărilor profesionale. În rest, DG SANTE nu a identificat în proiect modificări care să vizeze cooperarea civil-militară, instruirea comună sau detașarea profesioniștilor din domeniul sănătății din Republica Moldova în alte țări, aspecte care ar fi relevante pentru activitatea noastră în domeniul pregătirii și răspunsului la situații de urgență. </w:t>
            </w:r>
          </w:p>
        </w:tc>
        <w:tc>
          <w:tcPr>
            <w:tcW w:w="4635" w:type="dxa"/>
            <w:tcMar>
              <w:top w:w="0" w:type="dxa"/>
              <w:bottom w:w="0" w:type="dxa"/>
            </w:tcMar>
          </w:tcPr>
          <w:p w14:paraId="48F98F30"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ia act</w:t>
            </w:r>
          </w:p>
          <w:p w14:paraId="28F6FCE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Prevederea are ca scop delimitarea exercitării profesiei medico-sanitare și farmaceutice în raport cu specialitatea stabilită prin titlul de calificare/de formare profesională deținut, în vederea asigurării protecției pacientului și a exercitării activității profesionale în limitele competențelor dobândite. Excepțiile prevăzute sunt limitate la situații justificate obiectiv, respectiv urgență medicală care pune în pericol viața persoanei și starea de urgență instituită potrivit legii. </w:t>
            </w:r>
          </w:p>
          <w:p w14:paraId="2651FDCB" w14:textId="77777777" w:rsidR="001E4866" w:rsidRDefault="001E4866">
            <w:pPr>
              <w:ind w:firstLine="0"/>
              <w:rPr>
                <w:rFonts w:ascii="Times New Roman" w:eastAsia="Times New Roman" w:hAnsi="Times New Roman" w:cs="Times New Roman"/>
                <w:sz w:val="22"/>
                <w:szCs w:val="22"/>
              </w:rPr>
            </w:pPr>
          </w:p>
          <w:p w14:paraId="32822B97"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Aspectele privind cooperarea civil-militară în domeniul sănătății, instruirea comună a personalului și detașarea sau mobilizarea transfrontalieră a profesioniștilor din sănătate în contextul situațiilor de urgență țin de organizarea și funcționarea sistemului de pregătire și răspuns la urgențe de sănătate publică și sunt reglementate prin acte normative sectoriale distincte. Proiectul de lege are ca obiect reglementarea condițiilor de </w:t>
            </w:r>
            <w:r>
              <w:rPr>
                <w:rFonts w:ascii="Times New Roman" w:eastAsia="Times New Roman" w:hAnsi="Times New Roman" w:cs="Times New Roman"/>
                <w:sz w:val="22"/>
                <w:szCs w:val="22"/>
              </w:rPr>
              <w:lastRenderedPageBreak/>
              <w:t xml:space="preserve">acces și exercitare a profesiilor medico-sanitare și farmaceutice, inclusiv recunoașterea calificărilor profesionale, motiv pentru care aceste aspecte nu au fost incluse în cuprinsul său. </w:t>
            </w:r>
          </w:p>
        </w:tc>
      </w:tr>
      <w:tr w:rsidR="001E4866" w14:paraId="1A27090D" w14:textId="77777777">
        <w:trPr>
          <w:trHeight w:val="1740"/>
        </w:trPr>
        <w:tc>
          <w:tcPr>
            <w:tcW w:w="1335" w:type="dxa"/>
          </w:tcPr>
          <w:p w14:paraId="0F59530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905" w:type="dxa"/>
            <w:tcMar>
              <w:top w:w="0" w:type="dxa"/>
              <w:bottom w:w="0" w:type="dxa"/>
            </w:tcMar>
          </w:tcPr>
          <w:p w14:paraId="70D2CC6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61F90A6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A10C9B1" w14:textId="77777777" w:rsidR="001E4866" w:rsidRDefault="00000000">
            <w:pPr>
              <w:shd w:val="clear" w:color="auto" w:fill="FFFFFF"/>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Comentariul autorului</w:t>
            </w:r>
          </w:p>
          <w:p w14:paraId="61164E96" w14:textId="77777777" w:rsidR="001E4866" w:rsidRDefault="00000000">
            <w:pPr>
              <w:shd w:val="clear" w:color="auto" w:fill="FFFFFF"/>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În vederea asigurării coerenței cadrului normativ aplicabil activității farmaceutice cu regimul certificării cadrelor medico-sanitare și farmaceutice și cu mecanismele de recunoaștere a calificărilor profesionale instituite prin prezentul proiect, a fost necesară completarea Legii nr. 1456/1993 privind activitatea farmaceutică. Necesitatea intervenției rezultă din faptul că reglementările sectoriale corespunzătoare urmează încă să fie definitivate și </w:t>
            </w:r>
            <w:r>
              <w:rPr>
                <w:rFonts w:ascii="Times New Roman" w:eastAsia="Times New Roman" w:hAnsi="Times New Roman" w:cs="Times New Roman"/>
                <w:sz w:val="22"/>
                <w:szCs w:val="22"/>
              </w:rPr>
              <w:lastRenderedPageBreak/>
              <w:t xml:space="preserve">adoptate, iar Legea nr. 1456/1993 continuă să constituie cadrul normativ aplicabil activității farmaceutice. </w:t>
            </w:r>
          </w:p>
        </w:tc>
        <w:tc>
          <w:tcPr>
            <w:tcW w:w="4635" w:type="dxa"/>
            <w:tcMar>
              <w:top w:w="0" w:type="dxa"/>
              <w:bottom w:w="0" w:type="dxa"/>
            </w:tcMar>
          </w:tcPr>
          <w:p w14:paraId="2FD1AEAE"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Cu privire la articolul IV -  Legea nr. 1456/1993  privind activitatea farmaceutică a fost completată pentru a asigură corelarea cu regimul certificării cadrelor medico-sanitare și farmaceutice, inclusiv cu recunoașterea titlurilor de calificare și a actelor de formare profesională, în contextul transpunerii Directivei 2005/36/CE. Amendamentele au caracter de corelare normativă și nu substituie reforma sectorială prevăzută prin Legea Farmaciei.</w:t>
            </w:r>
          </w:p>
        </w:tc>
      </w:tr>
      <w:tr w:rsidR="001E4866" w14:paraId="31B12306" w14:textId="77777777">
        <w:trPr>
          <w:trHeight w:val="495"/>
        </w:trPr>
        <w:tc>
          <w:tcPr>
            <w:tcW w:w="14235" w:type="dxa"/>
            <w:gridSpan w:val="5"/>
          </w:tcPr>
          <w:p w14:paraId="66930845" w14:textId="77777777" w:rsidR="001E4866" w:rsidRDefault="00000000">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ETAPA DE EXPERTIZARE II</w:t>
            </w:r>
          </w:p>
        </w:tc>
      </w:tr>
      <w:tr w:rsidR="001E4866" w14:paraId="35145D0A" w14:textId="77777777">
        <w:trPr>
          <w:trHeight w:val="1740"/>
        </w:trPr>
        <w:tc>
          <w:tcPr>
            <w:tcW w:w="1335" w:type="dxa"/>
          </w:tcPr>
          <w:p w14:paraId="73995C7E"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905" w:type="dxa"/>
            <w:tcMar>
              <w:top w:w="0" w:type="dxa"/>
              <w:bottom w:w="0" w:type="dxa"/>
            </w:tcMar>
          </w:tcPr>
          <w:p w14:paraId="5D7E3A45"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Ministerul Justiției</w:t>
            </w:r>
          </w:p>
        </w:tc>
        <w:tc>
          <w:tcPr>
            <w:tcW w:w="1575" w:type="dxa"/>
            <w:tcMar>
              <w:top w:w="0" w:type="dxa"/>
              <w:bottom w:w="0" w:type="dxa"/>
            </w:tcMar>
          </w:tcPr>
          <w:p w14:paraId="4E8E4381" w14:textId="77777777"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nr. 04/1-7230 </w:t>
            </w:r>
          </w:p>
          <w:p w14:paraId="42C08EEB" w14:textId="0A033CA6" w:rsidR="001E4866" w:rsidRDefault="00000000">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color w:val="FF0000"/>
                <w:sz w:val="22"/>
                <w:szCs w:val="22"/>
              </w:rPr>
            </w:pPr>
            <w:r>
              <w:rPr>
                <w:rFonts w:ascii="Times New Roman" w:eastAsia="Times New Roman" w:hAnsi="Times New Roman" w:cs="Times New Roman"/>
                <w:b/>
                <w:bCs/>
                <w:sz w:val="22"/>
                <w:szCs w:val="22"/>
              </w:rPr>
              <w:t>30.06.202</w:t>
            </w:r>
            <w:r w:rsidR="00CB488F">
              <w:rPr>
                <w:rFonts w:ascii="Times New Roman" w:eastAsia="Times New Roman" w:hAnsi="Times New Roman" w:cs="Times New Roman"/>
                <w:b/>
                <w:bCs/>
                <w:sz w:val="22"/>
                <w:szCs w:val="22"/>
              </w:rPr>
              <w:t>6</w:t>
            </w:r>
            <w:r w:rsidRPr="00CB488F">
              <w:rPr>
                <w:rFonts w:ascii="Times New Roman" w:eastAsia="Times New Roman" w:hAnsi="Times New Roman" w:cs="Times New Roman"/>
                <w:b/>
                <w:bCs/>
                <w:sz w:val="22"/>
                <w:szCs w:val="22"/>
              </w:rPr>
              <w:t xml:space="preserve"> </w:t>
            </w:r>
          </w:p>
        </w:tc>
        <w:tc>
          <w:tcPr>
            <w:tcW w:w="4785" w:type="dxa"/>
            <w:tcMar>
              <w:top w:w="0" w:type="dxa"/>
              <w:bottom w:w="0" w:type="dxa"/>
            </w:tcMar>
          </w:tcPr>
          <w:p w14:paraId="7037AC27" w14:textId="77777777" w:rsidR="001E4866" w:rsidRDefault="00000000">
            <w:pPr>
              <w:shd w:val="clear" w:color="auto" w:fill="FFFFFF"/>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 cu referire la art. 8</w:t>
            </w:r>
            <w:r>
              <w:rPr>
                <w:rFonts w:ascii="Times New Roman" w:eastAsia="Times New Roman" w:hAnsi="Times New Roman" w:cs="Times New Roman"/>
                <w:sz w:val="16"/>
                <w:szCs w:val="16"/>
              </w:rPr>
              <w:t>1</w:t>
            </w:r>
            <w:r>
              <w:rPr>
                <w:rFonts w:ascii="Times New Roman" w:eastAsia="Times New Roman" w:hAnsi="Times New Roman" w:cs="Times New Roman"/>
                <w:sz w:val="22"/>
                <w:szCs w:val="22"/>
              </w:rPr>
              <w:t xml:space="preserve"> alin. (4), se observă că obligația de notificare a Consiliului urmează a fi realizată „în modul stabilit”, fără ca proiectul să indice autoritatea competentă sau actul normativ prin care se stabilește procedura respectivă. În lipsa unei norme de trimitere exprese, formularea utilizată nu permite identificarea cadrului normativ aplicabil și poate genera dificultăți în aplicarea prevederii. Se recomandă precizarea expresă a autorității competente și a actului normativ prin care urmează să fie reglementată procedura de notificare. </w:t>
            </w:r>
          </w:p>
        </w:tc>
        <w:tc>
          <w:tcPr>
            <w:tcW w:w="4635" w:type="dxa"/>
            <w:tcMar>
              <w:top w:w="0" w:type="dxa"/>
              <w:bottom w:w="0" w:type="dxa"/>
            </w:tcMar>
          </w:tcPr>
          <w:p w14:paraId="22D44BC1"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 parțial.</w:t>
            </w:r>
          </w:p>
          <w:p w14:paraId="456B010E" w14:textId="2C481158"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sz w:val="22"/>
                <w:szCs w:val="22"/>
              </w:rPr>
              <w:t>Textul art. 8</w:t>
            </w:r>
            <w:r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(4) se va preciza prin indicarea Consiliului în calitate de autoritate competentă și prin corelarea normei cu cadrul normativ secundar aprobat de Guvern în domeniul recunoașterii calificărilor profesionale și a actelor de formare profesională în domeniul sănătății obținute în străinătate. Procedura notificării nu constituie o procedură distinctă, separată de mecanismul de recunoaștere, ci reprezintă o componentă procedurală a regimului de exercitare temporară și ocazională a profesiunilor medico-sanitare și farmaceutice.</w:t>
            </w:r>
          </w:p>
        </w:tc>
      </w:tr>
      <w:tr w:rsidR="001E4866" w14:paraId="5EEF8955" w14:textId="77777777">
        <w:trPr>
          <w:trHeight w:val="675"/>
        </w:trPr>
        <w:tc>
          <w:tcPr>
            <w:tcW w:w="1335" w:type="dxa"/>
          </w:tcPr>
          <w:p w14:paraId="69421223"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26BEA9D3"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7B85C6B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562523C2" w14:textId="302369E4"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Referitor la art. </w:t>
            </w:r>
            <w:r w:rsidR="00861B2E">
              <w:rPr>
                <w:rFonts w:ascii="Times New Roman" w:eastAsia="Times New Roman" w:hAnsi="Times New Roman" w:cs="Times New Roman"/>
                <w:sz w:val="22"/>
                <w:szCs w:val="22"/>
              </w:rPr>
              <w:t>8</w:t>
            </w:r>
            <w:r w:rsidR="00861B2E"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(8), se consideră necesară reexaminarea calificării normei ca fiind una derogatorie. Derogarea reprezintă o abatere de la regula generală aplicabilă aceleiași categorii de raporturi juridice. Totuși, din conținutul art. 8 alin. (1) lit. c) nu rezultă regula de la care art. </w:t>
            </w:r>
            <w:r w:rsidRPr="00861B2E">
              <w:rPr>
                <w:rFonts w:ascii="Times New Roman" w:eastAsia="Times New Roman" w:hAnsi="Times New Roman" w:cs="Times New Roman"/>
                <w:sz w:val="22"/>
                <w:szCs w:val="22"/>
              </w:rPr>
              <w:t>8</w:t>
            </w:r>
            <w:r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(8) ar deroga. În aceste condiții, caracterul derogatoriu al normei nu este suficient justificat, iar formularea utilizată poate crea dificultăți de interpretare cu privire la raportul dintre cele două dispoziții. </w:t>
            </w:r>
          </w:p>
          <w:p w14:paraId="69D9BC31"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Suplimentar, norma este redactată într-o manieră contradictorie, întrucât vizează persoane care nu au inițiat procedura de obținere a dreptului de ședere în Republica Moldova, dar care, potrivit aceleiași dispoziții, dețin un drept de ședere. Se recomandă reformularea textului pentru eliminarea contradicției și precizarea expresă a statului în care persoana beneficiază de drept de ședere. </w:t>
            </w:r>
          </w:p>
        </w:tc>
        <w:tc>
          <w:tcPr>
            <w:tcW w:w="4635" w:type="dxa"/>
            <w:tcMar>
              <w:top w:w="0" w:type="dxa"/>
              <w:bottom w:w="0" w:type="dxa"/>
            </w:tcMar>
          </w:tcPr>
          <w:p w14:paraId="61158129"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w:t>
            </w:r>
          </w:p>
          <w:p w14:paraId="1108E82D" w14:textId="2011CCE9"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Textul art. </w:t>
            </w:r>
            <w:r w:rsidR="00861B2E">
              <w:rPr>
                <w:rFonts w:ascii="Times New Roman" w:eastAsia="Times New Roman" w:hAnsi="Times New Roman" w:cs="Times New Roman"/>
                <w:sz w:val="22"/>
                <w:szCs w:val="22"/>
              </w:rPr>
              <w:t>8</w:t>
            </w:r>
            <w:r w:rsidR="00861B2E" w:rsidRPr="00861B2E">
              <w:rPr>
                <w:rFonts w:ascii="Times New Roman" w:eastAsia="Times New Roman" w:hAnsi="Times New Roman" w:cs="Times New Roman"/>
                <w:sz w:val="22"/>
                <w:szCs w:val="22"/>
                <w:vertAlign w:val="superscript"/>
              </w:rPr>
              <w:t>1</w:t>
            </w:r>
            <w:r w:rsidR="00861B2E">
              <w:rPr>
                <w:rFonts w:ascii="Times New Roman" w:eastAsia="Times New Roman" w:hAnsi="Times New Roman" w:cs="Times New Roman"/>
                <w:sz w:val="22"/>
                <w:szCs w:val="22"/>
                <w:vertAlign w:val="superscript"/>
              </w:rPr>
              <w:t xml:space="preserve"> </w:t>
            </w:r>
            <w:r>
              <w:rPr>
                <w:rFonts w:ascii="Times New Roman" w:eastAsia="Times New Roman" w:hAnsi="Times New Roman" w:cs="Times New Roman"/>
                <w:sz w:val="22"/>
                <w:szCs w:val="22"/>
              </w:rPr>
              <w:t>alin. (8) a fost reformulat prin excluderea calificării normei ca derogatorie și prin precizarea faptului că dreptul de ședere și dreptul de exercitare a profesiei sunt deținute într-un alt stat decât Republica Moldova.</w:t>
            </w:r>
          </w:p>
          <w:p w14:paraId="1DBFB781" w14:textId="77777777" w:rsidR="001E4866" w:rsidRDefault="001E4866">
            <w:pPr>
              <w:ind w:firstLine="0"/>
              <w:rPr>
                <w:rFonts w:ascii="Times New Roman" w:eastAsia="Times New Roman" w:hAnsi="Times New Roman" w:cs="Times New Roman"/>
                <w:sz w:val="22"/>
                <w:szCs w:val="22"/>
              </w:rPr>
            </w:pPr>
          </w:p>
        </w:tc>
      </w:tr>
      <w:tr w:rsidR="001E4866" w14:paraId="08C495F8" w14:textId="77777777">
        <w:trPr>
          <w:trHeight w:val="675"/>
        </w:trPr>
        <w:tc>
          <w:tcPr>
            <w:tcW w:w="1335" w:type="dxa"/>
          </w:tcPr>
          <w:p w14:paraId="267467EF"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5AC3FE6F"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2C04D486"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5059D73F" w14:textId="15A3BFE6"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Capitolul constituie o structură complexă a actului normativ și este destinat grupării unui ansamblu de norme juridice cu obiect comun de reglementare. Din acest considerent, nu se consideră justificată instituirea capitolului </w:t>
            </w:r>
            <w:r w:rsidR="00861B2E">
              <w:rPr>
                <w:rFonts w:ascii="Times New Roman" w:eastAsia="Times New Roman" w:hAnsi="Times New Roman" w:cs="Times New Roman"/>
                <w:sz w:val="22"/>
                <w:szCs w:val="22"/>
              </w:rPr>
              <w:t xml:space="preserve"> II</w:t>
            </w:r>
            <w:r w:rsidR="00861B2E"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alcătuit dintr-un singur articol, fiind necesară reexaminarea structurii proiectului în vederea respectării exigențelor de tehnică legislativă. </w:t>
            </w:r>
          </w:p>
        </w:tc>
        <w:tc>
          <w:tcPr>
            <w:tcW w:w="4635" w:type="dxa"/>
            <w:tcMar>
              <w:top w:w="0" w:type="dxa"/>
              <w:bottom w:w="0" w:type="dxa"/>
            </w:tcMar>
          </w:tcPr>
          <w:p w14:paraId="21A35911"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ia act.</w:t>
            </w:r>
          </w:p>
          <w:p w14:paraId="129C981A" w14:textId="13B246A3"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Instituirea Capitolului II</w:t>
            </w:r>
            <w:r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are caracter de reglementare-cadru și este determinată de necesitatea stabilirii, la nivelul Legii ocrotirii sănătății nr. 411/1995, a normelor primare privind actele permisive în domeniul sănătății, în vederea corelării acestora cu procedura de certificare a cadrelor medico-sanitare și farmaceutice reglementată în Legea nr. 552/2001 privind evaluarea și acreditarea în sănătate.</w:t>
            </w:r>
          </w:p>
          <w:p w14:paraId="1C83D665"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se reține că structura respectivă urmează a fi dezvoltată ulterior, în termen de 6 luni de la intrarea în vigoare a legii, prin completarea cadrului primar aferent actelor permisive în domeniul sănătății. În această etapă, menținerea articolului propus este necesară pentru asigurarea temeiului legal general al intervenției normative operate în Legea nr. 552/2001.</w:t>
            </w:r>
          </w:p>
        </w:tc>
      </w:tr>
      <w:tr w:rsidR="001E4866" w14:paraId="17BF0986" w14:textId="77777777">
        <w:trPr>
          <w:trHeight w:val="675"/>
        </w:trPr>
        <w:tc>
          <w:tcPr>
            <w:tcW w:w="1335" w:type="dxa"/>
          </w:tcPr>
          <w:p w14:paraId="78BA0430"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133F8F04"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85E3D63"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265A388"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Cu referire la art. 16</w:t>
            </w:r>
            <w:r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(5), se constată că norma califică respingerea cererii de eliberare, suspendarea și retragerea actului permisiv drept măsuri aplicate „în scopul sancționării solicitantului”. O asemenea abordare nu reflectă natura juridică a acestor instituții, care constituie măsuri administrative determinate de neîntrunirea sau încetarea întrunirii </w:t>
            </w:r>
            <w:r>
              <w:rPr>
                <w:rFonts w:ascii="Times New Roman" w:eastAsia="Times New Roman" w:hAnsi="Times New Roman" w:cs="Times New Roman"/>
                <w:sz w:val="22"/>
                <w:szCs w:val="22"/>
              </w:rPr>
              <w:lastRenderedPageBreak/>
              <w:t xml:space="preserve">condițiilor legale pentru emiterea ori menținerea actului permisiv și nu forme de răspundere juridică. În acest sens, se recomandă reexaminarea redactării normei în vederea delimitării clare a măsurilor administrative de reglementare de măsurile cu caracter sancționator. </w:t>
            </w:r>
          </w:p>
        </w:tc>
        <w:tc>
          <w:tcPr>
            <w:tcW w:w="4635" w:type="dxa"/>
            <w:tcMar>
              <w:top w:w="0" w:type="dxa"/>
              <w:bottom w:w="0" w:type="dxa"/>
            </w:tcMar>
          </w:tcPr>
          <w:p w14:paraId="303F6476"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w:t>
            </w:r>
          </w:p>
          <w:p w14:paraId="0AFDC45C" w14:textId="44B872C2"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Textul art. </w:t>
            </w:r>
            <w:r w:rsidR="00861B2E">
              <w:rPr>
                <w:rFonts w:ascii="Times New Roman" w:eastAsia="Times New Roman" w:hAnsi="Times New Roman" w:cs="Times New Roman"/>
                <w:sz w:val="22"/>
                <w:szCs w:val="22"/>
              </w:rPr>
              <w:t>16</w:t>
            </w:r>
            <w:r w:rsidR="00861B2E" w:rsidRPr="00861B2E">
              <w:rPr>
                <w:rFonts w:ascii="Times New Roman" w:eastAsia="Times New Roman" w:hAnsi="Times New Roman" w:cs="Times New Roman"/>
                <w:sz w:val="22"/>
                <w:szCs w:val="22"/>
                <w:vertAlign w:val="superscript"/>
              </w:rPr>
              <w:t>1</w:t>
            </w:r>
            <w:r w:rsidR="00861B2E">
              <w:rPr>
                <w:rFonts w:ascii="Times New Roman" w:eastAsia="Times New Roman" w:hAnsi="Times New Roman" w:cs="Times New Roman"/>
                <w:sz w:val="22"/>
                <w:szCs w:val="22"/>
                <w:vertAlign w:val="superscript"/>
              </w:rPr>
              <w:t xml:space="preserve"> </w:t>
            </w:r>
            <w:r>
              <w:rPr>
                <w:rFonts w:ascii="Times New Roman" w:eastAsia="Times New Roman" w:hAnsi="Times New Roman" w:cs="Times New Roman"/>
                <w:sz w:val="22"/>
                <w:szCs w:val="22"/>
              </w:rPr>
              <w:t xml:space="preserve">alin. (5) a fost reformulat pentru a delimita respingerea cererii de eliberare, suspendarea și retragerea actului permisiv de măsurile cu caracter sancționator. Norma precizează că acestea constituie măsuri </w:t>
            </w:r>
            <w:r>
              <w:rPr>
                <w:rFonts w:ascii="Times New Roman" w:eastAsia="Times New Roman" w:hAnsi="Times New Roman" w:cs="Times New Roman"/>
                <w:sz w:val="22"/>
                <w:szCs w:val="22"/>
              </w:rPr>
              <w:lastRenderedPageBreak/>
              <w:t>administrative aferente regimului juridic al actului permisiv și nu pot fi dispuse pentru neîndeplinirea unor cerințe care nu sunt prevăzute expres de lege pentru actul permisiv respectiv.</w:t>
            </w:r>
          </w:p>
          <w:p w14:paraId="4462A775" w14:textId="77777777" w:rsidR="001E4866" w:rsidRDefault="001E4866">
            <w:pPr>
              <w:ind w:firstLine="0"/>
              <w:rPr>
                <w:rFonts w:ascii="Times New Roman" w:eastAsia="Times New Roman" w:hAnsi="Times New Roman" w:cs="Times New Roman"/>
                <w:sz w:val="22"/>
                <w:szCs w:val="22"/>
              </w:rPr>
            </w:pPr>
          </w:p>
        </w:tc>
      </w:tr>
      <w:tr w:rsidR="001E4866" w14:paraId="018AA115" w14:textId="77777777">
        <w:trPr>
          <w:trHeight w:val="675"/>
        </w:trPr>
        <w:tc>
          <w:tcPr>
            <w:tcW w:w="1335" w:type="dxa"/>
          </w:tcPr>
          <w:p w14:paraId="16DD213D"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3C50E68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6A943F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6A1B3BA"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art. III, proiectul legii instituie mai multe forme de certificare (primară, periodică, extraordinară), dar nu definește conținutul și circumstanțele în care se aplică certificarea profesională națională extraordinară, generând o problemă de claritate și previzibilitate a normei. Se constată că proiectul reglementează certificarea profesională națională extraordinară, fără a stabili conținutul acestei noțiuni, cazurile în care aceasta poate fi dispusă și circumstanțele care justifică aplicarea sa. În lipsa unor repere legale, nu poate fi determinată diferența dintre certificarea extraordinară și celelalte forme de certificare profesională prevăzute de proiect și nici situațiile în care persoanele prevăzute la art. 8 din Legea ocrotirii sănătății nr. 411/1995 pot fi supuse unei asemenea proceduri. </w:t>
            </w:r>
          </w:p>
        </w:tc>
        <w:tc>
          <w:tcPr>
            <w:tcW w:w="4635" w:type="dxa"/>
            <w:tcMar>
              <w:top w:w="0" w:type="dxa"/>
              <w:bottom w:w="0" w:type="dxa"/>
            </w:tcMar>
          </w:tcPr>
          <w:p w14:paraId="24789B3F"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41E88DF6" w14:textId="4DD5DAE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Textul art. 12</w:t>
            </w:r>
            <w:r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(5) a fost reformulat în vederea precizării conținutului și circumstanțelor aplicării certificării extraordinare. Norma stabilește că certificarea extraordinară se aplică persoanelor cărora le-a fost retras cardul profesional național, atunci când Consiliul stabilește necesitatea promovării acestei proceduri pentru reluarea activității profesionale, și are ca obiect verificarea înlăturării circumstanțelor care au stat la baza retragerii cardului, precum și a îndeplinirii condițiilor legale pentru reluarea exercitării profesiunii.</w:t>
            </w:r>
          </w:p>
          <w:p w14:paraId="119AFA8D" w14:textId="77777777" w:rsidR="001E4866" w:rsidRDefault="001E4866">
            <w:pPr>
              <w:ind w:firstLine="0"/>
              <w:rPr>
                <w:rFonts w:ascii="Times New Roman" w:eastAsia="Times New Roman" w:hAnsi="Times New Roman" w:cs="Times New Roman"/>
                <w:sz w:val="22"/>
                <w:szCs w:val="22"/>
              </w:rPr>
            </w:pPr>
          </w:p>
        </w:tc>
      </w:tr>
      <w:tr w:rsidR="001E4866" w14:paraId="71B8F817" w14:textId="77777777">
        <w:trPr>
          <w:trHeight w:val="675"/>
        </w:trPr>
        <w:tc>
          <w:tcPr>
            <w:tcW w:w="1335" w:type="dxa"/>
          </w:tcPr>
          <w:p w14:paraId="3E525C66"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78AF909D"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24BE15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34111F86"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Se constată că proiectul legii (art.</w:t>
            </w:r>
            <w:r w:rsidRPr="00861B2E">
              <w:rPr>
                <w:rFonts w:ascii="Times New Roman" w:eastAsia="Times New Roman" w:hAnsi="Times New Roman" w:cs="Times New Roman"/>
                <w:sz w:val="22"/>
                <w:szCs w:val="22"/>
              </w:rPr>
              <w:t xml:space="preserve"> 15</w:t>
            </w:r>
            <w:r w:rsidRPr="00861B2E">
              <w:rPr>
                <w:rFonts w:ascii="Times New Roman" w:eastAsia="Times New Roman" w:hAnsi="Times New Roman" w:cs="Times New Roman"/>
                <w:sz w:val="22"/>
                <w:szCs w:val="22"/>
                <w:vertAlign w:val="superscript"/>
              </w:rPr>
              <w:t>2</w:t>
            </w:r>
            <w:r>
              <w:rPr>
                <w:rFonts w:ascii="Times New Roman" w:eastAsia="Times New Roman" w:hAnsi="Times New Roman" w:cs="Times New Roman"/>
                <w:sz w:val="22"/>
                <w:szCs w:val="22"/>
              </w:rPr>
              <w:t xml:space="preserve"> ) utilizează noțiunea de „card profesional european” exclusiv în contextul stabilirii taxei aferente emiterii acestuia, fără a conține alte dispoziții care să reglementeze instituția juridică respectivă. Instituirea unei taxe pentru emiterea unui act care nu este reglementat de proiect apare lipsită de suport normativ, întrucât obligația de plată nu poate exista independent de reglementarea actului administrativ sau a serviciului public pentru care aceasta se percepe. </w:t>
            </w:r>
          </w:p>
        </w:tc>
        <w:tc>
          <w:tcPr>
            <w:tcW w:w="4635" w:type="dxa"/>
            <w:tcMar>
              <w:top w:w="0" w:type="dxa"/>
              <w:bottom w:w="0" w:type="dxa"/>
            </w:tcMar>
          </w:tcPr>
          <w:p w14:paraId="0FF32BC1"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 parțial.</w:t>
            </w:r>
          </w:p>
          <w:p w14:paraId="7EE24DF2"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Cardul profesional european nu este utilizat în proiect exclusiv în contextul stabilirii taxei. Proiectul conține dispoziții privind accesul la exercitarea profesiei de către persoanele care solicită sau dețin cardul profesional european, precum și atribuția Consiliului de a participa, prin IMI, la procedura de emitere a cardului profesional european. Totodată, instituția cardului profesional european este reglementată la nivel primar în cadrul legislației privind recunoașterea </w:t>
            </w:r>
            <w:r>
              <w:rPr>
                <w:rFonts w:ascii="Times New Roman" w:eastAsia="Times New Roman" w:hAnsi="Times New Roman" w:cs="Times New Roman"/>
                <w:sz w:val="22"/>
                <w:szCs w:val="22"/>
              </w:rPr>
              <w:lastRenderedPageBreak/>
              <w:t>calificărilor profesionale, cu care prezentul proiect se corelează.</w:t>
            </w:r>
          </w:p>
          <w:p w14:paraId="4AD53E04" w14:textId="24B49EEC"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Pentru evitarea oricărei interpretări potrivit căreia Legea nr. 552/2001 ar institui distinct cardul profesional european, textul art. 12</w:t>
            </w:r>
            <w:r w:rsidR="00861B2E">
              <w:rPr>
                <w:rFonts w:ascii="Times New Roman" w:eastAsia="Times New Roman" w:hAnsi="Times New Roman" w:cs="Times New Roman"/>
                <w:sz w:val="22"/>
                <w:szCs w:val="22"/>
              </w:rPr>
              <w:t xml:space="preserve"> </w:t>
            </w:r>
            <w:r w:rsidRPr="00861B2E">
              <w:rPr>
                <w:rFonts w:ascii="Times New Roman" w:eastAsia="Times New Roman" w:hAnsi="Times New Roman" w:cs="Times New Roman"/>
                <w:sz w:val="22"/>
                <w:szCs w:val="22"/>
                <w:vertAlign w:val="superscript"/>
              </w:rPr>
              <w:t>5</w:t>
            </w:r>
            <w:r>
              <w:rPr>
                <w:rFonts w:ascii="Times New Roman" w:eastAsia="Times New Roman" w:hAnsi="Times New Roman" w:cs="Times New Roman"/>
                <w:sz w:val="22"/>
                <w:szCs w:val="22"/>
              </w:rPr>
              <w:t xml:space="preserve"> alin. (2) a fost precizat prin raportare la procedurile administrative privind cardul profesional național și cardul profesional european.</w:t>
            </w:r>
          </w:p>
        </w:tc>
      </w:tr>
      <w:tr w:rsidR="001E4866" w14:paraId="4B5C7CAD" w14:textId="77777777">
        <w:trPr>
          <w:trHeight w:val="675"/>
        </w:trPr>
        <w:tc>
          <w:tcPr>
            <w:tcW w:w="1335" w:type="dxa"/>
          </w:tcPr>
          <w:p w14:paraId="601285FC"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41AB09A9"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599E6E90"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E045FCF"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pct. 6, textul „ , restul alineatului păstrându-se fără modificări” se va exclude. </w:t>
            </w:r>
          </w:p>
        </w:tc>
        <w:tc>
          <w:tcPr>
            <w:tcW w:w="4635" w:type="dxa"/>
            <w:tcMar>
              <w:top w:w="0" w:type="dxa"/>
              <w:bottom w:w="0" w:type="dxa"/>
            </w:tcMar>
          </w:tcPr>
          <w:p w14:paraId="78DC4556"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Se acceptă </w:t>
            </w:r>
          </w:p>
          <w:p w14:paraId="355CFCD6"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ajustat</w:t>
            </w:r>
          </w:p>
        </w:tc>
      </w:tr>
      <w:tr w:rsidR="001E4866" w14:paraId="175D504B" w14:textId="77777777">
        <w:trPr>
          <w:trHeight w:val="675"/>
        </w:trPr>
        <w:tc>
          <w:tcPr>
            <w:tcW w:w="1335" w:type="dxa"/>
          </w:tcPr>
          <w:p w14:paraId="3627D802"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3196926E"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787C474C"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52C8176F"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Completarea art. 11³ necesită a fi numerotată. </w:t>
            </w:r>
          </w:p>
        </w:tc>
        <w:tc>
          <w:tcPr>
            <w:tcW w:w="4635" w:type="dxa"/>
            <w:tcMar>
              <w:top w:w="0" w:type="dxa"/>
              <w:bottom w:w="0" w:type="dxa"/>
            </w:tcMar>
          </w:tcPr>
          <w:p w14:paraId="6137DBA8"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Se acceptă </w:t>
            </w:r>
          </w:p>
          <w:p w14:paraId="36F2B02C" w14:textId="77777777" w:rsidR="001E4866" w:rsidRDefault="00000000">
            <w:pPr>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ajustat</w:t>
            </w:r>
          </w:p>
        </w:tc>
      </w:tr>
      <w:tr w:rsidR="001E4866" w14:paraId="37E26848" w14:textId="77777777">
        <w:trPr>
          <w:trHeight w:val="675"/>
        </w:trPr>
        <w:tc>
          <w:tcPr>
            <w:tcW w:w="1335" w:type="dxa"/>
          </w:tcPr>
          <w:p w14:paraId="71DE0B95"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6E6F5820"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4094AD59"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2CB1490"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pct. 7, amendamentele la art. 9 și 10 se vor reda în puncte separate. </w:t>
            </w:r>
          </w:p>
        </w:tc>
        <w:tc>
          <w:tcPr>
            <w:tcW w:w="4635" w:type="dxa"/>
            <w:tcMar>
              <w:top w:w="0" w:type="dxa"/>
              <w:bottom w:w="0" w:type="dxa"/>
            </w:tcMar>
          </w:tcPr>
          <w:p w14:paraId="63E09AFF"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Se acceptă </w:t>
            </w:r>
          </w:p>
          <w:p w14:paraId="3AA71BCD"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Amendamentele la art. 9 și art. 10 au fost redate în puncte separate. Totodată, în procesul de reexaminare a textului, formulările referitoare la antrenarea experților în sănătate au fost precizate pentru a reflecta integral atribuțiile Consiliului, inclusiv în procedurile de recunoaștere a calificărilor profesionale, nu doar în procedurile de acreditare și certificare. Punctul 8 devine punctul 9, iar punctele următoare se renumerotează corespunzător.</w:t>
            </w:r>
          </w:p>
        </w:tc>
      </w:tr>
      <w:tr w:rsidR="001E4866" w14:paraId="7414F2EF" w14:textId="77777777">
        <w:trPr>
          <w:trHeight w:val="675"/>
        </w:trPr>
        <w:tc>
          <w:tcPr>
            <w:tcW w:w="1335" w:type="dxa"/>
          </w:tcPr>
          <w:p w14:paraId="03C75FB6"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12AF7C85"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7148C504"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0FBB2E55"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legii prevede la art. 124 cazurile de retragere a cardului profesional național. În conformitate cu art. 12</w:t>
            </w:r>
            <w:r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(5) din proiect, „Persoanele specificate la art. 8 alin. (1) din Legea ocrotirii sănătății nr. 411/1995 care sunt în situația retragerii cardului profesional național sunt obligați </w:t>
            </w:r>
            <w:r>
              <w:rPr>
                <w:rFonts w:ascii="Times New Roman" w:eastAsia="Times New Roman" w:hAnsi="Times New Roman" w:cs="Times New Roman"/>
                <w:sz w:val="22"/>
                <w:szCs w:val="22"/>
              </w:rPr>
              <w:lastRenderedPageBreak/>
              <w:t>să promoveze procedura de certificare extraordinară în vederea reluării activității profesionale.”. Se reține lipsa de corelare dintre temeiurile retragerii cardului profesional și efectele juridice ale certificării extraordinare. Din cuprinsul alin. (5) al art. 12</w:t>
            </w:r>
            <w:r w:rsidRPr="009D4148">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rezultă că orice persoană aflată în situația retragerii cardului profesional național poate relua  activitatea profesională prin promovarea certificării extraordinare. Totuși, temeiurile de retragere prevăzute la art. 12</w:t>
            </w:r>
            <w:r w:rsidRPr="00861B2E">
              <w:rPr>
                <w:rFonts w:ascii="Times New Roman" w:eastAsia="Times New Roman" w:hAnsi="Times New Roman" w:cs="Times New Roman"/>
                <w:sz w:val="22"/>
                <w:szCs w:val="22"/>
                <w:vertAlign w:val="superscript"/>
              </w:rPr>
              <w:t>4</w:t>
            </w:r>
            <w:r>
              <w:rPr>
                <w:rFonts w:ascii="Times New Roman" w:eastAsia="Times New Roman" w:hAnsi="Times New Roman" w:cs="Times New Roman"/>
                <w:sz w:val="22"/>
                <w:szCs w:val="22"/>
              </w:rPr>
              <w:t xml:space="preserve"> alin. (1) sunt foarte diferite ca natură și efecte juridice. Astfel, în anumite cazuri, promovarea unei certificări extraordinare nu ar putea înlătura cauza care a determinat retragerea cardului profesional, cum ar fi: a) aplicarea pedepsei interdicției de exercitare a profesiei prin hotărâre judecătorească definitivă (lit. a)); b) existența unei interdicții de exercitare a profesiei dispuse de autoritățile competente ale altui stat (lit. e)); c) depistarea unor date neautentice în dosarul de certificare (lit. b)); d) retragerea cardului la cererea titularului (lit. h)); e) anumite situații prevăzute la lit. i), în funcție de natura circumstanței constatate. În asemenea cazuri, simpla promovare a unei certificări extraordinare nu este aptă, prin ea însăși, să înlăture impedimentul juridic care a stat la baza retragerii cardului profesional. Prin urmare, norma necesită a fi reexaminată și corelată cu temeiurile de retragere a cardului profesional național, prin delimitarea expresă a situațiilor în care certificarea extraordinară poate constitui condiție pentru reluarea activității profesionale. </w:t>
            </w:r>
          </w:p>
        </w:tc>
        <w:tc>
          <w:tcPr>
            <w:tcW w:w="4635" w:type="dxa"/>
            <w:tcMar>
              <w:top w:w="0" w:type="dxa"/>
              <w:bottom w:w="0" w:type="dxa"/>
            </w:tcMar>
          </w:tcPr>
          <w:p w14:paraId="1AED1A5E"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w:t>
            </w:r>
          </w:p>
          <w:p w14:paraId="1519576D" w14:textId="7D1DCD88"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Art. 12</w:t>
            </w:r>
            <w:r w:rsidR="00861B2E">
              <w:rPr>
                <w:rFonts w:ascii="Times New Roman" w:eastAsia="Times New Roman" w:hAnsi="Times New Roman" w:cs="Times New Roman"/>
                <w:sz w:val="22"/>
                <w:szCs w:val="22"/>
              </w:rPr>
              <w:t xml:space="preserve"> </w:t>
            </w:r>
            <w:r w:rsidRPr="00861B2E">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xml:space="preserve"> alin. (5) și art. 12</w:t>
            </w:r>
            <w:r w:rsidR="00861B2E">
              <w:rPr>
                <w:rFonts w:ascii="Times New Roman" w:eastAsia="Times New Roman" w:hAnsi="Times New Roman" w:cs="Times New Roman"/>
                <w:sz w:val="22"/>
                <w:szCs w:val="22"/>
              </w:rPr>
              <w:t xml:space="preserve"> </w:t>
            </w:r>
            <w:r w:rsidRPr="00861B2E">
              <w:rPr>
                <w:rFonts w:ascii="Times New Roman" w:eastAsia="Times New Roman" w:hAnsi="Times New Roman" w:cs="Times New Roman"/>
                <w:sz w:val="22"/>
                <w:szCs w:val="22"/>
                <w:vertAlign w:val="superscript"/>
              </w:rPr>
              <w:t>4</w:t>
            </w:r>
            <w:r>
              <w:rPr>
                <w:rFonts w:ascii="Times New Roman" w:eastAsia="Times New Roman" w:hAnsi="Times New Roman" w:cs="Times New Roman"/>
                <w:sz w:val="22"/>
                <w:szCs w:val="22"/>
              </w:rPr>
              <w:t xml:space="preserve"> alin. (2) au fost corelate pentru a exclude interpretarea potrivit căreia certificarea extraordinară ar permite, în toate cazurile de retragere a cardului profesional </w:t>
            </w:r>
            <w:r>
              <w:rPr>
                <w:rFonts w:ascii="Times New Roman" w:eastAsia="Times New Roman" w:hAnsi="Times New Roman" w:cs="Times New Roman"/>
                <w:sz w:val="22"/>
                <w:szCs w:val="22"/>
              </w:rPr>
              <w:lastRenderedPageBreak/>
              <w:t>național, reluarea activității profesionale. Textul a fost precizat astfel încât certificarea extraordinară să fie aplicabilă în funcție de temeiul retragerii, de posibilitatea reluării exercitării profesiunii și de necesitatea verificării înlăturării circumstanțelor care au determinat retragerea, fără a afecta cazurile în care reluarea este exclusă sau condiționată de un impediment juridic distinct.</w:t>
            </w:r>
          </w:p>
          <w:p w14:paraId="083BAAD2" w14:textId="77777777" w:rsidR="001E4866" w:rsidRDefault="001E4866">
            <w:pPr>
              <w:ind w:firstLine="0"/>
              <w:rPr>
                <w:rFonts w:ascii="Times New Roman" w:eastAsia="Times New Roman" w:hAnsi="Times New Roman" w:cs="Times New Roman"/>
                <w:sz w:val="22"/>
                <w:szCs w:val="22"/>
              </w:rPr>
            </w:pPr>
          </w:p>
        </w:tc>
      </w:tr>
      <w:tr w:rsidR="001E4866" w14:paraId="6912019A" w14:textId="77777777">
        <w:trPr>
          <w:trHeight w:val="675"/>
        </w:trPr>
        <w:tc>
          <w:tcPr>
            <w:tcW w:w="1335" w:type="dxa"/>
          </w:tcPr>
          <w:p w14:paraId="62B8A0F3"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60037A4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0777E4B"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0334BE12"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Cu referire la art. 12 </w:t>
            </w:r>
            <w:r w:rsidRPr="009D4148">
              <w:rPr>
                <w:rFonts w:ascii="Times New Roman" w:eastAsia="Times New Roman" w:hAnsi="Times New Roman" w:cs="Times New Roman"/>
                <w:sz w:val="22"/>
                <w:szCs w:val="22"/>
                <w:vertAlign w:val="superscript"/>
              </w:rPr>
              <w:t>3</w:t>
            </w:r>
            <w:r>
              <w:rPr>
                <w:rFonts w:ascii="Times New Roman" w:eastAsia="Times New Roman" w:hAnsi="Times New Roman" w:cs="Times New Roman"/>
                <w:sz w:val="22"/>
                <w:szCs w:val="22"/>
              </w:rPr>
              <w:t xml:space="preserve"> alin. (1) lit. f), se remarca faptul că norma instituie drept temei pentru suspendarea cardului profesional național apariția sau constatarea unei condamnări definitive, a unei </w:t>
            </w:r>
            <w:r>
              <w:rPr>
                <w:rFonts w:ascii="Times New Roman" w:eastAsia="Times New Roman" w:hAnsi="Times New Roman" w:cs="Times New Roman"/>
                <w:sz w:val="22"/>
                <w:szCs w:val="22"/>
              </w:rPr>
              <w:lastRenderedPageBreak/>
              <w:t xml:space="preserve">sancțiuni disciplinare, a unor măsuri administrative ori a unei alte circumstanțe grave care poate afecta buna reputație profesională, siguranța pacientului sau încrederea publică în exercitarea profesiei. În această redacție, dispoziția nu asigură o delimitare suficient de clară între situații cu grade diferite de gravitate. Astfel, noțiunea de „sancțiune disciplinară” include și sancțiuni cu caracter minor, precum avertismentul, care, prin natura sa, nu justifică în mod necesar suspendarea dreptului de exercitare a profesiei. Totodată, sintagma „măsuri administrative” este lipsită de precizie, nefiind clar determinată categoria măsurilor avute în vedere de autor. De asemenea, includerea sancțiunilor disciplinare și a măsurilor administrative în aceeași categorie cu „alte circumstanțe grave” este discutabilă. În acest context, se recomandă reexaminarea normei prin stabilirea unor criterii obiective privind gravitatea faptelor și delimitarea expresă a situațiilor care pot constitui temei pentru suspendarea cardului profesional național. </w:t>
            </w:r>
          </w:p>
        </w:tc>
        <w:tc>
          <w:tcPr>
            <w:tcW w:w="4635" w:type="dxa"/>
            <w:tcMar>
              <w:top w:w="0" w:type="dxa"/>
              <w:bottom w:w="0" w:type="dxa"/>
            </w:tcMar>
          </w:tcPr>
          <w:p w14:paraId="196C5C35"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 parțial.</w:t>
            </w:r>
          </w:p>
          <w:p w14:paraId="6D1A2DE9" w14:textId="68C2417C"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Textul art. 12</w:t>
            </w:r>
            <w:r w:rsidR="009D4148">
              <w:rPr>
                <w:rFonts w:ascii="Times New Roman" w:eastAsia="Times New Roman" w:hAnsi="Times New Roman" w:cs="Times New Roman"/>
                <w:sz w:val="22"/>
                <w:szCs w:val="22"/>
              </w:rPr>
              <w:t xml:space="preserve"> </w:t>
            </w:r>
            <w:r w:rsidRPr="009D4148">
              <w:rPr>
                <w:rFonts w:ascii="Times New Roman" w:eastAsia="Times New Roman" w:hAnsi="Times New Roman" w:cs="Times New Roman"/>
                <w:sz w:val="22"/>
                <w:szCs w:val="22"/>
                <w:vertAlign w:val="superscript"/>
              </w:rPr>
              <w:t>3</w:t>
            </w:r>
            <w:r>
              <w:rPr>
                <w:rFonts w:ascii="Times New Roman" w:eastAsia="Times New Roman" w:hAnsi="Times New Roman" w:cs="Times New Roman"/>
                <w:sz w:val="22"/>
                <w:szCs w:val="22"/>
              </w:rPr>
              <w:t xml:space="preserve"> alin. (1) lit. f) a fost reexaminat și reformulat pentru a delimita temeiul respectiv de </w:t>
            </w:r>
            <w:r>
              <w:rPr>
                <w:rFonts w:ascii="Times New Roman" w:eastAsia="Times New Roman" w:hAnsi="Times New Roman" w:cs="Times New Roman"/>
                <w:sz w:val="22"/>
                <w:szCs w:val="22"/>
              </w:rPr>
              <w:lastRenderedPageBreak/>
              <w:t>cazurile privind încălcarea regimului de exercitare a profesiunii, reglementate distinct la lit. b), c) și d). Norma vizează circumstanțe personale grave, inclusiv extrapro­fesionale, constatate în baza actelor emise de organele competente, care, prin natura și gravitatea lor, pot afecta buna reputație profesională, siguranța pacientului sau încrederea publică în exercitarea profesiunii.</w:t>
            </w:r>
          </w:p>
          <w:p w14:paraId="20602E3B"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Menținerea temeiului este justificată de specificul profesiilor medico-sanitare și farmaceutice, în care anumite fapte grave, inclusiv cele săvârșite în afara exercitării profesiei, pot afecta relația de încredere cu pacientul și exercitarea în siguranță a activităților profesionale. Textul a fost delimitat prin criterii obiective privind natura faptei, existența unui act al organului competent și necesitatea suspendării ca măsură administrativă preventivă, fără caracter sancționator.</w:t>
            </w:r>
          </w:p>
          <w:p w14:paraId="24DA62EE"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Totodată, formularea a fost precizată prin excluderea referințelor generale la orice sancțiune disciplinară sau măsură administrativă și prin introducerea unor criterii obiective privind natura și gravitatea faptelor ori circumstanțelor relevante.</w:t>
            </w:r>
          </w:p>
        </w:tc>
      </w:tr>
      <w:tr w:rsidR="001E4866" w14:paraId="4C1745C8" w14:textId="77777777">
        <w:trPr>
          <w:trHeight w:val="675"/>
        </w:trPr>
        <w:tc>
          <w:tcPr>
            <w:tcW w:w="1335" w:type="dxa"/>
          </w:tcPr>
          <w:p w14:paraId="72D4532C"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5687C435"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317EFD98"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6FD38FF9" w14:textId="360A3E3C"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Adițional celor stabilite, se constată că situația prevăzută la art. 12</w:t>
            </w:r>
            <w:r w:rsidR="009D4148">
              <w:rPr>
                <w:rFonts w:ascii="Times New Roman" w:eastAsia="Times New Roman" w:hAnsi="Times New Roman" w:cs="Times New Roman"/>
                <w:sz w:val="22"/>
                <w:szCs w:val="22"/>
              </w:rPr>
              <w:t xml:space="preserve"> </w:t>
            </w:r>
            <w:r w:rsidRPr="009D4148">
              <w:rPr>
                <w:rFonts w:ascii="Times New Roman" w:eastAsia="Times New Roman" w:hAnsi="Times New Roman" w:cs="Times New Roman"/>
                <w:sz w:val="22"/>
                <w:szCs w:val="22"/>
                <w:vertAlign w:val="superscript"/>
              </w:rPr>
              <w:t>3</w:t>
            </w:r>
            <w:r>
              <w:rPr>
                <w:rFonts w:ascii="Times New Roman" w:eastAsia="Times New Roman" w:hAnsi="Times New Roman" w:cs="Times New Roman"/>
                <w:sz w:val="22"/>
                <w:szCs w:val="22"/>
              </w:rPr>
              <w:t xml:space="preserve"> alin. (1) lit. f) este reglementată și ca temei pentru retragerea cardului profesional național la art. 12</w:t>
            </w:r>
            <w:r w:rsidR="009D4148">
              <w:rPr>
                <w:rFonts w:ascii="Times New Roman" w:eastAsia="Times New Roman" w:hAnsi="Times New Roman" w:cs="Times New Roman"/>
                <w:sz w:val="22"/>
                <w:szCs w:val="22"/>
              </w:rPr>
              <w:t xml:space="preserve"> </w:t>
            </w:r>
            <w:r w:rsidRPr="009D4148">
              <w:rPr>
                <w:rFonts w:ascii="Times New Roman" w:eastAsia="Times New Roman" w:hAnsi="Times New Roman" w:cs="Times New Roman"/>
                <w:sz w:val="22"/>
                <w:szCs w:val="22"/>
                <w:vertAlign w:val="superscript"/>
              </w:rPr>
              <w:t>4</w:t>
            </w:r>
            <w:r>
              <w:rPr>
                <w:rFonts w:ascii="Times New Roman" w:eastAsia="Times New Roman" w:hAnsi="Times New Roman" w:cs="Times New Roman"/>
                <w:sz w:val="22"/>
                <w:szCs w:val="22"/>
              </w:rPr>
              <w:t xml:space="preserve"> alin. (1) lit. i). În condițiile în care suspendarea și retragerea cardului profesional reprezintă măsuri juridice distincte, cu efecte și consecințe diferite asupra dreptului de exercitare a profesiei, proiectul nu stabilește criterii care să </w:t>
            </w:r>
            <w:r>
              <w:rPr>
                <w:rFonts w:ascii="Times New Roman" w:eastAsia="Times New Roman" w:hAnsi="Times New Roman" w:cs="Times New Roman"/>
                <w:sz w:val="22"/>
                <w:szCs w:val="22"/>
              </w:rPr>
              <w:lastRenderedPageBreak/>
              <w:t xml:space="preserve">permită delimitarea situațiilor în care se aplică una sau alta dintre măsuri. Astfel, pentru aceeași circumstanță – condamnare definitivă, sancțiune disciplinară, măsură administrativă 4 sau altă circumstanță gravă – norma permite atât suspendarea, cât și retragerea cardului profesional, fără a indica elementele obiective care justifică alegerea măsurii corespunzătoare. În vederea asigurării clarității și previzibilității reglementării, se recomandă delimitarea expresă a temeiurilor și condițiilor de aplicare a fiecărei măsuri. </w:t>
            </w:r>
          </w:p>
        </w:tc>
        <w:tc>
          <w:tcPr>
            <w:tcW w:w="4635" w:type="dxa"/>
            <w:tcMar>
              <w:top w:w="0" w:type="dxa"/>
              <w:bottom w:w="0" w:type="dxa"/>
            </w:tcMar>
          </w:tcPr>
          <w:p w14:paraId="224748E8"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w:t>
            </w:r>
          </w:p>
          <w:p w14:paraId="23C4B317" w14:textId="6F4ACDD5"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Textele art. 12</w:t>
            </w:r>
            <w:r w:rsidR="009D4148">
              <w:rPr>
                <w:rFonts w:ascii="Times New Roman" w:eastAsia="Times New Roman" w:hAnsi="Times New Roman" w:cs="Times New Roman"/>
                <w:sz w:val="22"/>
                <w:szCs w:val="22"/>
              </w:rPr>
              <w:t xml:space="preserve"> </w:t>
            </w:r>
            <w:r w:rsidRPr="009D4148">
              <w:rPr>
                <w:rFonts w:ascii="Times New Roman" w:eastAsia="Times New Roman" w:hAnsi="Times New Roman" w:cs="Times New Roman"/>
                <w:sz w:val="22"/>
                <w:szCs w:val="22"/>
                <w:vertAlign w:val="superscript"/>
              </w:rPr>
              <w:t>3</w:t>
            </w:r>
            <w:r>
              <w:rPr>
                <w:rFonts w:ascii="Times New Roman" w:eastAsia="Times New Roman" w:hAnsi="Times New Roman" w:cs="Times New Roman"/>
                <w:sz w:val="22"/>
                <w:szCs w:val="22"/>
              </w:rPr>
              <w:t xml:space="preserve"> alin. (1) lit. f) și art. 12</w:t>
            </w:r>
            <w:r w:rsidR="009D4148">
              <w:rPr>
                <w:rFonts w:ascii="Times New Roman" w:eastAsia="Times New Roman" w:hAnsi="Times New Roman" w:cs="Times New Roman"/>
                <w:sz w:val="22"/>
                <w:szCs w:val="22"/>
              </w:rPr>
              <w:t xml:space="preserve"> </w:t>
            </w:r>
            <w:r w:rsidRPr="009D4148">
              <w:rPr>
                <w:rFonts w:ascii="Times New Roman" w:eastAsia="Times New Roman" w:hAnsi="Times New Roman" w:cs="Times New Roman"/>
                <w:sz w:val="22"/>
                <w:szCs w:val="22"/>
                <w:vertAlign w:val="superscript"/>
              </w:rPr>
              <w:t>4</w:t>
            </w:r>
            <w:r>
              <w:rPr>
                <w:rFonts w:ascii="Times New Roman" w:eastAsia="Times New Roman" w:hAnsi="Times New Roman" w:cs="Times New Roman"/>
                <w:sz w:val="22"/>
                <w:szCs w:val="22"/>
              </w:rPr>
              <w:t xml:space="preserve"> alin. (1) lit. i) au fost reexaminate și reformulate pentru delimitarea expresă a temeiurilor de suspendare și retragere a cardului profesional național. Astfel, suspendarea este reglementată ca măsură administrativă preventivă, aplicabilă în baza </w:t>
            </w:r>
            <w:r>
              <w:rPr>
                <w:rFonts w:ascii="Times New Roman" w:eastAsia="Times New Roman" w:hAnsi="Times New Roman" w:cs="Times New Roman"/>
                <w:sz w:val="22"/>
                <w:szCs w:val="22"/>
              </w:rPr>
              <w:lastRenderedPageBreak/>
              <w:t>actelor emise de organele competente, în cazul unor circumstanțe grave aflate în curs de examinare sau cu efect provizoriu, care pot afecta buna reputație profesională, siguranța pacientului sau încrederea publică în exercitarea profesiunii. Retragerea este reglementată distinct pentru situațiile în care există o condamnare definitivă ori o circumstanță gravă confirmată prin act definitiv al organului competent, iar natura și gravitatea acesteia sunt incompatibile cu menținerea cardului profesional național.</w:t>
            </w:r>
          </w:p>
        </w:tc>
      </w:tr>
      <w:tr w:rsidR="001E4866" w14:paraId="69908545" w14:textId="77777777">
        <w:trPr>
          <w:trHeight w:val="675"/>
        </w:trPr>
        <w:tc>
          <w:tcPr>
            <w:tcW w:w="1335" w:type="dxa"/>
          </w:tcPr>
          <w:p w14:paraId="33DCEDFC"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3DA2BEB4"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277AD749"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EA1C178"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Art. 12</w:t>
            </w:r>
            <w:r w:rsidRPr="009D4148">
              <w:rPr>
                <w:rFonts w:ascii="Times New Roman" w:eastAsia="Times New Roman" w:hAnsi="Times New Roman" w:cs="Times New Roman"/>
                <w:sz w:val="22"/>
                <w:szCs w:val="22"/>
                <w:vertAlign w:val="superscript"/>
              </w:rPr>
              <w:t xml:space="preserve">6 </w:t>
            </w:r>
            <w:r>
              <w:rPr>
                <w:rFonts w:ascii="Times New Roman" w:eastAsia="Times New Roman" w:hAnsi="Times New Roman" w:cs="Times New Roman"/>
                <w:sz w:val="22"/>
                <w:szCs w:val="22"/>
              </w:rPr>
              <w:t xml:space="preserve">conține un singur alineat, motiv pentru care se recomandă excluderea numerotării alineatului unic. </w:t>
            </w:r>
          </w:p>
        </w:tc>
        <w:tc>
          <w:tcPr>
            <w:tcW w:w="4635" w:type="dxa"/>
            <w:tcMar>
              <w:top w:w="0" w:type="dxa"/>
              <w:bottom w:w="0" w:type="dxa"/>
            </w:tcMar>
          </w:tcPr>
          <w:p w14:paraId="0E87EA0B"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0F2A6C7C" w14:textId="77777777" w:rsidR="001E4866" w:rsidRDefault="00000000">
            <w:pPr>
              <w:spacing w:line="276" w:lineRule="auto"/>
              <w:ind w:firstLine="0"/>
              <w:rPr>
                <w:rFonts w:ascii="Times New Roman" w:eastAsia="Times New Roman" w:hAnsi="Times New Roman" w:cs="Times New Roman"/>
              </w:rPr>
            </w:pPr>
            <w:r>
              <w:rPr>
                <w:rFonts w:ascii="Times New Roman" w:eastAsia="Times New Roman" w:hAnsi="Times New Roman" w:cs="Times New Roman"/>
                <w:sz w:val="22"/>
                <w:szCs w:val="22"/>
              </w:rPr>
              <w:t>Numerotarea alineatului unic al art. 12</w:t>
            </w:r>
            <w:r>
              <w:rPr>
                <w:rFonts w:ascii="Times New Roman" w:eastAsia="Times New Roman" w:hAnsi="Times New Roman" w:cs="Times New Roman"/>
                <w:sz w:val="22"/>
                <w:szCs w:val="22"/>
                <w:vertAlign w:val="superscript"/>
              </w:rPr>
              <w:t>6</w:t>
            </w:r>
            <w:r>
              <w:rPr>
                <w:rFonts w:ascii="Times New Roman" w:eastAsia="Times New Roman" w:hAnsi="Times New Roman" w:cs="Times New Roman"/>
                <w:sz w:val="22"/>
                <w:szCs w:val="22"/>
              </w:rPr>
              <w:t xml:space="preserve"> a fost exclusă.</w:t>
            </w:r>
          </w:p>
        </w:tc>
      </w:tr>
      <w:tr w:rsidR="001E4866" w14:paraId="31939185" w14:textId="77777777">
        <w:trPr>
          <w:trHeight w:val="675"/>
        </w:trPr>
        <w:tc>
          <w:tcPr>
            <w:tcW w:w="1335" w:type="dxa"/>
          </w:tcPr>
          <w:p w14:paraId="6855990E"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36DDAAFE"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70F5A43E"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1AAAD3CA"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art. IV, din dispoziția de modificare prevăzută la pct. 1 cuvintele „se modifică și” se vor exclude. </w:t>
            </w:r>
          </w:p>
        </w:tc>
        <w:tc>
          <w:tcPr>
            <w:tcW w:w="4635" w:type="dxa"/>
            <w:tcMar>
              <w:top w:w="0" w:type="dxa"/>
              <w:bottom w:w="0" w:type="dxa"/>
            </w:tcMar>
          </w:tcPr>
          <w:p w14:paraId="268BAA33" w14:textId="77777777" w:rsidR="001E4866" w:rsidRDefault="00000000">
            <w:pPr>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570D3ABF"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La art. IV pct. 1, cuvintele „se modifică și” se vor exclude din dispoziția de modificare.</w:t>
            </w:r>
          </w:p>
        </w:tc>
      </w:tr>
      <w:tr w:rsidR="001E4866" w14:paraId="04F3AAEC" w14:textId="77777777">
        <w:trPr>
          <w:trHeight w:val="675"/>
        </w:trPr>
        <w:tc>
          <w:tcPr>
            <w:tcW w:w="1335" w:type="dxa"/>
          </w:tcPr>
          <w:p w14:paraId="054276E2"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61D76E3A"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20AC94C4"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17D3FA0C"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pct. 8, în cazul expunerea art. 22 în redacție nouă, alineatele articolului urmează a fi numerotate succesiv, potrivit regulilor de tehnică legislativă. Utilizarea indicelui „(2¹)” nu se justifică în cazul redactării integrale a articolului, întrucât această tehnică este specifică intervențiilor asupra unui text existent, fără renumerotarea structurii acestuia. Prin urmare, se recomandă renumerotarea consecutivă a alineatelor articolului. În partea ce vizează art. 22 alin. (21 ), sintagma „Ministerul Sănătății ” se va substitui cu cuvintele „ministrul sănătății” (valabil și pentru art. 27 alin. (2)). </w:t>
            </w:r>
          </w:p>
        </w:tc>
        <w:tc>
          <w:tcPr>
            <w:tcW w:w="4635" w:type="dxa"/>
            <w:tcMar>
              <w:top w:w="0" w:type="dxa"/>
              <w:bottom w:w="0" w:type="dxa"/>
            </w:tcMar>
          </w:tcPr>
          <w:p w14:paraId="3A2C65D7"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544BCDE2" w14:textId="2A00BD1A"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Art. 22 a fost redactat cu numerotarea consecutivă a alineatelor, prin excluderea indicelui „(2</w:t>
            </w:r>
            <w:r w:rsidRPr="009D4148">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Corelativ, au fost ajustate trimiterile la art. 22 alin. (2</w:t>
            </w:r>
            <w:r w:rsidRPr="009D4148">
              <w:rPr>
                <w:rFonts w:ascii="Times New Roman" w:eastAsia="Times New Roman" w:hAnsi="Times New Roman" w:cs="Times New Roman"/>
                <w:sz w:val="22"/>
                <w:szCs w:val="22"/>
                <w:vertAlign w:val="superscript"/>
              </w:rPr>
              <w:t>1</w:t>
            </w:r>
            <w:r>
              <w:rPr>
                <w:rFonts w:ascii="Times New Roman" w:eastAsia="Times New Roman" w:hAnsi="Times New Roman" w:cs="Times New Roman"/>
                <w:sz w:val="22"/>
                <w:szCs w:val="22"/>
              </w:rPr>
              <w:t>) și art. 22 alin. (4). Totodată, sintagma „Ministerul Sănătății” a fost substituită cu cuvintele „ministrul sănătății” în art. 22 și art. 27 alin. (2).</w:t>
            </w:r>
          </w:p>
          <w:p w14:paraId="7B263CB3" w14:textId="77777777" w:rsidR="001E4866" w:rsidRDefault="001E4866">
            <w:pPr>
              <w:ind w:firstLine="0"/>
              <w:rPr>
                <w:rFonts w:ascii="Times New Roman" w:eastAsia="Times New Roman" w:hAnsi="Times New Roman" w:cs="Times New Roman"/>
                <w:sz w:val="22"/>
                <w:szCs w:val="22"/>
              </w:rPr>
            </w:pPr>
          </w:p>
        </w:tc>
      </w:tr>
      <w:tr w:rsidR="001E4866" w14:paraId="3DCA65EA" w14:textId="77777777">
        <w:trPr>
          <w:trHeight w:val="675"/>
        </w:trPr>
        <w:tc>
          <w:tcPr>
            <w:tcW w:w="1335" w:type="dxa"/>
          </w:tcPr>
          <w:p w14:paraId="12F0D802"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3C9B8803"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35BDB947"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4A7998A2"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Totodată, proiectul nu reglementează regimul tranzitoriu aplicabil persoanelor care dețin deja dreptul de exercitare a profesiei la data intrării în vigoare a noii legi. În lipsa unor prevederi exprese privind modalitatea de integrare a acestora în noul sistem de certificare profesională, recunoașterea actelor deja deținute și termenele de conformare la noile cerințe, există riscul apariției unor dificultăți de aplicare și al unor incertitudini juridice pentru profesioniștii aflați deja în activitate. </w:t>
            </w:r>
          </w:p>
        </w:tc>
        <w:tc>
          <w:tcPr>
            <w:tcW w:w="4635" w:type="dxa"/>
            <w:tcMar>
              <w:top w:w="0" w:type="dxa"/>
              <w:bottom w:w="0" w:type="dxa"/>
            </w:tcMar>
          </w:tcPr>
          <w:p w14:paraId="35E14F67"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 acceptă.</w:t>
            </w:r>
          </w:p>
          <w:p w14:paraId="1FAFE003"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Proiectul a fost completat cu dispoziții finale și tranzitorii privind persoanele care, la data intrării în vigoare a legii, exercită legal profesiuni medico-sanitare sau farmaceutice. Normele propuse asigură continuitatea exercitării activității profesionale în baza actelor deținute până la eliberarea cardului profesional național și confirmă menținerea valabilității actelor de studii, titlurilor de calificare, actelor de formare profesională, certificatelor, atestărilor și altor acte care confirmă dreptul de exercitare a profesiunii, eliberate sau recunoscute până la data intrării în vigoare a legii.</w:t>
            </w:r>
          </w:p>
          <w:p w14:paraId="39319268" w14:textId="77777777" w:rsidR="001E4866" w:rsidRDefault="00000000">
            <w:pPr>
              <w:spacing w:line="276" w:lineRule="auto"/>
              <w:ind w:firstLine="0"/>
              <w:rPr>
                <w:rFonts w:ascii="Times New Roman" w:eastAsia="Times New Roman" w:hAnsi="Times New Roman" w:cs="Times New Roman"/>
              </w:rPr>
            </w:pPr>
            <w:r>
              <w:rPr>
                <w:rFonts w:ascii="Times New Roman" w:eastAsia="Times New Roman" w:hAnsi="Times New Roman" w:cs="Times New Roman"/>
                <w:sz w:val="22"/>
                <w:szCs w:val="22"/>
              </w:rPr>
              <w:t>Totodată, proiectul a fost completat cu termenul de 6 luni pentru aprobarea cadrului normativ secundar necesar implementării sistemului de certificare a cadrelor medico-sanitare și farmaceutice și a recunoașterii calificărilor profesionale și a actelor de formare profesională în domeniul sănătății obținute în străinătate, precum și cu dispoziții privind intrarea etapizată în vigoare a unor norme.</w:t>
            </w:r>
          </w:p>
        </w:tc>
      </w:tr>
      <w:tr w:rsidR="001E4866" w14:paraId="22DC1456" w14:textId="77777777">
        <w:trPr>
          <w:trHeight w:val="675"/>
        </w:trPr>
        <w:tc>
          <w:tcPr>
            <w:tcW w:w="1335" w:type="dxa"/>
          </w:tcPr>
          <w:p w14:paraId="18B49C73" w14:textId="77777777" w:rsidR="001E4866" w:rsidRDefault="001E4866">
            <w:pPr>
              <w:pBdr>
                <w:top w:val="none" w:sz="0" w:space="0" w:color="000000"/>
                <w:left w:val="none" w:sz="0" w:space="0" w:color="000000"/>
                <w:bottom w:val="none" w:sz="0" w:space="0" w:color="000000"/>
                <w:right w:val="none" w:sz="0" w:space="0" w:color="000000"/>
              </w:pBdr>
              <w:ind w:left="567" w:firstLine="0"/>
              <w:rPr>
                <w:rFonts w:ascii="Times New Roman" w:eastAsia="Times New Roman" w:hAnsi="Times New Roman" w:cs="Times New Roman"/>
                <w:b/>
                <w:bCs/>
                <w:sz w:val="22"/>
                <w:szCs w:val="22"/>
              </w:rPr>
            </w:pPr>
          </w:p>
        </w:tc>
        <w:tc>
          <w:tcPr>
            <w:tcW w:w="1905" w:type="dxa"/>
            <w:tcMar>
              <w:top w:w="0" w:type="dxa"/>
              <w:bottom w:w="0" w:type="dxa"/>
            </w:tcMar>
          </w:tcPr>
          <w:p w14:paraId="63E2A478"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1575" w:type="dxa"/>
            <w:tcMar>
              <w:top w:w="0" w:type="dxa"/>
              <w:bottom w:w="0" w:type="dxa"/>
            </w:tcMar>
          </w:tcPr>
          <w:p w14:paraId="08CC6E62" w14:textId="77777777" w:rsidR="001E4866" w:rsidRDefault="001E4866">
            <w:pPr>
              <w:pBdr>
                <w:top w:val="none" w:sz="0" w:space="0" w:color="000000"/>
                <w:left w:val="none" w:sz="0" w:space="0" w:color="000000"/>
                <w:bottom w:val="none" w:sz="0" w:space="0" w:color="000000"/>
                <w:right w:val="none" w:sz="0" w:space="0" w:color="000000"/>
              </w:pBdr>
              <w:ind w:firstLine="0"/>
              <w:jc w:val="center"/>
              <w:rPr>
                <w:rFonts w:ascii="Times New Roman" w:eastAsia="Times New Roman" w:hAnsi="Times New Roman" w:cs="Times New Roman"/>
                <w:b/>
                <w:bCs/>
                <w:sz w:val="22"/>
                <w:szCs w:val="22"/>
              </w:rPr>
            </w:pPr>
          </w:p>
        </w:tc>
        <w:tc>
          <w:tcPr>
            <w:tcW w:w="4785" w:type="dxa"/>
            <w:tcMar>
              <w:top w:w="0" w:type="dxa"/>
              <w:bottom w:w="0" w:type="dxa"/>
            </w:tcMar>
          </w:tcPr>
          <w:p w14:paraId="25B35076" w14:textId="77777777" w:rsidR="001E4866" w:rsidRDefault="00000000">
            <w:pPr>
              <w:shd w:val="clear" w:color="auto" w:fill="FFFFFF"/>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definitivarea proiectului legii, se va evita utilizarea repetată a trimiterilor generale („în modul stabilit”, „potrivit legislației”, „în condițiile stabilite de legislație”), fără identificarea expresă a actului normativ sau a autorității competente care urmează să reglementeze aspectele respective. O asemenea redactare nu asigură suficientă claritate și previzibilitate a normei juridice, fiind oportună </w:t>
            </w:r>
            <w:r>
              <w:rPr>
                <w:rFonts w:ascii="Times New Roman" w:eastAsia="Times New Roman" w:hAnsi="Times New Roman" w:cs="Times New Roman"/>
                <w:sz w:val="22"/>
                <w:szCs w:val="22"/>
              </w:rPr>
              <w:lastRenderedPageBreak/>
              <w:t xml:space="preserve">individualizarea actelor normative de referință sau completarea proiectului cu norme de abilitare corespunzătoare. </w:t>
            </w:r>
          </w:p>
        </w:tc>
        <w:tc>
          <w:tcPr>
            <w:tcW w:w="4635" w:type="dxa"/>
            <w:tcMar>
              <w:top w:w="0" w:type="dxa"/>
              <w:bottom w:w="0" w:type="dxa"/>
            </w:tcMar>
          </w:tcPr>
          <w:p w14:paraId="6B2294CF" w14:textId="77777777" w:rsidR="001E4866" w:rsidRDefault="00000000">
            <w:pPr>
              <w:spacing w:line="276" w:lineRule="auto"/>
              <w:ind w:firstLine="0"/>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lastRenderedPageBreak/>
              <w:t>Se acceptă parțial.</w:t>
            </w:r>
          </w:p>
          <w:p w14:paraId="28B3B027"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Formulările generale au fost reexaminate și precizate, în măsura în care este posibil la nivelul normei primare, prin indicarea Guvernului sau a actelor normative aprobate de Guvern. Totodată, proiectul nu poate individualiza în toate cazurile denumirea exactă a actelor normative secundare, </w:t>
            </w:r>
            <w:r>
              <w:rPr>
                <w:rFonts w:ascii="Times New Roman" w:eastAsia="Times New Roman" w:hAnsi="Times New Roman" w:cs="Times New Roman"/>
                <w:sz w:val="22"/>
                <w:szCs w:val="22"/>
              </w:rPr>
              <w:lastRenderedPageBreak/>
              <w:t>întrucât acestea urmează a fi aprobate sau ajustate ulterior, în termenul stabilit de dispozițiile finale și tranzitorii.</w:t>
            </w:r>
          </w:p>
          <w:p w14:paraId="107991D3" w14:textId="77777777" w:rsidR="001E4866" w:rsidRDefault="00000000">
            <w:pPr>
              <w:spacing w:line="276"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Pentru asigurarea clarității și previzibilității, proiectul a fost completat cu norme de abilitare privind aprobarea cadrului secundar necesar implementării sistemului de certificare a cadrelor medico-sanitare și farmaceutice și a recunoașterii calificărilor profesionale și a actelor de formare profesională în domeniul sănătății obținute în străinătate.</w:t>
            </w:r>
          </w:p>
        </w:tc>
      </w:tr>
    </w:tbl>
    <w:p w14:paraId="7004E20F" w14:textId="77777777" w:rsidR="001E4866" w:rsidRDefault="001E4866">
      <w:pPr>
        <w:pBdr>
          <w:top w:val="none" w:sz="0" w:space="17" w:color="000000"/>
          <w:left w:val="none" w:sz="0" w:space="0" w:color="000000"/>
          <w:bottom w:val="none" w:sz="0" w:space="0" w:color="000000"/>
          <w:right w:val="none" w:sz="0" w:space="0" w:color="000000"/>
        </w:pBdr>
        <w:tabs>
          <w:tab w:val="left" w:pos="884"/>
          <w:tab w:val="left" w:pos="1134"/>
          <w:tab w:val="left" w:pos="1196"/>
        </w:tabs>
        <w:ind w:firstLine="0"/>
        <w:rPr>
          <w:b/>
          <w:bCs/>
          <w:sz w:val="24"/>
          <w:szCs w:val="24"/>
        </w:rPr>
      </w:pPr>
    </w:p>
    <w:p w14:paraId="066149D8" w14:textId="77777777" w:rsidR="001E4866" w:rsidRDefault="00000000">
      <w:pPr>
        <w:pBdr>
          <w:top w:val="none" w:sz="0" w:space="17" w:color="000000"/>
          <w:left w:val="none" w:sz="0" w:space="0" w:color="000000"/>
          <w:bottom w:val="none" w:sz="0" w:space="0" w:color="000000"/>
          <w:right w:val="none" w:sz="0" w:space="0" w:color="000000"/>
        </w:pBdr>
        <w:tabs>
          <w:tab w:val="left" w:pos="884"/>
          <w:tab w:val="left" w:pos="1134"/>
          <w:tab w:val="left" w:pos="1196"/>
        </w:tabs>
        <w:ind w:firstLine="0"/>
        <w:rPr>
          <w:b/>
          <w:bCs/>
          <w:sz w:val="24"/>
          <w:szCs w:val="24"/>
        </w:rPr>
      </w:pPr>
      <w:r>
        <w:rPr>
          <w:b/>
          <w:bCs/>
          <w:sz w:val="24"/>
          <w:szCs w:val="24"/>
        </w:rPr>
        <w:t xml:space="preserve">                                                 </w:t>
      </w:r>
    </w:p>
    <w:sectPr w:rsidR="001E4866">
      <w:headerReference w:type="default" r:id="rId8"/>
      <w:headerReference w:type="first" r:id="rId9"/>
      <w:pgSz w:w="16840" w:h="11907" w:orient="landscape"/>
      <w:pgMar w:top="426" w:right="1418" w:bottom="284" w:left="1418" w:header="421"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C6865" w14:textId="77777777" w:rsidR="00DF484C" w:rsidRDefault="00DF484C">
      <w:r>
        <w:separator/>
      </w:r>
    </w:p>
  </w:endnote>
  <w:endnote w:type="continuationSeparator" w:id="0">
    <w:p w14:paraId="51FE131B" w14:textId="77777777" w:rsidR="00DF484C" w:rsidRDefault="00DF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auto"/>
    <w:pitch w:val="default"/>
  </w:font>
  <w:font w:name="$Caslon">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3F4D7BB9-3A1E-4379-B9C7-D74A054B7596}"/>
  </w:font>
  <w:font w:name="Trebuchet MS">
    <w:panose1 w:val="020B0603020202020204"/>
    <w:charset w:val="00"/>
    <w:family w:val="swiss"/>
    <w:pitch w:val="variable"/>
    <w:sig w:usb0="00000687" w:usb1="00000000" w:usb2="00000000" w:usb3="00000000" w:csb0="0000009F" w:csb1="00000000"/>
    <w:embedRegular r:id="rId2" w:fontKey="{7A4B7559-0F3F-4854-86D5-2AC70C967208}"/>
  </w:font>
  <w:font w:name="Cambria">
    <w:panose1 w:val="02040503050406030204"/>
    <w:charset w:val="00"/>
    <w:family w:val="roman"/>
    <w:pitch w:val="variable"/>
    <w:sig w:usb0="E00006FF" w:usb1="420024FF" w:usb2="02000000" w:usb3="00000000" w:csb0="0000019F" w:csb1="00000000"/>
    <w:embedRegular r:id="rId3" w:fontKey="{47441A28-5CAF-4234-A578-8A20ED711DC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A2BDC" w14:textId="77777777" w:rsidR="00DF484C" w:rsidRDefault="00DF484C">
      <w:r>
        <w:separator/>
      </w:r>
    </w:p>
  </w:footnote>
  <w:footnote w:type="continuationSeparator" w:id="0">
    <w:p w14:paraId="4DBEED43" w14:textId="77777777" w:rsidR="00DF484C" w:rsidRDefault="00DF4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4978" w14:textId="77777777" w:rsidR="001E4866" w:rsidRDefault="00000000">
    <w:pPr>
      <w:pBdr>
        <w:top w:val="nil"/>
        <w:left w:val="nil"/>
        <w:bottom w:val="nil"/>
        <w:right w:val="nil"/>
        <w:between w:val="nil"/>
      </w:pBdr>
      <w:tabs>
        <w:tab w:val="center" w:pos="4677"/>
        <w:tab w:val="right" w:pos="9355"/>
      </w:tabs>
      <w:ind w:firstLine="0"/>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861B2E">
      <w:rPr>
        <w:noProof/>
        <w:color w:val="000000"/>
        <w:sz w:val="22"/>
        <w:szCs w:val="22"/>
      </w:rPr>
      <w:t>2</w:t>
    </w:r>
    <w:r>
      <w:rPr>
        <w:color w:val="000000"/>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03CC" w14:textId="77777777" w:rsidR="001E4866" w:rsidRDefault="001E4866">
    <w:pPr>
      <w:pBdr>
        <w:top w:val="nil"/>
        <w:left w:val="nil"/>
        <w:bottom w:val="nil"/>
        <w:right w:val="nil"/>
        <w:between w:val="nil"/>
      </w:pBdr>
      <w:tabs>
        <w:tab w:val="center" w:pos="4677"/>
        <w:tab w:val="right" w:pos="9355"/>
      </w:tabs>
      <w:ind w:firstLine="0"/>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1548F"/>
    <w:multiLevelType w:val="multilevel"/>
    <w:tmpl w:val="99060570"/>
    <w:lvl w:ilvl="0">
      <w:start w:val="1"/>
      <w:numFmt w:val="decimal"/>
      <w:lvlText w:val="%1."/>
      <w:lvlJc w:val="left"/>
      <w:pPr>
        <w:ind w:left="927" w:hanging="360"/>
      </w:pPr>
      <w:rPr>
        <w:rFonts w:ascii="Times New Roman" w:eastAsia="Times New Roman" w:hAnsi="Times New Roman" w:cs="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0528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866"/>
    <w:rsid w:val="001E4866"/>
    <w:rsid w:val="00702A61"/>
    <w:rsid w:val="007A123A"/>
    <w:rsid w:val="00861B2E"/>
    <w:rsid w:val="009D4148"/>
    <w:rsid w:val="00AC0DB5"/>
    <w:rsid w:val="00CB488F"/>
    <w:rsid w:val="00D4782B"/>
    <w:rsid w:val="00DF484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1A32E"/>
  <w15:docId w15:val="{3937D1B8-D769-45F3-B83A-4278FE8D6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ro-RO"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Titlu2">
    <w:name w:val="heading 2"/>
    <w:basedOn w:val="Normal"/>
    <w:next w:val="Normal"/>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Titlu3">
    <w:name w:val="heading 3"/>
    <w:basedOn w:val="Normal"/>
    <w:next w:val="Normal"/>
    <w:uiPriority w:val="9"/>
    <w:semiHidden/>
    <w:unhideWhenUsed/>
    <w:qFormat/>
    <w:pPr>
      <w:keepNext/>
      <w:jc w:val="center"/>
      <w:outlineLvl w:val="2"/>
    </w:pPr>
    <w:rPr>
      <w:rFonts w:ascii="$Caslon" w:eastAsia="$Caslon" w:hAnsi="$Caslon" w:cs="$Caslon"/>
      <w:b/>
      <w:bCs/>
    </w:rPr>
  </w:style>
  <w:style w:type="paragraph" w:styleId="Titlu4">
    <w:name w:val="heading 4"/>
    <w:basedOn w:val="Normal"/>
    <w:next w:val="Normal"/>
    <w:uiPriority w:val="9"/>
    <w:semiHidden/>
    <w:unhideWhenUsed/>
    <w:qFormat/>
    <w:pPr>
      <w:keepNext/>
      <w:jc w:val="center"/>
      <w:outlineLvl w:val="3"/>
    </w:pPr>
    <w:rPr>
      <w:rFonts w:ascii="$Caslon" w:eastAsia="$Caslon" w:hAnsi="$Caslon" w:cs="$Caslon"/>
      <w:b/>
      <w:bCs/>
      <w:sz w:val="26"/>
      <w:szCs w:val="26"/>
    </w:rPr>
  </w:style>
  <w:style w:type="paragraph" w:styleId="Titlu5">
    <w:name w:val="heading 5"/>
    <w:basedOn w:val="Normal"/>
    <w:next w:val="Normal"/>
    <w:uiPriority w:val="9"/>
    <w:semiHidden/>
    <w:unhideWhenUsed/>
    <w:qFormat/>
    <w:pPr>
      <w:keepNext/>
      <w:jc w:val="center"/>
      <w:outlineLvl w:val="4"/>
    </w:pPr>
    <w:rPr>
      <w:rFonts w:ascii="$Caslon" w:eastAsia="$Caslon" w:hAnsi="$Caslon" w:cs="$Caslon"/>
      <w:sz w:val="24"/>
      <w:szCs w:val="24"/>
    </w:rPr>
  </w:style>
  <w:style w:type="paragraph" w:styleId="Titlu6">
    <w:name w:val="heading 6"/>
    <w:basedOn w:val="Normal"/>
    <w:next w:val="Normal"/>
    <w:uiPriority w:val="9"/>
    <w:semiHidden/>
    <w:unhideWhenUsed/>
    <w:qFormat/>
    <w:pPr>
      <w:keepNext/>
      <w:jc w:val="center"/>
      <w:outlineLvl w:val="5"/>
    </w:pPr>
    <w:rPr>
      <w:rFonts w:ascii="$Caslon" w:eastAsia="$Caslon" w:hAnsi="$Caslon" w:cs="$Caslon"/>
      <w:b/>
      <w:bCs/>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pacing w:before="300" w:after="200"/>
    </w:pPr>
    <w:rPr>
      <w:sz w:val="48"/>
      <w:szCs w:val="48"/>
    </w:rPr>
  </w:style>
  <w:style w:type="paragraph" w:styleId="Subtitlu">
    <w:name w:val="Subtitle"/>
    <w:basedOn w:val="Normal"/>
    <w:next w:val="Normal"/>
    <w:uiPriority w:val="11"/>
    <w:qFormat/>
    <w:pPr>
      <w:spacing w:before="200" w:after="200"/>
    </w:pPr>
    <w:rPr>
      <w:sz w:val="24"/>
      <w:szCs w:val="24"/>
    </w:rPr>
  </w:style>
  <w:style w:type="table" w:customStyle="1" w:styleId="a">
    <w:basedOn w:val="TableNormal"/>
    <w:rPr>
      <w:rFonts w:ascii="Calibri" w:eastAsia="Calibri" w:hAnsi="Calibri" w:cs="Calibri"/>
    </w:rPr>
    <w:tblPr>
      <w:tblStyleRowBandSize w:val="1"/>
      <w:tblStyleColBandSize w:val="1"/>
      <w:tblCellMar>
        <w:top w:w="57" w:type="dxa"/>
        <w:left w:w="108" w:type="dxa"/>
        <w:bottom w:w="57"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GY+0Yl7+39IkcJv44LgX+Orymg==">CgMxLjA4AHIhMThwcUtMMmx5cWd5Y09mbDN4enQ1UXZJY0YyTkRXdDJa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58</Pages>
  <Words>16916</Words>
  <Characters>98116</Characters>
  <Application>Microsoft Office Word</Application>
  <DocSecurity>0</DocSecurity>
  <Lines>817</Lines>
  <Paragraphs>229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Maria.Bejireanu</dc:creator>
  <cp:lastModifiedBy>Direcția Politici în Domeniul Managementului Personalului Medical</cp:lastModifiedBy>
  <cp:revision>4</cp:revision>
  <dcterms:created xsi:type="dcterms:W3CDTF">2026-07-01T07:40:00Z</dcterms:created>
  <dcterms:modified xsi:type="dcterms:W3CDTF">2026-07-01T15:05:00Z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